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E297E6" w14:textId="7DE3D618" w:rsidR="0057693A" w:rsidRPr="0057693A" w:rsidRDefault="00CA2EA3" w:rsidP="0057693A">
      <w:pPr>
        <w:spacing w:line="480" w:lineRule="auto"/>
        <w:rPr>
          <w:rFonts w:ascii="Times New Roman" w:hAnsi="Times New Roman" w:cs="Times New Roman"/>
          <w:b/>
          <w:bCs/>
          <w:lang w:val="en-US"/>
        </w:rPr>
      </w:pPr>
      <w:r>
        <w:rPr>
          <w:rFonts w:ascii="Times New Roman" w:hAnsi="Times New Roman" w:cs="Times New Roman"/>
          <w:b/>
          <w:bCs/>
          <w:lang w:val="en-US"/>
        </w:rPr>
        <w:t>Supplementary Material 1</w:t>
      </w:r>
    </w:p>
    <w:p w14:paraId="71392A06" w14:textId="4E4F888F" w:rsidR="0057693A" w:rsidRPr="00B8754B" w:rsidRDefault="0057693A" w:rsidP="0057693A">
      <w:pPr>
        <w:spacing w:line="480" w:lineRule="auto"/>
        <w:rPr>
          <w:rFonts w:ascii="Times New Roman" w:hAnsi="Times New Roman" w:cs="Times New Roman"/>
          <w:i/>
          <w:iCs/>
          <w:lang w:val="en-US"/>
        </w:rPr>
      </w:pPr>
      <w:r w:rsidRPr="00B8754B">
        <w:rPr>
          <w:rFonts w:ascii="Times New Roman" w:hAnsi="Times New Roman" w:cs="Times New Roman"/>
          <w:i/>
          <w:iCs/>
          <w:lang w:val="en-US"/>
        </w:rPr>
        <w:t xml:space="preserve">Measures to </w:t>
      </w:r>
      <w:r w:rsidR="00B8754B" w:rsidRPr="00B8754B">
        <w:rPr>
          <w:rFonts w:ascii="Times New Roman" w:hAnsi="Times New Roman" w:cs="Times New Roman"/>
          <w:i/>
          <w:iCs/>
          <w:lang w:val="en-US"/>
        </w:rPr>
        <w:t>A</w:t>
      </w:r>
      <w:r w:rsidRPr="00B8754B">
        <w:rPr>
          <w:rFonts w:ascii="Times New Roman" w:hAnsi="Times New Roman" w:cs="Times New Roman"/>
          <w:i/>
          <w:iCs/>
          <w:lang w:val="en-US"/>
        </w:rPr>
        <w:t xml:space="preserve">ssess the </w:t>
      </w:r>
      <w:r w:rsidR="00B8754B" w:rsidRPr="00B8754B">
        <w:rPr>
          <w:rFonts w:ascii="Times New Roman" w:hAnsi="Times New Roman" w:cs="Times New Roman"/>
          <w:i/>
          <w:iCs/>
          <w:lang w:val="en-US"/>
        </w:rPr>
        <w:t>C</w:t>
      </w:r>
      <w:r w:rsidRPr="00B8754B">
        <w:rPr>
          <w:rFonts w:ascii="Times New Roman" w:hAnsi="Times New Roman" w:cs="Times New Roman"/>
          <w:i/>
          <w:iCs/>
          <w:lang w:val="en-US"/>
        </w:rPr>
        <w:t xml:space="preserve">haracteristics of </w:t>
      </w:r>
      <w:r w:rsidR="00B8754B" w:rsidRPr="00B8754B">
        <w:rPr>
          <w:rFonts w:ascii="Times New Roman" w:hAnsi="Times New Roman" w:cs="Times New Roman"/>
          <w:i/>
          <w:iCs/>
          <w:lang w:val="en-US"/>
        </w:rPr>
        <w:t>P</w:t>
      </w:r>
      <w:r w:rsidRPr="00B8754B">
        <w:rPr>
          <w:rFonts w:ascii="Times New Roman" w:hAnsi="Times New Roman" w:cs="Times New Roman"/>
          <w:i/>
          <w:iCs/>
          <w:lang w:val="en-US"/>
        </w:rPr>
        <w:t>articipants</w:t>
      </w:r>
    </w:p>
    <w:tbl>
      <w:tblPr>
        <w:tblStyle w:val="Tablaconcuadrcula"/>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37"/>
        <w:gridCol w:w="2145"/>
        <w:gridCol w:w="4330"/>
        <w:gridCol w:w="3238"/>
      </w:tblGrid>
      <w:tr w:rsidR="0057693A" w:rsidRPr="009825B1" w14:paraId="691FF762" w14:textId="77777777" w:rsidTr="0057693A">
        <w:tc>
          <w:tcPr>
            <w:tcW w:w="1250" w:type="pct"/>
            <w:tcBorders>
              <w:top w:val="single" w:sz="4" w:space="0" w:color="000000" w:themeColor="text1"/>
              <w:bottom w:val="single" w:sz="4" w:space="0" w:color="000000" w:themeColor="text1"/>
            </w:tcBorders>
          </w:tcPr>
          <w:p w14:paraId="04856A9D" w14:textId="3D1EE364" w:rsidR="0057693A" w:rsidRPr="009825B1" w:rsidRDefault="0057693A">
            <w:pPr>
              <w:rPr>
                <w:rFonts w:ascii="Times New Roman" w:hAnsi="Times New Roman" w:cs="Times New Roman"/>
                <w:sz w:val="21"/>
                <w:szCs w:val="21"/>
                <w:lang w:val="en-US"/>
              </w:rPr>
            </w:pPr>
            <w:r w:rsidRPr="009825B1">
              <w:rPr>
                <w:rFonts w:ascii="Times New Roman" w:hAnsi="Times New Roman" w:cs="Times New Roman"/>
                <w:sz w:val="21"/>
                <w:szCs w:val="21"/>
                <w:lang w:val="en-US"/>
              </w:rPr>
              <w:t>Measures</w:t>
            </w:r>
          </w:p>
        </w:tc>
        <w:tc>
          <w:tcPr>
            <w:tcW w:w="828" w:type="pct"/>
            <w:tcBorders>
              <w:top w:val="single" w:sz="4" w:space="0" w:color="000000" w:themeColor="text1"/>
              <w:bottom w:val="single" w:sz="4" w:space="0" w:color="000000" w:themeColor="text1"/>
            </w:tcBorders>
          </w:tcPr>
          <w:p w14:paraId="3E219CB1" w14:textId="0C55FF67" w:rsidR="0057693A" w:rsidRPr="009825B1" w:rsidRDefault="0057693A">
            <w:pPr>
              <w:rPr>
                <w:rFonts w:ascii="Times New Roman" w:hAnsi="Times New Roman" w:cs="Times New Roman"/>
                <w:sz w:val="21"/>
                <w:szCs w:val="21"/>
                <w:lang w:val="en-US"/>
              </w:rPr>
            </w:pPr>
            <w:r w:rsidRPr="009825B1">
              <w:rPr>
                <w:rFonts w:ascii="Times New Roman" w:hAnsi="Times New Roman" w:cs="Times New Roman"/>
                <w:sz w:val="21"/>
                <w:szCs w:val="21"/>
                <w:lang w:val="en-US"/>
              </w:rPr>
              <w:t>Assessment</w:t>
            </w:r>
          </w:p>
        </w:tc>
        <w:tc>
          <w:tcPr>
            <w:tcW w:w="1672" w:type="pct"/>
            <w:tcBorders>
              <w:top w:val="single" w:sz="4" w:space="0" w:color="000000" w:themeColor="text1"/>
              <w:bottom w:val="single" w:sz="4" w:space="0" w:color="000000" w:themeColor="text1"/>
            </w:tcBorders>
          </w:tcPr>
          <w:p w14:paraId="7752B400" w14:textId="5547CA1D" w:rsidR="0057693A" w:rsidRPr="009825B1" w:rsidRDefault="0057693A">
            <w:pPr>
              <w:rPr>
                <w:rFonts w:ascii="Times New Roman" w:hAnsi="Times New Roman" w:cs="Times New Roman"/>
                <w:sz w:val="21"/>
                <w:szCs w:val="21"/>
                <w:lang w:val="en-US"/>
              </w:rPr>
            </w:pPr>
            <w:r w:rsidRPr="009825B1">
              <w:rPr>
                <w:rFonts w:ascii="Times New Roman" w:hAnsi="Times New Roman" w:cs="Times New Roman"/>
                <w:sz w:val="21"/>
                <w:szCs w:val="21"/>
                <w:lang w:val="en-US"/>
              </w:rPr>
              <w:t>Administration</w:t>
            </w:r>
          </w:p>
        </w:tc>
        <w:tc>
          <w:tcPr>
            <w:tcW w:w="1250" w:type="pct"/>
            <w:tcBorders>
              <w:top w:val="single" w:sz="4" w:space="0" w:color="000000" w:themeColor="text1"/>
              <w:bottom w:val="single" w:sz="4" w:space="0" w:color="000000" w:themeColor="text1"/>
            </w:tcBorders>
          </w:tcPr>
          <w:p w14:paraId="3AD06E30" w14:textId="0F829E54" w:rsidR="0057693A" w:rsidRPr="009825B1" w:rsidRDefault="0057693A">
            <w:pPr>
              <w:rPr>
                <w:rFonts w:ascii="Times New Roman" w:hAnsi="Times New Roman" w:cs="Times New Roman"/>
                <w:sz w:val="21"/>
                <w:szCs w:val="21"/>
                <w:lang w:val="en-US"/>
              </w:rPr>
            </w:pPr>
            <w:r w:rsidRPr="009825B1">
              <w:rPr>
                <w:rFonts w:ascii="Times New Roman" w:hAnsi="Times New Roman" w:cs="Times New Roman"/>
                <w:sz w:val="21"/>
                <w:szCs w:val="21"/>
                <w:lang w:val="en-US"/>
              </w:rPr>
              <w:t>Reliability and validity</w:t>
            </w:r>
          </w:p>
        </w:tc>
      </w:tr>
      <w:tr w:rsidR="0057693A" w:rsidRPr="00A2568E" w14:paraId="4174C816" w14:textId="77777777" w:rsidTr="0057693A">
        <w:tc>
          <w:tcPr>
            <w:tcW w:w="1250" w:type="pct"/>
            <w:tcBorders>
              <w:top w:val="single" w:sz="4" w:space="0" w:color="000000" w:themeColor="text1"/>
            </w:tcBorders>
          </w:tcPr>
          <w:p w14:paraId="5749100E" w14:textId="77777777" w:rsidR="0057693A" w:rsidRPr="009825B1" w:rsidRDefault="0057693A">
            <w:pPr>
              <w:rPr>
                <w:rFonts w:ascii="Times New Roman" w:hAnsi="Times New Roman" w:cs="Times New Roman"/>
                <w:color w:val="000000" w:themeColor="text1"/>
                <w:sz w:val="21"/>
                <w:szCs w:val="21"/>
                <w:lang w:val="en-US"/>
              </w:rPr>
            </w:pPr>
            <w:r w:rsidRPr="009825B1">
              <w:rPr>
                <w:rFonts w:ascii="Times New Roman" w:hAnsi="Times New Roman" w:cs="Times New Roman"/>
                <w:color w:val="000000" w:themeColor="text1"/>
                <w:sz w:val="21"/>
                <w:szCs w:val="21"/>
                <w:lang w:val="en-US"/>
              </w:rPr>
              <w:t xml:space="preserve">Autism Diagnostic Observation Scale – Second Edition </w:t>
            </w:r>
          </w:p>
          <w:p w14:paraId="0A62638A" w14:textId="2B222097" w:rsidR="0057693A" w:rsidRPr="009825B1" w:rsidRDefault="0057693A">
            <w:pPr>
              <w:rPr>
                <w:rFonts w:ascii="Times New Roman" w:hAnsi="Times New Roman" w:cs="Times New Roman"/>
                <w:sz w:val="21"/>
                <w:szCs w:val="21"/>
                <w:lang w:val="en-US"/>
              </w:rPr>
            </w:pPr>
            <w:r w:rsidRPr="009825B1">
              <w:rPr>
                <w:rFonts w:ascii="Times New Roman" w:hAnsi="Times New Roman" w:cs="Times New Roman"/>
                <w:color w:val="000000" w:themeColor="text1"/>
                <w:sz w:val="21"/>
                <w:szCs w:val="21"/>
              </w:rPr>
              <w:t xml:space="preserve">(ADOS-2: Module 4; Lord et al. </w:t>
            </w:r>
            <w:r w:rsidRPr="009825B1">
              <w:rPr>
                <w:rFonts w:ascii="Times New Roman" w:hAnsi="Times New Roman" w:cs="Times New Roman"/>
                <w:color w:val="000000" w:themeColor="text1"/>
                <w:sz w:val="21"/>
                <w:szCs w:val="21"/>
                <w:lang w:val="en-US"/>
              </w:rPr>
              <w:t>(2015)</w:t>
            </w:r>
          </w:p>
        </w:tc>
        <w:tc>
          <w:tcPr>
            <w:tcW w:w="828" w:type="pct"/>
            <w:tcBorders>
              <w:top w:val="single" w:sz="4" w:space="0" w:color="000000" w:themeColor="text1"/>
            </w:tcBorders>
          </w:tcPr>
          <w:p w14:paraId="4CE4D61D" w14:textId="429886CE" w:rsidR="0057693A" w:rsidRPr="009825B1" w:rsidRDefault="0057693A">
            <w:pPr>
              <w:rPr>
                <w:rFonts w:ascii="Times New Roman" w:hAnsi="Times New Roman" w:cs="Times New Roman"/>
                <w:color w:val="000000" w:themeColor="text1"/>
                <w:sz w:val="21"/>
                <w:szCs w:val="21"/>
                <w:lang w:val="en-US"/>
              </w:rPr>
            </w:pPr>
            <w:r w:rsidRPr="009825B1">
              <w:rPr>
                <w:rFonts w:ascii="Times New Roman" w:hAnsi="Times New Roman" w:cs="Times New Roman"/>
                <w:color w:val="000000" w:themeColor="text1"/>
                <w:sz w:val="21"/>
                <w:szCs w:val="21"/>
                <w:lang w:val="en-US"/>
              </w:rPr>
              <w:t>Autism condition</w:t>
            </w:r>
          </w:p>
        </w:tc>
        <w:tc>
          <w:tcPr>
            <w:tcW w:w="1672" w:type="pct"/>
            <w:tcBorders>
              <w:top w:val="single" w:sz="4" w:space="0" w:color="000000" w:themeColor="text1"/>
            </w:tcBorders>
          </w:tcPr>
          <w:p w14:paraId="12F85F3A" w14:textId="2A850A31" w:rsidR="0057693A" w:rsidRPr="009825B1" w:rsidRDefault="0057693A">
            <w:pPr>
              <w:rPr>
                <w:rFonts w:ascii="Times New Roman" w:hAnsi="Times New Roman" w:cs="Times New Roman"/>
                <w:sz w:val="21"/>
                <w:szCs w:val="21"/>
                <w:lang w:val="en-US"/>
              </w:rPr>
            </w:pPr>
            <w:r w:rsidRPr="009825B1">
              <w:rPr>
                <w:rFonts w:ascii="Times New Roman" w:hAnsi="Times New Roman" w:cs="Times New Roman"/>
                <w:color w:val="000000" w:themeColor="text1"/>
                <w:sz w:val="21"/>
                <w:szCs w:val="21"/>
                <w:lang w:val="en-US"/>
              </w:rPr>
              <w:t>The ADOS-2 is a standardized and semi-structured assessment of communication, social interaction, and the play or imaginative use of materials by individuals suspected of having autism. It consists of five modules corresponding to different ages and language development and takes between 40 and 60 minutes to administer. Module 4 of the ADOS-2 was administered to adolescents and adults with fluent language.</w:t>
            </w:r>
          </w:p>
        </w:tc>
        <w:tc>
          <w:tcPr>
            <w:tcW w:w="1250" w:type="pct"/>
            <w:tcBorders>
              <w:top w:val="single" w:sz="4" w:space="0" w:color="000000" w:themeColor="text1"/>
            </w:tcBorders>
          </w:tcPr>
          <w:p w14:paraId="3CBB9038" w14:textId="32E3FEAF" w:rsidR="0057693A" w:rsidRPr="009825B1" w:rsidRDefault="0057693A" w:rsidP="0057693A">
            <w:pPr>
              <w:rPr>
                <w:rFonts w:ascii="Times New Roman" w:hAnsi="Times New Roman" w:cs="Times New Roman"/>
                <w:color w:val="000000" w:themeColor="text1"/>
                <w:sz w:val="21"/>
                <w:szCs w:val="21"/>
                <w:lang w:val="en-US"/>
              </w:rPr>
            </w:pPr>
            <w:r w:rsidRPr="009825B1">
              <w:rPr>
                <w:rFonts w:ascii="Times New Roman" w:hAnsi="Times New Roman" w:cs="Times New Roman"/>
                <w:color w:val="000000" w:themeColor="text1"/>
                <w:sz w:val="21"/>
                <w:szCs w:val="21"/>
                <w:lang w:val="en-US"/>
              </w:rPr>
              <w:t>The instrument has reliability and validity evidence with intraclass correlations ranging from .82 to .93, test-retest reliability with correlation coefficients between .74 to .90, and excellent internal consistency, with an alpha value higher than .90. This test was administered by staff accredited in its application and evaluation.</w:t>
            </w:r>
          </w:p>
          <w:p w14:paraId="5D69DDF4" w14:textId="77777777" w:rsidR="0057693A" w:rsidRPr="009825B1" w:rsidRDefault="0057693A">
            <w:pPr>
              <w:rPr>
                <w:rFonts w:ascii="Times New Roman" w:hAnsi="Times New Roman" w:cs="Times New Roman"/>
                <w:sz w:val="21"/>
                <w:szCs w:val="21"/>
                <w:lang w:val="en-US"/>
              </w:rPr>
            </w:pPr>
          </w:p>
        </w:tc>
      </w:tr>
      <w:tr w:rsidR="0057693A" w:rsidRPr="00A2568E" w14:paraId="28A85126" w14:textId="77777777" w:rsidTr="00117E02">
        <w:tc>
          <w:tcPr>
            <w:tcW w:w="1250" w:type="pct"/>
            <w:tcBorders>
              <w:bottom w:val="single" w:sz="4" w:space="0" w:color="FFFFFF" w:themeColor="background1"/>
            </w:tcBorders>
          </w:tcPr>
          <w:p w14:paraId="10AF3029" w14:textId="77777777" w:rsidR="0057693A" w:rsidRPr="009825B1" w:rsidRDefault="0057693A">
            <w:pPr>
              <w:rPr>
                <w:rFonts w:ascii="Times New Roman" w:hAnsi="Times New Roman" w:cs="Times New Roman"/>
                <w:color w:val="000000" w:themeColor="text1"/>
                <w:sz w:val="21"/>
                <w:szCs w:val="21"/>
                <w:lang w:val="en-US"/>
              </w:rPr>
            </w:pPr>
            <w:r w:rsidRPr="009825B1">
              <w:rPr>
                <w:rFonts w:ascii="Times New Roman" w:hAnsi="Times New Roman" w:cs="Times New Roman"/>
                <w:color w:val="000000" w:themeColor="text1"/>
                <w:sz w:val="21"/>
                <w:szCs w:val="21"/>
                <w:lang w:val="en-US"/>
              </w:rPr>
              <w:t xml:space="preserve">Social Communication Questionnaire – Part B </w:t>
            </w:r>
          </w:p>
          <w:p w14:paraId="382CC3CB" w14:textId="28F9C2B4" w:rsidR="0057693A" w:rsidRPr="009825B1" w:rsidRDefault="0057693A">
            <w:pPr>
              <w:rPr>
                <w:rFonts w:ascii="Times New Roman" w:hAnsi="Times New Roman" w:cs="Times New Roman"/>
                <w:sz w:val="21"/>
                <w:szCs w:val="21"/>
                <w:lang w:val="en-US"/>
              </w:rPr>
            </w:pPr>
            <w:r w:rsidRPr="009825B1">
              <w:rPr>
                <w:rFonts w:ascii="Times New Roman" w:hAnsi="Times New Roman" w:cs="Times New Roman"/>
                <w:color w:val="000000" w:themeColor="text1"/>
                <w:sz w:val="21"/>
                <w:szCs w:val="21"/>
                <w:lang w:val="en-US"/>
              </w:rPr>
              <w:t>(SCQ-B; Rutter et al., 2019)</w:t>
            </w:r>
          </w:p>
        </w:tc>
        <w:tc>
          <w:tcPr>
            <w:tcW w:w="828" w:type="pct"/>
            <w:tcBorders>
              <w:bottom w:val="single" w:sz="4" w:space="0" w:color="FFFFFF" w:themeColor="background1"/>
            </w:tcBorders>
          </w:tcPr>
          <w:p w14:paraId="782E7307" w14:textId="028702BB" w:rsidR="0057693A" w:rsidRPr="009825B1" w:rsidRDefault="0057693A">
            <w:pPr>
              <w:rPr>
                <w:rFonts w:ascii="Times New Roman" w:hAnsi="Times New Roman" w:cs="Times New Roman"/>
                <w:sz w:val="21"/>
                <w:szCs w:val="21"/>
                <w:lang w:val="en-US"/>
              </w:rPr>
            </w:pPr>
            <w:r w:rsidRPr="009825B1">
              <w:rPr>
                <w:rFonts w:ascii="Times New Roman" w:hAnsi="Times New Roman" w:cs="Times New Roman"/>
                <w:sz w:val="21"/>
                <w:szCs w:val="21"/>
                <w:lang w:val="en-US"/>
              </w:rPr>
              <w:t>Autism condition</w:t>
            </w:r>
          </w:p>
        </w:tc>
        <w:tc>
          <w:tcPr>
            <w:tcW w:w="1672" w:type="pct"/>
            <w:tcBorders>
              <w:bottom w:val="single" w:sz="4" w:space="0" w:color="FFFFFF" w:themeColor="background1"/>
            </w:tcBorders>
          </w:tcPr>
          <w:p w14:paraId="089EADB3" w14:textId="77777777" w:rsidR="0057693A" w:rsidRPr="009825B1" w:rsidRDefault="0057693A">
            <w:pPr>
              <w:rPr>
                <w:rFonts w:ascii="Times New Roman" w:hAnsi="Times New Roman" w:cs="Times New Roman"/>
                <w:color w:val="000000" w:themeColor="text1"/>
                <w:sz w:val="21"/>
                <w:szCs w:val="21"/>
                <w:lang w:val="en-US"/>
              </w:rPr>
            </w:pPr>
            <w:r w:rsidRPr="009825B1">
              <w:rPr>
                <w:rFonts w:ascii="Times New Roman" w:hAnsi="Times New Roman" w:cs="Times New Roman"/>
                <w:color w:val="000000" w:themeColor="text1"/>
                <w:sz w:val="21"/>
                <w:szCs w:val="21"/>
                <w:lang w:val="en-US"/>
              </w:rPr>
              <w:t>This 40-item questionnaire is responded by parents and provides information about social and communication behaviors, as well as observed interests. It consists of two parts: Part A refers to past life, and Part B focuses on behavior over the last three months. Part B was used in this study.</w:t>
            </w:r>
          </w:p>
          <w:p w14:paraId="0707FCC4" w14:textId="6F85CAF6" w:rsidR="0057693A" w:rsidRPr="009825B1" w:rsidRDefault="0057693A">
            <w:pPr>
              <w:rPr>
                <w:rFonts w:ascii="Times New Roman" w:hAnsi="Times New Roman" w:cs="Times New Roman"/>
                <w:color w:val="000000" w:themeColor="text1"/>
                <w:sz w:val="21"/>
                <w:szCs w:val="21"/>
                <w:lang w:val="en-US"/>
              </w:rPr>
            </w:pPr>
          </w:p>
        </w:tc>
        <w:tc>
          <w:tcPr>
            <w:tcW w:w="1250" w:type="pct"/>
            <w:tcBorders>
              <w:bottom w:val="single" w:sz="4" w:space="0" w:color="FFFFFF" w:themeColor="background1"/>
            </w:tcBorders>
          </w:tcPr>
          <w:p w14:paraId="5878AD97" w14:textId="4E69B088" w:rsidR="0057693A" w:rsidRPr="009825B1" w:rsidRDefault="00CA2EA3">
            <w:pPr>
              <w:rPr>
                <w:rFonts w:ascii="Times New Roman" w:hAnsi="Times New Roman" w:cs="Times New Roman"/>
                <w:sz w:val="21"/>
                <w:szCs w:val="21"/>
                <w:lang w:val="en-US"/>
              </w:rPr>
            </w:pPr>
            <w:r w:rsidRPr="009825B1">
              <w:rPr>
                <w:rFonts w:ascii="Times New Roman" w:hAnsi="Times New Roman" w:cs="Times New Roman"/>
                <w:sz w:val="21"/>
                <w:szCs w:val="21"/>
                <w:lang w:val="en-US"/>
              </w:rPr>
              <w:t>The instrument has a high internal consistency (</w:t>
            </w:r>
            <w:r w:rsidRPr="009825B1">
              <w:rPr>
                <w:rFonts w:ascii="Times New Roman" w:hAnsi="Times New Roman" w:cs="Times New Roman"/>
                <w:color w:val="000000" w:themeColor="text1"/>
                <w:sz w:val="21"/>
                <w:szCs w:val="21"/>
                <w:lang w:val="en-US"/>
              </w:rPr>
              <w:t xml:space="preserve">α = .87 to .93), a good construct validity (with correlations with the ADI-R between .68 to .79), and a strong concurrent validity. </w:t>
            </w:r>
          </w:p>
        </w:tc>
      </w:tr>
      <w:tr w:rsidR="0057693A" w:rsidRPr="00A2568E" w14:paraId="160F45FA" w14:textId="77777777" w:rsidTr="00117E02">
        <w:tc>
          <w:tcPr>
            <w:tcW w:w="1250" w:type="pct"/>
            <w:tcBorders>
              <w:bottom w:val="single" w:sz="4" w:space="0" w:color="auto"/>
            </w:tcBorders>
          </w:tcPr>
          <w:p w14:paraId="7EC9419E" w14:textId="77777777" w:rsidR="0057693A" w:rsidRPr="009825B1" w:rsidRDefault="0057693A">
            <w:pPr>
              <w:rPr>
                <w:rFonts w:ascii="Times New Roman" w:hAnsi="Times New Roman" w:cs="Times New Roman"/>
                <w:color w:val="000000" w:themeColor="text1"/>
                <w:sz w:val="21"/>
                <w:szCs w:val="21"/>
                <w:lang w:val="en-US"/>
              </w:rPr>
            </w:pPr>
            <w:r w:rsidRPr="009825B1">
              <w:rPr>
                <w:rFonts w:ascii="Times New Roman" w:hAnsi="Times New Roman" w:cs="Times New Roman"/>
                <w:color w:val="000000" w:themeColor="text1"/>
                <w:sz w:val="21"/>
                <w:szCs w:val="21"/>
                <w:lang w:val="en-US"/>
              </w:rPr>
              <w:t xml:space="preserve">Wechsler Adult Intelligence Scale-IV </w:t>
            </w:r>
          </w:p>
          <w:p w14:paraId="5C3DE9BB" w14:textId="2BD75449" w:rsidR="0057693A" w:rsidRPr="009825B1" w:rsidRDefault="0057693A">
            <w:pPr>
              <w:rPr>
                <w:rFonts w:ascii="Times New Roman" w:hAnsi="Times New Roman" w:cs="Times New Roman"/>
                <w:sz w:val="21"/>
                <w:szCs w:val="21"/>
                <w:lang w:val="en-US"/>
              </w:rPr>
            </w:pPr>
            <w:r w:rsidRPr="009825B1">
              <w:rPr>
                <w:rFonts w:ascii="Times New Roman" w:hAnsi="Times New Roman" w:cs="Times New Roman"/>
                <w:color w:val="000000" w:themeColor="text1"/>
                <w:sz w:val="21"/>
                <w:szCs w:val="21"/>
                <w:lang w:val="en-US"/>
              </w:rPr>
              <w:t>(WAIS-IV: Verbal Comprehension Index; Wechsler, 2012)</w:t>
            </w:r>
          </w:p>
        </w:tc>
        <w:tc>
          <w:tcPr>
            <w:tcW w:w="828" w:type="pct"/>
            <w:tcBorders>
              <w:bottom w:val="single" w:sz="4" w:space="0" w:color="auto"/>
            </w:tcBorders>
          </w:tcPr>
          <w:p w14:paraId="7987EDC4" w14:textId="533073EC" w:rsidR="0057693A" w:rsidRPr="009825B1" w:rsidRDefault="0057693A">
            <w:pPr>
              <w:rPr>
                <w:rFonts w:ascii="Times New Roman" w:hAnsi="Times New Roman" w:cs="Times New Roman"/>
                <w:sz w:val="21"/>
                <w:szCs w:val="21"/>
                <w:lang w:val="en-US"/>
              </w:rPr>
            </w:pPr>
            <w:r w:rsidRPr="009825B1">
              <w:rPr>
                <w:rFonts w:ascii="Times New Roman" w:hAnsi="Times New Roman" w:cs="Times New Roman"/>
                <w:color w:val="000000" w:themeColor="text1"/>
                <w:sz w:val="21"/>
                <w:szCs w:val="21"/>
                <w:lang w:val="en-US"/>
              </w:rPr>
              <w:t xml:space="preserve">Verbal comprehension </w:t>
            </w:r>
          </w:p>
        </w:tc>
        <w:tc>
          <w:tcPr>
            <w:tcW w:w="1672" w:type="pct"/>
            <w:tcBorders>
              <w:bottom w:val="single" w:sz="4" w:space="0" w:color="auto"/>
            </w:tcBorders>
          </w:tcPr>
          <w:p w14:paraId="53E54714" w14:textId="77777777" w:rsidR="0057693A" w:rsidRPr="009825B1" w:rsidRDefault="0057693A" w:rsidP="0057693A">
            <w:pPr>
              <w:rPr>
                <w:rFonts w:ascii="Times New Roman" w:hAnsi="Times New Roman" w:cs="Times New Roman"/>
                <w:color w:val="000000" w:themeColor="text1"/>
                <w:sz w:val="21"/>
                <w:szCs w:val="21"/>
                <w:lang w:val="en-US"/>
              </w:rPr>
            </w:pPr>
            <w:r w:rsidRPr="009825B1">
              <w:rPr>
                <w:rFonts w:ascii="Times New Roman" w:hAnsi="Times New Roman" w:cs="Times New Roman"/>
                <w:color w:val="000000" w:themeColor="text1"/>
                <w:sz w:val="21"/>
                <w:szCs w:val="21"/>
                <w:lang w:val="en-US"/>
              </w:rPr>
              <w:t>This clinical instrument is designed to assess general intellectual ability in people between 16 and 89 years and 11 months of age. The main verbal comprehension subtests (Similarities, Vocabulary, and Information) were used to assess participants’ verbal comprehension.</w:t>
            </w:r>
          </w:p>
          <w:p w14:paraId="066D4730" w14:textId="291ACDC5" w:rsidR="0057693A" w:rsidRPr="009825B1" w:rsidRDefault="0057693A" w:rsidP="0057693A">
            <w:pPr>
              <w:rPr>
                <w:rFonts w:ascii="Times New Roman" w:hAnsi="Times New Roman" w:cs="Times New Roman"/>
                <w:color w:val="000000" w:themeColor="text1"/>
                <w:sz w:val="21"/>
                <w:szCs w:val="21"/>
                <w:lang w:val="en-US"/>
              </w:rPr>
            </w:pPr>
          </w:p>
        </w:tc>
        <w:tc>
          <w:tcPr>
            <w:tcW w:w="1250" w:type="pct"/>
            <w:tcBorders>
              <w:bottom w:val="single" w:sz="4" w:space="0" w:color="auto"/>
            </w:tcBorders>
          </w:tcPr>
          <w:p w14:paraId="2950A679" w14:textId="377865D7" w:rsidR="0057693A" w:rsidRPr="009825B1" w:rsidRDefault="00CA2EA3">
            <w:pPr>
              <w:rPr>
                <w:rFonts w:ascii="Times New Roman" w:hAnsi="Times New Roman" w:cs="Times New Roman"/>
                <w:sz w:val="21"/>
                <w:szCs w:val="21"/>
                <w:lang w:val="en-US"/>
              </w:rPr>
            </w:pPr>
            <w:r w:rsidRPr="009825B1">
              <w:rPr>
                <w:rFonts w:ascii="Times New Roman" w:hAnsi="Times New Roman" w:cs="Times New Roman"/>
                <w:sz w:val="21"/>
                <w:szCs w:val="21"/>
                <w:lang w:val="en-US"/>
              </w:rPr>
              <w:t xml:space="preserve">The instrument has a high internal consistency in all its subtests, ranging from </w:t>
            </w:r>
            <w:r w:rsidRPr="009825B1">
              <w:rPr>
                <w:rFonts w:ascii="Times New Roman" w:hAnsi="Times New Roman" w:cs="Times New Roman"/>
                <w:color w:val="000000" w:themeColor="text1"/>
                <w:sz w:val="21"/>
                <w:szCs w:val="21"/>
                <w:lang w:val="en-US"/>
              </w:rPr>
              <w:t>α = .70 to .95. It also has a good construct validity</w:t>
            </w:r>
            <w:r w:rsidR="00364FDF" w:rsidRPr="009825B1">
              <w:rPr>
                <w:rFonts w:ascii="Times New Roman" w:hAnsi="Times New Roman" w:cs="Times New Roman"/>
                <w:color w:val="000000" w:themeColor="text1"/>
                <w:sz w:val="21"/>
                <w:szCs w:val="21"/>
                <w:lang w:val="en-US"/>
              </w:rPr>
              <w:t xml:space="preserve">, with factor loadings above .70 in the four factors. It has a good concurrent validity, with high correlations with the Wechsler Intelligence Scale for Children-IV (from .60 to .80) and predictive validity with correlation coefficients between .50 to .70. </w:t>
            </w:r>
          </w:p>
        </w:tc>
      </w:tr>
    </w:tbl>
    <w:p w14:paraId="15B5B01B" w14:textId="77777777" w:rsidR="00117E02" w:rsidRPr="00A2568E" w:rsidRDefault="00117E02">
      <w:pPr>
        <w:rPr>
          <w:lang w:val="en-US"/>
        </w:rPr>
      </w:pPr>
    </w:p>
    <w:p w14:paraId="38DCDC1B" w14:textId="6F7C1882" w:rsidR="00117E02" w:rsidRPr="00A2568E" w:rsidRDefault="00117E02" w:rsidP="00117E02">
      <w:pPr>
        <w:spacing w:line="480" w:lineRule="auto"/>
        <w:rPr>
          <w:rFonts w:ascii="Times New Roman" w:hAnsi="Times New Roman" w:cs="Times New Roman"/>
          <w:b/>
          <w:bCs/>
          <w:lang w:val="en-US"/>
        </w:rPr>
      </w:pPr>
      <w:r w:rsidRPr="00A2568E">
        <w:rPr>
          <w:rFonts w:ascii="Times New Roman" w:hAnsi="Times New Roman" w:cs="Times New Roman"/>
          <w:b/>
          <w:bCs/>
          <w:lang w:val="en-US"/>
        </w:rPr>
        <w:lastRenderedPageBreak/>
        <w:t>Supplementary Material 1 (continuation)</w:t>
      </w:r>
    </w:p>
    <w:p w14:paraId="5A7AECD7" w14:textId="4AC81737" w:rsidR="00117E02" w:rsidRPr="00A2568E" w:rsidRDefault="00117E02" w:rsidP="00117E02">
      <w:pPr>
        <w:spacing w:line="480" w:lineRule="auto"/>
        <w:rPr>
          <w:rFonts w:ascii="Times New Roman" w:hAnsi="Times New Roman" w:cs="Times New Roman"/>
          <w:i/>
          <w:iCs/>
          <w:lang w:val="en-US"/>
        </w:rPr>
      </w:pPr>
      <w:r w:rsidRPr="00A2568E">
        <w:rPr>
          <w:rFonts w:ascii="Times New Roman" w:hAnsi="Times New Roman" w:cs="Times New Roman"/>
          <w:i/>
          <w:iCs/>
          <w:lang w:val="en-US"/>
        </w:rPr>
        <w:t>Measures to Assess the Characteristics of Participants</w:t>
      </w:r>
    </w:p>
    <w:tbl>
      <w:tblPr>
        <w:tblStyle w:val="Tablaconcuadrcula"/>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37"/>
        <w:gridCol w:w="2145"/>
        <w:gridCol w:w="4330"/>
        <w:gridCol w:w="3238"/>
      </w:tblGrid>
      <w:tr w:rsidR="00117E02" w:rsidRPr="00A2568E" w14:paraId="5DA8F450" w14:textId="77777777" w:rsidTr="00AD028E">
        <w:tc>
          <w:tcPr>
            <w:tcW w:w="1250" w:type="pct"/>
            <w:tcBorders>
              <w:top w:val="single" w:sz="4" w:space="0" w:color="000000" w:themeColor="text1"/>
              <w:bottom w:val="single" w:sz="4" w:space="0" w:color="000000" w:themeColor="text1"/>
            </w:tcBorders>
          </w:tcPr>
          <w:p w14:paraId="6AD338E2" w14:textId="77777777" w:rsidR="00117E02" w:rsidRPr="00A2568E" w:rsidRDefault="00117E02" w:rsidP="00AD028E">
            <w:pPr>
              <w:rPr>
                <w:rFonts w:ascii="Times New Roman" w:hAnsi="Times New Roman" w:cs="Times New Roman"/>
                <w:sz w:val="21"/>
                <w:szCs w:val="21"/>
                <w:lang w:val="en-US"/>
              </w:rPr>
            </w:pPr>
            <w:r w:rsidRPr="00A2568E">
              <w:rPr>
                <w:rFonts w:ascii="Times New Roman" w:hAnsi="Times New Roman" w:cs="Times New Roman"/>
                <w:sz w:val="21"/>
                <w:szCs w:val="21"/>
                <w:lang w:val="en-US"/>
              </w:rPr>
              <w:t>Measures</w:t>
            </w:r>
          </w:p>
        </w:tc>
        <w:tc>
          <w:tcPr>
            <w:tcW w:w="828" w:type="pct"/>
            <w:tcBorders>
              <w:top w:val="single" w:sz="4" w:space="0" w:color="000000" w:themeColor="text1"/>
              <w:bottom w:val="single" w:sz="4" w:space="0" w:color="000000" w:themeColor="text1"/>
            </w:tcBorders>
          </w:tcPr>
          <w:p w14:paraId="443A187C" w14:textId="77777777" w:rsidR="00117E02" w:rsidRPr="00A2568E" w:rsidRDefault="00117E02" w:rsidP="00AD028E">
            <w:pPr>
              <w:rPr>
                <w:rFonts w:ascii="Times New Roman" w:hAnsi="Times New Roman" w:cs="Times New Roman"/>
                <w:sz w:val="21"/>
                <w:szCs w:val="21"/>
                <w:lang w:val="en-US"/>
              </w:rPr>
            </w:pPr>
            <w:r w:rsidRPr="00A2568E">
              <w:rPr>
                <w:rFonts w:ascii="Times New Roman" w:hAnsi="Times New Roman" w:cs="Times New Roman"/>
                <w:sz w:val="21"/>
                <w:szCs w:val="21"/>
                <w:lang w:val="en-US"/>
              </w:rPr>
              <w:t>Assessment</w:t>
            </w:r>
          </w:p>
        </w:tc>
        <w:tc>
          <w:tcPr>
            <w:tcW w:w="1672" w:type="pct"/>
            <w:tcBorders>
              <w:top w:val="single" w:sz="4" w:space="0" w:color="000000" w:themeColor="text1"/>
              <w:bottom w:val="single" w:sz="4" w:space="0" w:color="000000" w:themeColor="text1"/>
            </w:tcBorders>
          </w:tcPr>
          <w:p w14:paraId="03CA138F" w14:textId="77777777" w:rsidR="00117E02" w:rsidRPr="00A2568E" w:rsidRDefault="00117E02" w:rsidP="00AD028E">
            <w:pPr>
              <w:rPr>
                <w:rFonts w:ascii="Times New Roman" w:hAnsi="Times New Roman" w:cs="Times New Roman"/>
                <w:sz w:val="21"/>
                <w:szCs w:val="21"/>
                <w:lang w:val="en-US"/>
              </w:rPr>
            </w:pPr>
            <w:r w:rsidRPr="00A2568E">
              <w:rPr>
                <w:rFonts w:ascii="Times New Roman" w:hAnsi="Times New Roman" w:cs="Times New Roman"/>
                <w:sz w:val="21"/>
                <w:szCs w:val="21"/>
                <w:lang w:val="en-US"/>
              </w:rPr>
              <w:t>Administration</w:t>
            </w:r>
          </w:p>
        </w:tc>
        <w:tc>
          <w:tcPr>
            <w:tcW w:w="1250" w:type="pct"/>
            <w:tcBorders>
              <w:top w:val="single" w:sz="4" w:space="0" w:color="000000" w:themeColor="text1"/>
              <w:bottom w:val="single" w:sz="4" w:space="0" w:color="000000" w:themeColor="text1"/>
            </w:tcBorders>
          </w:tcPr>
          <w:p w14:paraId="7A5D0580" w14:textId="77777777" w:rsidR="00117E02" w:rsidRPr="00A2568E" w:rsidRDefault="00117E02" w:rsidP="00AD028E">
            <w:pPr>
              <w:rPr>
                <w:rFonts w:ascii="Times New Roman" w:hAnsi="Times New Roman" w:cs="Times New Roman"/>
                <w:sz w:val="21"/>
                <w:szCs w:val="21"/>
                <w:lang w:val="en-US"/>
              </w:rPr>
            </w:pPr>
            <w:r w:rsidRPr="00A2568E">
              <w:rPr>
                <w:rFonts w:ascii="Times New Roman" w:hAnsi="Times New Roman" w:cs="Times New Roman"/>
                <w:sz w:val="21"/>
                <w:szCs w:val="21"/>
                <w:lang w:val="en-US"/>
              </w:rPr>
              <w:t>Reliability and validity</w:t>
            </w:r>
          </w:p>
        </w:tc>
      </w:tr>
      <w:tr w:rsidR="00117E02" w:rsidRPr="00A2568E" w14:paraId="67E309DF" w14:textId="77777777" w:rsidTr="00117E02">
        <w:tblPrEx>
          <w:tblBorders>
            <w:top w:val="single" w:sz="4" w:space="0" w:color="auto"/>
            <w:bottom w:val="single" w:sz="4" w:space="0" w:color="000000" w:themeColor="text1"/>
          </w:tblBorders>
        </w:tblPrEx>
        <w:tc>
          <w:tcPr>
            <w:tcW w:w="1250" w:type="pct"/>
            <w:tcBorders>
              <w:top w:val="single" w:sz="4" w:space="0" w:color="auto"/>
            </w:tcBorders>
          </w:tcPr>
          <w:p w14:paraId="7E45C67E" w14:textId="77777777" w:rsidR="00117E02" w:rsidRPr="00A2568E" w:rsidRDefault="00117E02" w:rsidP="00117E02">
            <w:pPr>
              <w:rPr>
                <w:rFonts w:ascii="Times New Roman" w:hAnsi="Times New Roman" w:cs="Times New Roman"/>
                <w:color w:val="000000" w:themeColor="text1"/>
                <w:sz w:val="21"/>
                <w:szCs w:val="21"/>
                <w:lang w:val="en-US"/>
              </w:rPr>
            </w:pPr>
            <w:r w:rsidRPr="00A2568E">
              <w:rPr>
                <w:rFonts w:ascii="Times New Roman" w:hAnsi="Times New Roman" w:cs="Times New Roman"/>
                <w:color w:val="000000" w:themeColor="text1"/>
                <w:sz w:val="21"/>
                <w:szCs w:val="21"/>
                <w:lang w:val="en-US"/>
              </w:rPr>
              <w:t xml:space="preserve">Adaptive Behavior Assessment System-II (ABAS-II; Harrison &amp; </w:t>
            </w:r>
            <w:proofErr w:type="spellStart"/>
            <w:r w:rsidRPr="00A2568E">
              <w:rPr>
                <w:rFonts w:ascii="Times New Roman" w:hAnsi="Times New Roman" w:cs="Times New Roman"/>
                <w:color w:val="000000" w:themeColor="text1"/>
                <w:sz w:val="21"/>
                <w:szCs w:val="21"/>
                <w:lang w:val="en-US"/>
              </w:rPr>
              <w:t>Oackland</w:t>
            </w:r>
            <w:proofErr w:type="spellEnd"/>
            <w:r w:rsidRPr="00A2568E">
              <w:rPr>
                <w:rFonts w:ascii="Times New Roman" w:hAnsi="Times New Roman" w:cs="Times New Roman"/>
                <w:color w:val="000000" w:themeColor="text1"/>
                <w:sz w:val="21"/>
                <w:szCs w:val="21"/>
                <w:lang w:val="en-US"/>
              </w:rPr>
              <w:t>, 2003) - The proxy-reported adult version of the Spanish adaptation of Montero and Fernández-Pinto (2013) was used.</w:t>
            </w:r>
          </w:p>
          <w:p w14:paraId="7AB9F004" w14:textId="55DCBA9F" w:rsidR="00117E02" w:rsidRPr="00A2568E" w:rsidRDefault="00117E02">
            <w:pPr>
              <w:rPr>
                <w:rFonts w:ascii="Times New Roman" w:hAnsi="Times New Roman" w:cs="Times New Roman"/>
                <w:color w:val="000000" w:themeColor="text1"/>
                <w:sz w:val="21"/>
                <w:szCs w:val="21"/>
                <w:lang w:val="en-US"/>
              </w:rPr>
            </w:pPr>
          </w:p>
        </w:tc>
        <w:tc>
          <w:tcPr>
            <w:tcW w:w="828" w:type="pct"/>
            <w:tcBorders>
              <w:top w:val="single" w:sz="4" w:space="0" w:color="auto"/>
            </w:tcBorders>
          </w:tcPr>
          <w:p w14:paraId="4A39CED3" w14:textId="3B2B97C4" w:rsidR="00117E02" w:rsidRPr="00A2568E" w:rsidRDefault="00117E02">
            <w:pPr>
              <w:rPr>
                <w:rFonts w:ascii="Times New Roman" w:hAnsi="Times New Roman" w:cs="Times New Roman"/>
                <w:color w:val="000000" w:themeColor="text1"/>
                <w:sz w:val="21"/>
                <w:szCs w:val="21"/>
                <w:lang w:val="en-US"/>
              </w:rPr>
            </w:pPr>
            <w:r w:rsidRPr="00A2568E">
              <w:rPr>
                <w:rFonts w:ascii="Times New Roman" w:hAnsi="Times New Roman" w:cs="Times New Roman"/>
                <w:color w:val="000000" w:themeColor="text1"/>
                <w:sz w:val="21"/>
                <w:szCs w:val="21"/>
                <w:lang w:val="en-US"/>
              </w:rPr>
              <w:t>Adaptive behavior</w:t>
            </w:r>
          </w:p>
        </w:tc>
        <w:tc>
          <w:tcPr>
            <w:tcW w:w="1672" w:type="pct"/>
            <w:tcBorders>
              <w:top w:val="single" w:sz="4" w:space="0" w:color="auto"/>
            </w:tcBorders>
          </w:tcPr>
          <w:p w14:paraId="26C05AC8" w14:textId="2C2BD7D8" w:rsidR="00117E02" w:rsidRPr="00A2568E" w:rsidRDefault="00117E02" w:rsidP="00117E02">
            <w:pPr>
              <w:rPr>
                <w:rFonts w:ascii="Times New Roman" w:hAnsi="Times New Roman" w:cs="Times New Roman"/>
                <w:color w:val="000000" w:themeColor="text1"/>
                <w:sz w:val="21"/>
                <w:szCs w:val="21"/>
                <w:lang w:val="en-US"/>
              </w:rPr>
            </w:pPr>
            <w:r w:rsidRPr="00A2568E">
              <w:rPr>
                <w:rFonts w:ascii="Times New Roman" w:hAnsi="Times New Roman" w:cs="Times New Roman"/>
                <w:color w:val="000000" w:themeColor="text1"/>
                <w:sz w:val="21"/>
                <w:szCs w:val="21"/>
                <w:lang w:val="en-US"/>
              </w:rPr>
              <w:t xml:space="preserve">This instrument can be </w:t>
            </w:r>
            <w:proofErr w:type="gramStart"/>
            <w:r w:rsidRPr="00A2568E">
              <w:rPr>
                <w:rFonts w:ascii="Times New Roman" w:hAnsi="Times New Roman" w:cs="Times New Roman"/>
                <w:color w:val="000000" w:themeColor="text1"/>
                <w:sz w:val="21"/>
                <w:szCs w:val="21"/>
                <w:lang w:val="en-US"/>
              </w:rPr>
              <w:t>self</w:t>
            </w:r>
            <w:proofErr w:type="gramEnd"/>
            <w:r w:rsidRPr="00A2568E">
              <w:rPr>
                <w:rFonts w:ascii="Times New Roman" w:hAnsi="Times New Roman" w:cs="Times New Roman"/>
                <w:color w:val="000000" w:themeColor="text1"/>
                <w:sz w:val="21"/>
                <w:szCs w:val="21"/>
                <w:lang w:val="en-US"/>
              </w:rPr>
              <w:t xml:space="preserve"> or proxy reported and consists of 239 items that assess the adaptive skills of people with and without disabilities. Informants indicate how often the individual performs each activity with a 4-point scale (Not able, </w:t>
            </w:r>
            <w:proofErr w:type="gramStart"/>
            <w:r w:rsidRPr="00A2568E">
              <w:rPr>
                <w:rFonts w:ascii="Times New Roman" w:hAnsi="Times New Roman" w:cs="Times New Roman"/>
                <w:color w:val="000000" w:themeColor="text1"/>
                <w:sz w:val="21"/>
                <w:szCs w:val="21"/>
                <w:lang w:val="en-US"/>
              </w:rPr>
              <w:t>Never</w:t>
            </w:r>
            <w:proofErr w:type="gramEnd"/>
            <w:r w:rsidRPr="00A2568E">
              <w:rPr>
                <w:rFonts w:ascii="Times New Roman" w:hAnsi="Times New Roman" w:cs="Times New Roman"/>
                <w:color w:val="000000" w:themeColor="text1"/>
                <w:sz w:val="21"/>
                <w:szCs w:val="21"/>
                <w:lang w:val="en-US"/>
              </w:rPr>
              <w:t xml:space="preserve"> when needed, Sometimes when needed, Always when needed). It consists of ten adaptive skill areas: Communication, Community Resource Utilization, Functional Academic Skills, Home Living, Health and Safety, Leisure, Self-Care, Self-Direction, Social, and Work. These areas are also grouped into three domains: Conceptual, Social and Practical. A General Adaptive Behavior Index (GAC) can also be obtained.</w:t>
            </w:r>
          </w:p>
        </w:tc>
        <w:tc>
          <w:tcPr>
            <w:tcW w:w="1250" w:type="pct"/>
            <w:tcBorders>
              <w:top w:val="single" w:sz="4" w:space="0" w:color="auto"/>
            </w:tcBorders>
          </w:tcPr>
          <w:p w14:paraId="3C67743D" w14:textId="070C71AC" w:rsidR="00117E02" w:rsidRPr="00117E02" w:rsidRDefault="00117E02" w:rsidP="00117E02">
            <w:pPr>
              <w:rPr>
                <w:rFonts w:ascii="Times New Roman" w:hAnsi="Times New Roman" w:cs="Times New Roman"/>
                <w:sz w:val="21"/>
                <w:szCs w:val="21"/>
                <w:lang w:val="en-US"/>
              </w:rPr>
            </w:pPr>
            <w:r w:rsidRPr="00A2568E">
              <w:rPr>
                <w:rFonts w:ascii="Times New Roman" w:hAnsi="Times New Roman" w:cs="Times New Roman"/>
                <w:color w:val="000000" w:themeColor="text1"/>
                <w:sz w:val="21"/>
                <w:szCs w:val="21"/>
                <w:lang w:val="en-US"/>
              </w:rPr>
              <w:t>Internal consistency is high for the CAG (α=.98) and the three dimensions (α=.95 - .97) and good for the 10 skills (α=.82 - .96). Factor analysis also shows a good internal structure for the adult proxy-report (CFI: .90, TLI: .86, SRMR, .08) (Montero and Fernandez-Pinto, 2013).</w:t>
            </w:r>
            <w:r w:rsidRPr="00117E02">
              <w:rPr>
                <w:rFonts w:ascii="Times New Roman" w:hAnsi="Times New Roman" w:cs="Times New Roman"/>
                <w:color w:val="000000" w:themeColor="text1"/>
                <w:sz w:val="21"/>
                <w:szCs w:val="21"/>
                <w:lang w:val="en-US"/>
              </w:rPr>
              <w:t xml:space="preserve"> </w:t>
            </w:r>
          </w:p>
        </w:tc>
      </w:tr>
    </w:tbl>
    <w:p w14:paraId="7541EEA7" w14:textId="77777777" w:rsidR="0057693A" w:rsidRPr="0057693A" w:rsidRDefault="0057693A" w:rsidP="00364FDF">
      <w:pPr>
        <w:rPr>
          <w:lang w:val="en-US"/>
        </w:rPr>
      </w:pPr>
    </w:p>
    <w:sectPr w:rsidR="0057693A" w:rsidRPr="0057693A" w:rsidSect="000C41B4">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93A"/>
    <w:rsid w:val="000C41B4"/>
    <w:rsid w:val="00117E02"/>
    <w:rsid w:val="00364FDF"/>
    <w:rsid w:val="0057693A"/>
    <w:rsid w:val="0079595C"/>
    <w:rsid w:val="009825B1"/>
    <w:rsid w:val="00A2568E"/>
    <w:rsid w:val="00A82A13"/>
    <w:rsid w:val="00B8754B"/>
    <w:rsid w:val="00CA2EA3"/>
    <w:rsid w:val="00FF58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5376A76A"/>
  <w15:chartTrackingRefBased/>
  <w15:docId w15:val="{BCCC1A2C-B3D0-0048-B742-92F7E7CF4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93A"/>
    <w:pPr>
      <w:spacing w:after="0" w:line="240" w:lineRule="auto"/>
    </w:pPr>
    <w:rPr>
      <w:lang w:val="es-ES"/>
    </w:rPr>
  </w:style>
  <w:style w:type="paragraph" w:styleId="Ttulo1">
    <w:name w:val="heading 1"/>
    <w:basedOn w:val="Normal"/>
    <w:next w:val="Normal"/>
    <w:link w:val="Ttulo1Car"/>
    <w:uiPriority w:val="9"/>
    <w:qFormat/>
    <w:rsid w:val="0057693A"/>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rPr>
  </w:style>
  <w:style w:type="paragraph" w:styleId="Ttulo2">
    <w:name w:val="heading 2"/>
    <w:basedOn w:val="Normal"/>
    <w:next w:val="Normal"/>
    <w:link w:val="Ttulo2Car"/>
    <w:uiPriority w:val="9"/>
    <w:semiHidden/>
    <w:unhideWhenUsed/>
    <w:qFormat/>
    <w:rsid w:val="0057693A"/>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rPr>
  </w:style>
  <w:style w:type="paragraph" w:styleId="Ttulo3">
    <w:name w:val="heading 3"/>
    <w:basedOn w:val="Normal"/>
    <w:next w:val="Normal"/>
    <w:link w:val="Ttulo3Car"/>
    <w:uiPriority w:val="9"/>
    <w:semiHidden/>
    <w:unhideWhenUsed/>
    <w:qFormat/>
    <w:rsid w:val="0057693A"/>
    <w:pPr>
      <w:keepNext/>
      <w:keepLines/>
      <w:spacing w:before="160" w:after="80" w:line="278" w:lineRule="auto"/>
      <w:outlineLvl w:val="2"/>
    </w:pPr>
    <w:rPr>
      <w:rFonts w:eastAsiaTheme="majorEastAsia" w:cstheme="majorBidi"/>
      <w:color w:val="0F4761" w:themeColor="accent1" w:themeShade="BF"/>
      <w:sz w:val="28"/>
      <w:szCs w:val="28"/>
      <w:lang/>
    </w:rPr>
  </w:style>
  <w:style w:type="paragraph" w:styleId="Ttulo4">
    <w:name w:val="heading 4"/>
    <w:basedOn w:val="Normal"/>
    <w:next w:val="Normal"/>
    <w:link w:val="Ttulo4Car"/>
    <w:uiPriority w:val="9"/>
    <w:semiHidden/>
    <w:unhideWhenUsed/>
    <w:qFormat/>
    <w:rsid w:val="0057693A"/>
    <w:pPr>
      <w:keepNext/>
      <w:keepLines/>
      <w:spacing w:before="80" w:after="40" w:line="278" w:lineRule="auto"/>
      <w:outlineLvl w:val="3"/>
    </w:pPr>
    <w:rPr>
      <w:rFonts w:eastAsiaTheme="majorEastAsia" w:cstheme="majorBidi"/>
      <w:i/>
      <w:iCs/>
      <w:color w:val="0F4761" w:themeColor="accent1" w:themeShade="BF"/>
      <w:lang/>
    </w:rPr>
  </w:style>
  <w:style w:type="paragraph" w:styleId="Ttulo5">
    <w:name w:val="heading 5"/>
    <w:basedOn w:val="Normal"/>
    <w:next w:val="Normal"/>
    <w:link w:val="Ttulo5Car"/>
    <w:uiPriority w:val="9"/>
    <w:semiHidden/>
    <w:unhideWhenUsed/>
    <w:qFormat/>
    <w:rsid w:val="0057693A"/>
    <w:pPr>
      <w:keepNext/>
      <w:keepLines/>
      <w:spacing w:before="80" w:after="40" w:line="278" w:lineRule="auto"/>
      <w:outlineLvl w:val="4"/>
    </w:pPr>
    <w:rPr>
      <w:rFonts w:eastAsiaTheme="majorEastAsia" w:cstheme="majorBidi"/>
      <w:color w:val="0F4761" w:themeColor="accent1" w:themeShade="BF"/>
      <w:lang/>
    </w:rPr>
  </w:style>
  <w:style w:type="paragraph" w:styleId="Ttulo6">
    <w:name w:val="heading 6"/>
    <w:basedOn w:val="Normal"/>
    <w:next w:val="Normal"/>
    <w:link w:val="Ttulo6Car"/>
    <w:uiPriority w:val="9"/>
    <w:semiHidden/>
    <w:unhideWhenUsed/>
    <w:qFormat/>
    <w:rsid w:val="0057693A"/>
    <w:pPr>
      <w:keepNext/>
      <w:keepLines/>
      <w:spacing w:before="40" w:line="278" w:lineRule="auto"/>
      <w:outlineLvl w:val="5"/>
    </w:pPr>
    <w:rPr>
      <w:rFonts w:eastAsiaTheme="majorEastAsia" w:cstheme="majorBidi"/>
      <w:i/>
      <w:iCs/>
      <w:color w:val="595959" w:themeColor="text1" w:themeTint="A6"/>
      <w:lang/>
    </w:rPr>
  </w:style>
  <w:style w:type="paragraph" w:styleId="Ttulo7">
    <w:name w:val="heading 7"/>
    <w:basedOn w:val="Normal"/>
    <w:next w:val="Normal"/>
    <w:link w:val="Ttulo7Car"/>
    <w:uiPriority w:val="9"/>
    <w:semiHidden/>
    <w:unhideWhenUsed/>
    <w:qFormat/>
    <w:rsid w:val="0057693A"/>
    <w:pPr>
      <w:keepNext/>
      <w:keepLines/>
      <w:spacing w:before="40" w:line="278" w:lineRule="auto"/>
      <w:outlineLvl w:val="6"/>
    </w:pPr>
    <w:rPr>
      <w:rFonts w:eastAsiaTheme="majorEastAsia" w:cstheme="majorBidi"/>
      <w:color w:val="595959" w:themeColor="text1" w:themeTint="A6"/>
      <w:lang/>
    </w:rPr>
  </w:style>
  <w:style w:type="paragraph" w:styleId="Ttulo8">
    <w:name w:val="heading 8"/>
    <w:basedOn w:val="Normal"/>
    <w:next w:val="Normal"/>
    <w:link w:val="Ttulo8Car"/>
    <w:uiPriority w:val="9"/>
    <w:semiHidden/>
    <w:unhideWhenUsed/>
    <w:qFormat/>
    <w:rsid w:val="0057693A"/>
    <w:pPr>
      <w:keepNext/>
      <w:keepLines/>
      <w:spacing w:line="278" w:lineRule="auto"/>
      <w:outlineLvl w:val="7"/>
    </w:pPr>
    <w:rPr>
      <w:rFonts w:eastAsiaTheme="majorEastAsia" w:cstheme="majorBidi"/>
      <w:i/>
      <w:iCs/>
      <w:color w:val="272727" w:themeColor="text1" w:themeTint="D8"/>
      <w:lang/>
    </w:rPr>
  </w:style>
  <w:style w:type="paragraph" w:styleId="Ttulo9">
    <w:name w:val="heading 9"/>
    <w:basedOn w:val="Normal"/>
    <w:next w:val="Normal"/>
    <w:link w:val="Ttulo9Car"/>
    <w:uiPriority w:val="9"/>
    <w:semiHidden/>
    <w:unhideWhenUsed/>
    <w:qFormat/>
    <w:rsid w:val="0057693A"/>
    <w:pPr>
      <w:keepNext/>
      <w:keepLines/>
      <w:spacing w:line="278" w:lineRule="auto"/>
      <w:outlineLvl w:val="8"/>
    </w:pPr>
    <w:rPr>
      <w:rFonts w:eastAsiaTheme="majorEastAsia" w:cstheme="majorBidi"/>
      <w:color w:val="272727" w:themeColor="text1" w:themeTint="D8"/>
      <w:lang/>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7693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7693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7693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7693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7693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7693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7693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7693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7693A"/>
    <w:rPr>
      <w:rFonts w:eastAsiaTheme="majorEastAsia" w:cstheme="majorBidi"/>
      <w:color w:val="272727" w:themeColor="text1" w:themeTint="D8"/>
    </w:rPr>
  </w:style>
  <w:style w:type="paragraph" w:styleId="Ttulo">
    <w:name w:val="Title"/>
    <w:basedOn w:val="Normal"/>
    <w:next w:val="Normal"/>
    <w:link w:val="TtuloCar"/>
    <w:uiPriority w:val="10"/>
    <w:qFormat/>
    <w:rsid w:val="0057693A"/>
    <w:pPr>
      <w:spacing w:after="80"/>
      <w:contextualSpacing/>
    </w:pPr>
    <w:rPr>
      <w:rFonts w:asciiTheme="majorHAnsi" w:eastAsiaTheme="majorEastAsia" w:hAnsiTheme="majorHAnsi" w:cstheme="majorBidi"/>
      <w:spacing w:val="-10"/>
      <w:kern w:val="28"/>
      <w:sz w:val="56"/>
      <w:szCs w:val="56"/>
      <w:lang/>
    </w:rPr>
  </w:style>
  <w:style w:type="character" w:customStyle="1" w:styleId="TtuloCar">
    <w:name w:val="Título Car"/>
    <w:basedOn w:val="Fuentedeprrafopredeter"/>
    <w:link w:val="Ttulo"/>
    <w:uiPriority w:val="10"/>
    <w:rsid w:val="0057693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7693A"/>
    <w:pPr>
      <w:numPr>
        <w:ilvl w:val="1"/>
      </w:numPr>
      <w:spacing w:after="160" w:line="278" w:lineRule="auto"/>
    </w:pPr>
    <w:rPr>
      <w:rFonts w:eastAsiaTheme="majorEastAsia" w:cstheme="majorBidi"/>
      <w:color w:val="595959" w:themeColor="text1" w:themeTint="A6"/>
      <w:spacing w:val="15"/>
      <w:sz w:val="28"/>
      <w:szCs w:val="28"/>
      <w:lang/>
    </w:rPr>
  </w:style>
  <w:style w:type="character" w:customStyle="1" w:styleId="SubttuloCar">
    <w:name w:val="Subtítulo Car"/>
    <w:basedOn w:val="Fuentedeprrafopredeter"/>
    <w:link w:val="Subttulo"/>
    <w:uiPriority w:val="11"/>
    <w:rsid w:val="0057693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7693A"/>
    <w:pPr>
      <w:spacing w:before="160" w:after="160" w:line="278" w:lineRule="auto"/>
      <w:jc w:val="center"/>
    </w:pPr>
    <w:rPr>
      <w:i/>
      <w:iCs/>
      <w:color w:val="404040" w:themeColor="text1" w:themeTint="BF"/>
      <w:lang/>
    </w:rPr>
  </w:style>
  <w:style w:type="character" w:customStyle="1" w:styleId="CitaCar">
    <w:name w:val="Cita Car"/>
    <w:basedOn w:val="Fuentedeprrafopredeter"/>
    <w:link w:val="Cita"/>
    <w:uiPriority w:val="29"/>
    <w:rsid w:val="0057693A"/>
    <w:rPr>
      <w:i/>
      <w:iCs/>
      <w:color w:val="404040" w:themeColor="text1" w:themeTint="BF"/>
    </w:rPr>
  </w:style>
  <w:style w:type="paragraph" w:styleId="Prrafodelista">
    <w:name w:val="List Paragraph"/>
    <w:basedOn w:val="Normal"/>
    <w:uiPriority w:val="34"/>
    <w:qFormat/>
    <w:rsid w:val="0057693A"/>
    <w:pPr>
      <w:spacing w:after="160" w:line="278" w:lineRule="auto"/>
      <w:ind w:left="720"/>
      <w:contextualSpacing/>
    </w:pPr>
    <w:rPr>
      <w:lang/>
    </w:rPr>
  </w:style>
  <w:style w:type="character" w:styleId="nfasisintenso">
    <w:name w:val="Intense Emphasis"/>
    <w:basedOn w:val="Fuentedeprrafopredeter"/>
    <w:uiPriority w:val="21"/>
    <w:qFormat/>
    <w:rsid w:val="0057693A"/>
    <w:rPr>
      <w:i/>
      <w:iCs/>
      <w:color w:val="0F4761" w:themeColor="accent1" w:themeShade="BF"/>
    </w:rPr>
  </w:style>
  <w:style w:type="paragraph" w:styleId="Citadestacada">
    <w:name w:val="Intense Quote"/>
    <w:basedOn w:val="Normal"/>
    <w:next w:val="Normal"/>
    <w:link w:val="CitadestacadaCar"/>
    <w:uiPriority w:val="30"/>
    <w:qFormat/>
    <w:rsid w:val="0057693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lang/>
    </w:rPr>
  </w:style>
  <w:style w:type="character" w:customStyle="1" w:styleId="CitadestacadaCar">
    <w:name w:val="Cita destacada Car"/>
    <w:basedOn w:val="Fuentedeprrafopredeter"/>
    <w:link w:val="Citadestacada"/>
    <w:uiPriority w:val="30"/>
    <w:rsid w:val="0057693A"/>
    <w:rPr>
      <w:i/>
      <w:iCs/>
      <w:color w:val="0F4761" w:themeColor="accent1" w:themeShade="BF"/>
    </w:rPr>
  </w:style>
  <w:style w:type="character" w:styleId="Referenciaintensa">
    <w:name w:val="Intense Reference"/>
    <w:basedOn w:val="Fuentedeprrafopredeter"/>
    <w:uiPriority w:val="32"/>
    <w:qFormat/>
    <w:rsid w:val="0057693A"/>
    <w:rPr>
      <w:b/>
      <w:bCs/>
      <w:smallCaps/>
      <w:color w:val="0F4761" w:themeColor="accent1" w:themeShade="BF"/>
      <w:spacing w:val="5"/>
    </w:rPr>
  </w:style>
  <w:style w:type="table" w:styleId="Tablaconcuadrcula">
    <w:name w:val="Table Grid"/>
    <w:basedOn w:val="Tablanormal"/>
    <w:uiPriority w:val="39"/>
    <w:rsid w:val="00576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7693A"/>
    <w:rPr>
      <w:sz w:val="16"/>
      <w:szCs w:val="16"/>
    </w:rPr>
  </w:style>
  <w:style w:type="character" w:styleId="Hipervnculo">
    <w:name w:val="Hyperlink"/>
    <w:basedOn w:val="Fuentedeprrafopredeter"/>
    <w:uiPriority w:val="99"/>
    <w:unhideWhenUsed/>
    <w:rsid w:val="0057693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560</Words>
  <Characters>3082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Andrés Gárriz</dc:creator>
  <cp:keywords/>
  <dc:description/>
  <cp:lastModifiedBy>Clara Andres Garriz</cp:lastModifiedBy>
  <cp:revision>6</cp:revision>
  <dcterms:created xsi:type="dcterms:W3CDTF">2024-03-11T10:17:00Z</dcterms:created>
  <dcterms:modified xsi:type="dcterms:W3CDTF">2024-12-02T14:33:00Z</dcterms:modified>
</cp:coreProperties>
</file>