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55C03D" w14:textId="30C7C3ED" w:rsidR="00AE72C4" w:rsidRPr="0024482B" w:rsidRDefault="00AE72C4" w:rsidP="00AE72C4">
      <w:pPr>
        <w:spacing w:line="480" w:lineRule="auto"/>
        <w:jc w:val="center"/>
        <w:rPr>
          <w:rFonts w:ascii="Times New Roman" w:hAnsi="Times New Roman" w:cs="Times New Roman"/>
          <w:b/>
          <w:bCs/>
          <w:color w:val="000000" w:themeColor="text1"/>
          <w:sz w:val="24"/>
          <w:szCs w:val="24"/>
        </w:rPr>
      </w:pPr>
      <w:bookmarkStart w:id="0" w:name="_Toc197433668"/>
      <w:r w:rsidRPr="0024482B">
        <w:rPr>
          <w:rFonts w:ascii="Times New Roman" w:hAnsi="Times New Roman" w:cs="Times New Roman"/>
          <w:b/>
          <w:bCs/>
          <w:color w:val="000000" w:themeColor="text1"/>
          <w:sz w:val="24"/>
          <w:szCs w:val="24"/>
        </w:rPr>
        <w:t>Supplementary Materials</w:t>
      </w:r>
    </w:p>
    <w:p w14:paraId="6DBCB05C" w14:textId="77777777" w:rsidR="00AE72C4" w:rsidRPr="0024482B" w:rsidRDefault="00AE72C4" w:rsidP="00AE72C4">
      <w:pPr>
        <w:pStyle w:val="Heading1"/>
        <w:spacing w:line="480" w:lineRule="auto"/>
        <w:rPr>
          <w:rFonts w:ascii="Times New Roman" w:hAnsi="Times New Roman" w:cs="Times New Roman"/>
          <w:b/>
          <w:bCs/>
          <w:color w:val="000000" w:themeColor="text1"/>
          <w:sz w:val="24"/>
          <w:szCs w:val="24"/>
        </w:rPr>
      </w:pPr>
      <w:r w:rsidRPr="0024482B">
        <w:rPr>
          <w:rFonts w:ascii="Times New Roman" w:hAnsi="Times New Roman" w:cs="Times New Roman"/>
          <w:b/>
          <w:bCs/>
          <w:color w:val="000000" w:themeColor="text1"/>
          <w:sz w:val="24"/>
          <w:szCs w:val="24"/>
        </w:rPr>
        <w:t xml:space="preserve">A.   </w:t>
      </w:r>
      <w:r w:rsidRPr="0024482B">
        <w:rPr>
          <w:rFonts w:ascii="Times New Roman" w:hAnsi="Times New Roman" w:cs="Times New Roman"/>
          <w:b/>
          <w:bCs/>
          <w:color w:val="000000" w:themeColor="text1"/>
          <w:sz w:val="24"/>
          <w:szCs w:val="24"/>
          <w:u w:val="single"/>
        </w:rPr>
        <w:t>Qualitative Risk of Bias Assessment</w:t>
      </w:r>
    </w:p>
    <w:p w14:paraId="7AC6AF35" w14:textId="77777777" w:rsidR="00AE72C4" w:rsidRPr="0024482B" w:rsidRDefault="00AE72C4" w:rsidP="00AE72C4">
      <w:pPr>
        <w:pStyle w:val="Heading4"/>
        <w:spacing w:line="360" w:lineRule="auto"/>
        <w:rPr>
          <w:rFonts w:ascii="Times New Roman" w:hAnsi="Times New Roman" w:cs="Times New Roman"/>
          <w:b/>
          <w:bCs/>
          <w:color w:val="000000" w:themeColor="text1"/>
          <w:sz w:val="24"/>
          <w:szCs w:val="24"/>
        </w:rPr>
      </w:pPr>
      <w:r w:rsidRPr="0024482B">
        <w:rPr>
          <w:rFonts w:ascii="Times New Roman" w:hAnsi="Times New Roman" w:cs="Times New Roman"/>
          <w:b/>
          <w:bCs/>
          <w:color w:val="000000" w:themeColor="text1"/>
          <w:sz w:val="24"/>
          <w:szCs w:val="24"/>
        </w:rPr>
        <w:t>Selection Bias</w:t>
      </w:r>
    </w:p>
    <w:p w14:paraId="333C72C6" w14:textId="77777777" w:rsidR="00AE72C4" w:rsidRPr="0024482B" w:rsidRDefault="00AE72C4" w:rsidP="00AE72C4">
      <w:pPr>
        <w:shd w:val="clear" w:color="auto" w:fill="FFFFFF"/>
        <w:spacing w:line="360" w:lineRule="auto"/>
        <w:ind w:firstLine="720"/>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 xml:space="preserve">Selection bias was present across most studies, with it representing the second largest cause of </w:t>
      </w:r>
      <w:proofErr w:type="spellStart"/>
      <w:r w:rsidRPr="0024482B">
        <w:rPr>
          <w:rFonts w:ascii="Times New Roman" w:hAnsi="Times New Roman" w:cs="Times New Roman"/>
          <w:color w:val="000000" w:themeColor="text1"/>
          <w:sz w:val="24"/>
          <w:szCs w:val="24"/>
        </w:rPr>
        <w:t>RoB</w:t>
      </w:r>
      <w:proofErr w:type="spellEnd"/>
      <w:r w:rsidRPr="0024482B">
        <w:rPr>
          <w:rFonts w:ascii="Times New Roman" w:hAnsi="Times New Roman" w:cs="Times New Roman"/>
          <w:color w:val="000000" w:themeColor="text1"/>
          <w:sz w:val="24"/>
          <w:szCs w:val="24"/>
        </w:rPr>
        <w:t xml:space="preserve">. Eleven (40.7%) studies were rated as having a high </w:t>
      </w:r>
      <w:proofErr w:type="spellStart"/>
      <w:r w:rsidRPr="0024482B">
        <w:rPr>
          <w:rFonts w:ascii="Times New Roman" w:hAnsi="Times New Roman" w:cs="Times New Roman"/>
          <w:color w:val="000000" w:themeColor="text1"/>
          <w:sz w:val="24"/>
          <w:szCs w:val="24"/>
        </w:rPr>
        <w:t>RoB</w:t>
      </w:r>
      <w:proofErr w:type="spellEnd"/>
      <w:r w:rsidRPr="0024482B">
        <w:rPr>
          <w:rFonts w:ascii="Times New Roman" w:hAnsi="Times New Roman" w:cs="Times New Roman"/>
          <w:color w:val="000000" w:themeColor="text1"/>
          <w:sz w:val="24"/>
          <w:szCs w:val="24"/>
        </w:rPr>
        <w:t xml:space="preserve">, 11 (40.7%) were rated as unclear, and five (18.5%) were rated as having a low </w:t>
      </w:r>
      <w:proofErr w:type="spellStart"/>
      <w:r w:rsidRPr="0024482B">
        <w:rPr>
          <w:rFonts w:ascii="Times New Roman" w:hAnsi="Times New Roman" w:cs="Times New Roman"/>
          <w:color w:val="000000" w:themeColor="text1"/>
          <w:sz w:val="24"/>
          <w:szCs w:val="24"/>
        </w:rPr>
        <w:t>RoB</w:t>
      </w:r>
      <w:proofErr w:type="spellEnd"/>
      <w:r w:rsidRPr="0024482B">
        <w:rPr>
          <w:rFonts w:ascii="Times New Roman" w:hAnsi="Times New Roman" w:cs="Times New Roman"/>
          <w:color w:val="000000" w:themeColor="text1"/>
          <w:sz w:val="24"/>
          <w:szCs w:val="24"/>
        </w:rPr>
        <w:t>. The main reason for studies achieving high or unc</w:t>
      </w:r>
      <w:bookmarkStart w:id="1" w:name="_GoBack"/>
      <w:bookmarkEnd w:id="1"/>
      <w:r w:rsidRPr="0024482B">
        <w:rPr>
          <w:rFonts w:ascii="Times New Roman" w:hAnsi="Times New Roman" w:cs="Times New Roman"/>
          <w:color w:val="000000" w:themeColor="text1"/>
          <w:sz w:val="24"/>
          <w:szCs w:val="24"/>
        </w:rPr>
        <w:t>lear ratings was the method of establishing autism diagnoses or traits. The completion of a comprehensive, in-study assessment of autism was infrequent, and whilst some studies accepted a self-reported autism diagnosis, there was often no independent or professional verification.</w:t>
      </w:r>
    </w:p>
    <w:p w14:paraId="310BECC6" w14:textId="77777777" w:rsidR="00AE72C4" w:rsidRPr="0024482B" w:rsidRDefault="00AE72C4" w:rsidP="00AE72C4">
      <w:pPr>
        <w:pStyle w:val="Heading4"/>
        <w:spacing w:line="360" w:lineRule="auto"/>
        <w:rPr>
          <w:rFonts w:ascii="Times New Roman" w:hAnsi="Times New Roman" w:cs="Times New Roman"/>
          <w:b/>
          <w:bCs/>
          <w:color w:val="000000" w:themeColor="text1"/>
          <w:sz w:val="24"/>
          <w:szCs w:val="24"/>
        </w:rPr>
      </w:pPr>
      <w:r w:rsidRPr="0024482B">
        <w:rPr>
          <w:rFonts w:ascii="Times New Roman" w:hAnsi="Times New Roman" w:cs="Times New Roman"/>
          <w:b/>
          <w:bCs/>
          <w:color w:val="000000" w:themeColor="text1"/>
          <w:sz w:val="24"/>
          <w:szCs w:val="24"/>
        </w:rPr>
        <w:t>Performance Bias</w:t>
      </w:r>
    </w:p>
    <w:p w14:paraId="31872F6A" w14:textId="77777777" w:rsidR="00AE72C4" w:rsidRPr="0024482B" w:rsidRDefault="00AE72C4" w:rsidP="00AE72C4">
      <w:pPr>
        <w:spacing w:line="360" w:lineRule="auto"/>
        <w:ind w:firstLine="720"/>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 xml:space="preserve">The risk of performance bias was mainly unclear across studies. Seventeen (63%) achieved an unclear rating, nine (33.3%) were rated as having a low </w:t>
      </w:r>
      <w:proofErr w:type="spellStart"/>
      <w:r w:rsidRPr="0024482B">
        <w:rPr>
          <w:rFonts w:ascii="Times New Roman" w:hAnsi="Times New Roman" w:cs="Times New Roman"/>
          <w:color w:val="000000" w:themeColor="text1"/>
          <w:sz w:val="24"/>
          <w:szCs w:val="24"/>
        </w:rPr>
        <w:t>RoB</w:t>
      </w:r>
      <w:proofErr w:type="spellEnd"/>
      <w:r w:rsidRPr="0024482B">
        <w:rPr>
          <w:rFonts w:ascii="Times New Roman" w:hAnsi="Times New Roman" w:cs="Times New Roman"/>
          <w:color w:val="000000" w:themeColor="text1"/>
          <w:sz w:val="24"/>
          <w:szCs w:val="24"/>
        </w:rPr>
        <w:t>, and one (3.7%) was rated as high. This was partly because of the clarity provided around participation incentives. For example, McKernan and Russo (2024) offered monetary incentives for autistic participants, but non-autistic people were automatically screened out once recruitment thresholds were reached. It could be argued that there was a risk of differentially motivating participants with this approach, hence the high rating.</w:t>
      </w:r>
    </w:p>
    <w:p w14:paraId="2A32B3ED" w14:textId="77777777" w:rsidR="00AE72C4" w:rsidRPr="0024482B" w:rsidRDefault="00AE72C4" w:rsidP="00AE72C4">
      <w:pPr>
        <w:pStyle w:val="Heading4"/>
        <w:spacing w:line="360" w:lineRule="auto"/>
        <w:rPr>
          <w:rFonts w:ascii="Times New Roman" w:hAnsi="Times New Roman" w:cs="Times New Roman"/>
          <w:b/>
          <w:bCs/>
          <w:color w:val="000000" w:themeColor="text1"/>
          <w:sz w:val="24"/>
          <w:szCs w:val="24"/>
        </w:rPr>
      </w:pPr>
      <w:r w:rsidRPr="0024482B">
        <w:rPr>
          <w:rFonts w:ascii="Times New Roman" w:hAnsi="Times New Roman" w:cs="Times New Roman"/>
          <w:b/>
          <w:bCs/>
          <w:color w:val="000000" w:themeColor="text1"/>
          <w:sz w:val="24"/>
          <w:szCs w:val="24"/>
        </w:rPr>
        <w:t>Administration Fidelity</w:t>
      </w:r>
    </w:p>
    <w:p w14:paraId="762D4A56" w14:textId="77777777" w:rsidR="00AE72C4" w:rsidRPr="0024482B" w:rsidRDefault="00AE72C4" w:rsidP="00AE72C4">
      <w:pPr>
        <w:spacing w:line="360" w:lineRule="auto"/>
        <w:ind w:firstLine="720"/>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 xml:space="preserve">Out of all seven </w:t>
      </w:r>
      <w:proofErr w:type="spellStart"/>
      <w:r w:rsidRPr="0024482B">
        <w:rPr>
          <w:rFonts w:ascii="Times New Roman" w:hAnsi="Times New Roman" w:cs="Times New Roman"/>
          <w:color w:val="000000" w:themeColor="text1"/>
          <w:sz w:val="24"/>
          <w:szCs w:val="24"/>
        </w:rPr>
        <w:t>RoB</w:t>
      </w:r>
      <w:proofErr w:type="spellEnd"/>
      <w:r w:rsidRPr="0024482B">
        <w:rPr>
          <w:rFonts w:ascii="Times New Roman" w:hAnsi="Times New Roman" w:cs="Times New Roman"/>
          <w:color w:val="000000" w:themeColor="text1"/>
          <w:sz w:val="24"/>
          <w:szCs w:val="24"/>
        </w:rPr>
        <w:t xml:space="preserve"> categories, administration fidelity had the lowest </w:t>
      </w:r>
      <w:proofErr w:type="spellStart"/>
      <w:r w:rsidRPr="0024482B">
        <w:rPr>
          <w:rFonts w:ascii="Times New Roman" w:hAnsi="Times New Roman" w:cs="Times New Roman"/>
          <w:color w:val="000000" w:themeColor="text1"/>
          <w:sz w:val="24"/>
          <w:szCs w:val="24"/>
        </w:rPr>
        <w:t>RoB</w:t>
      </w:r>
      <w:proofErr w:type="spellEnd"/>
      <w:r w:rsidRPr="0024482B">
        <w:rPr>
          <w:rFonts w:ascii="Times New Roman" w:hAnsi="Times New Roman" w:cs="Times New Roman"/>
          <w:color w:val="000000" w:themeColor="text1"/>
          <w:sz w:val="24"/>
          <w:szCs w:val="24"/>
        </w:rPr>
        <w:t xml:space="preserve"> across studies. Sixteen studies (59.3%) were rated as having a low </w:t>
      </w:r>
      <w:proofErr w:type="spellStart"/>
      <w:r w:rsidRPr="0024482B">
        <w:rPr>
          <w:rFonts w:ascii="Times New Roman" w:hAnsi="Times New Roman" w:cs="Times New Roman"/>
          <w:color w:val="000000" w:themeColor="text1"/>
          <w:sz w:val="24"/>
          <w:szCs w:val="24"/>
        </w:rPr>
        <w:t>RoB</w:t>
      </w:r>
      <w:proofErr w:type="spellEnd"/>
      <w:r w:rsidRPr="0024482B">
        <w:rPr>
          <w:rFonts w:ascii="Times New Roman" w:hAnsi="Times New Roman" w:cs="Times New Roman"/>
          <w:color w:val="000000" w:themeColor="text1"/>
          <w:sz w:val="24"/>
          <w:szCs w:val="24"/>
        </w:rPr>
        <w:t xml:space="preserve">, nine (33.3%) were rated as unclear, and two (7.4%) had a high </w:t>
      </w:r>
      <w:proofErr w:type="spellStart"/>
      <w:r w:rsidRPr="0024482B">
        <w:rPr>
          <w:rFonts w:ascii="Times New Roman" w:hAnsi="Times New Roman" w:cs="Times New Roman"/>
          <w:color w:val="000000" w:themeColor="text1"/>
          <w:sz w:val="24"/>
          <w:szCs w:val="24"/>
        </w:rPr>
        <w:t>RoB</w:t>
      </w:r>
      <w:proofErr w:type="spellEnd"/>
      <w:r w:rsidRPr="0024482B">
        <w:rPr>
          <w:rFonts w:ascii="Times New Roman" w:hAnsi="Times New Roman" w:cs="Times New Roman"/>
          <w:color w:val="000000" w:themeColor="text1"/>
          <w:sz w:val="24"/>
          <w:szCs w:val="24"/>
        </w:rPr>
        <w:t xml:space="preserve">. Overall, studies recorded consistent administration procedures across participants. Where this was evidently not the case, studies were rated as having a high </w:t>
      </w:r>
      <w:proofErr w:type="spellStart"/>
      <w:r w:rsidRPr="0024482B">
        <w:rPr>
          <w:rFonts w:ascii="Times New Roman" w:hAnsi="Times New Roman" w:cs="Times New Roman"/>
          <w:color w:val="000000" w:themeColor="text1"/>
          <w:sz w:val="24"/>
          <w:szCs w:val="24"/>
        </w:rPr>
        <w:t>RoB</w:t>
      </w:r>
      <w:proofErr w:type="spellEnd"/>
      <w:r w:rsidRPr="0024482B">
        <w:rPr>
          <w:rFonts w:ascii="Times New Roman" w:hAnsi="Times New Roman" w:cs="Times New Roman"/>
          <w:color w:val="000000" w:themeColor="text1"/>
          <w:sz w:val="24"/>
          <w:szCs w:val="24"/>
        </w:rPr>
        <w:t xml:space="preserve">. One example is </w:t>
      </w:r>
      <w:proofErr w:type="spellStart"/>
      <w:r w:rsidRPr="0024482B">
        <w:rPr>
          <w:rFonts w:ascii="Times New Roman" w:hAnsi="Times New Roman" w:cs="Times New Roman"/>
          <w:color w:val="000000" w:themeColor="text1"/>
          <w:sz w:val="24"/>
          <w:szCs w:val="24"/>
        </w:rPr>
        <w:t>Riedelbauch</w:t>
      </w:r>
      <w:proofErr w:type="spellEnd"/>
      <w:r w:rsidRPr="0024482B">
        <w:rPr>
          <w:rFonts w:ascii="Times New Roman" w:hAnsi="Times New Roman" w:cs="Times New Roman"/>
          <w:color w:val="000000" w:themeColor="text1"/>
          <w:sz w:val="24"/>
          <w:szCs w:val="24"/>
        </w:rPr>
        <w:t xml:space="preserve"> (2024): administration varied in how participants completed the measure (either online or at home via pencil and paper), so a high </w:t>
      </w:r>
      <w:proofErr w:type="gramStart"/>
      <w:r w:rsidRPr="0024482B">
        <w:rPr>
          <w:rFonts w:ascii="Times New Roman" w:hAnsi="Times New Roman" w:cs="Times New Roman"/>
          <w:color w:val="000000" w:themeColor="text1"/>
          <w:sz w:val="24"/>
          <w:szCs w:val="24"/>
        </w:rPr>
        <w:t>risk</w:t>
      </w:r>
      <w:proofErr w:type="gramEnd"/>
      <w:r w:rsidRPr="0024482B">
        <w:rPr>
          <w:rFonts w:ascii="Times New Roman" w:hAnsi="Times New Roman" w:cs="Times New Roman"/>
          <w:color w:val="000000" w:themeColor="text1"/>
          <w:sz w:val="24"/>
          <w:szCs w:val="24"/>
        </w:rPr>
        <w:t xml:space="preserve"> of administration bias could not be ruled out.</w:t>
      </w:r>
    </w:p>
    <w:p w14:paraId="4289AAC5" w14:textId="77777777" w:rsidR="00AE72C4" w:rsidRPr="0024482B" w:rsidRDefault="00AE72C4" w:rsidP="00AE72C4">
      <w:pPr>
        <w:pStyle w:val="Heading4"/>
        <w:spacing w:line="360" w:lineRule="auto"/>
        <w:rPr>
          <w:rFonts w:ascii="Times New Roman" w:hAnsi="Times New Roman" w:cs="Times New Roman"/>
          <w:b/>
          <w:bCs/>
          <w:color w:val="000000" w:themeColor="text1"/>
          <w:sz w:val="24"/>
          <w:szCs w:val="24"/>
        </w:rPr>
      </w:pPr>
      <w:r w:rsidRPr="0024482B">
        <w:rPr>
          <w:rFonts w:ascii="Times New Roman" w:hAnsi="Times New Roman" w:cs="Times New Roman"/>
          <w:b/>
          <w:bCs/>
          <w:color w:val="000000" w:themeColor="text1"/>
          <w:sz w:val="24"/>
          <w:szCs w:val="24"/>
        </w:rPr>
        <w:t>Detection Bias</w:t>
      </w:r>
    </w:p>
    <w:p w14:paraId="36692634" w14:textId="77777777" w:rsidR="00AE72C4" w:rsidRPr="0024482B" w:rsidRDefault="00AE72C4" w:rsidP="00AE72C4">
      <w:pPr>
        <w:spacing w:line="360" w:lineRule="auto"/>
        <w:ind w:firstLine="720"/>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 xml:space="preserve">The risk of detection bias was mainly unclear, with 15 studies receiving this rating (55.6%). Conversely, 11 studies (40.7%) were given a low </w:t>
      </w:r>
      <w:proofErr w:type="spellStart"/>
      <w:r w:rsidRPr="0024482B">
        <w:rPr>
          <w:rFonts w:ascii="Times New Roman" w:hAnsi="Times New Roman" w:cs="Times New Roman"/>
          <w:color w:val="000000" w:themeColor="text1"/>
          <w:sz w:val="24"/>
          <w:szCs w:val="24"/>
        </w:rPr>
        <w:t>RoB</w:t>
      </w:r>
      <w:proofErr w:type="spellEnd"/>
      <w:r w:rsidRPr="0024482B">
        <w:rPr>
          <w:rFonts w:ascii="Times New Roman" w:hAnsi="Times New Roman" w:cs="Times New Roman"/>
          <w:color w:val="000000" w:themeColor="text1"/>
          <w:sz w:val="24"/>
          <w:szCs w:val="24"/>
        </w:rPr>
        <w:t xml:space="preserve"> rating, and one (4.17%) received a high rating. Most papers were rated as having an unclear risk of detection bias </w:t>
      </w:r>
      <w:r w:rsidRPr="0024482B">
        <w:rPr>
          <w:rFonts w:ascii="Times New Roman" w:hAnsi="Times New Roman" w:cs="Times New Roman"/>
          <w:color w:val="000000" w:themeColor="text1"/>
          <w:sz w:val="24"/>
          <w:szCs w:val="24"/>
        </w:rPr>
        <w:lastRenderedPageBreak/>
        <w:t xml:space="preserve">because of a lack of clarity around scoring procedures. Where scoring was not reported, it was not possible to eliminate a potential source of bias. In contrast, studies that achieved a low </w:t>
      </w:r>
      <w:proofErr w:type="spellStart"/>
      <w:r w:rsidRPr="0024482B">
        <w:rPr>
          <w:rFonts w:ascii="Times New Roman" w:hAnsi="Times New Roman" w:cs="Times New Roman"/>
          <w:color w:val="000000" w:themeColor="text1"/>
          <w:sz w:val="24"/>
          <w:szCs w:val="24"/>
        </w:rPr>
        <w:t>RoB</w:t>
      </w:r>
      <w:proofErr w:type="spellEnd"/>
      <w:r w:rsidRPr="0024482B">
        <w:rPr>
          <w:rFonts w:ascii="Times New Roman" w:hAnsi="Times New Roman" w:cs="Times New Roman"/>
          <w:color w:val="000000" w:themeColor="text1"/>
          <w:sz w:val="24"/>
          <w:szCs w:val="24"/>
        </w:rPr>
        <w:t xml:space="preserve"> rating were clear on their adherence to measures’ original scoring procedures. </w:t>
      </w:r>
    </w:p>
    <w:p w14:paraId="7AEB5C2C" w14:textId="77777777" w:rsidR="00AE72C4" w:rsidRPr="0024482B" w:rsidRDefault="00AE72C4" w:rsidP="00AE72C4">
      <w:pPr>
        <w:pStyle w:val="Heading4"/>
        <w:spacing w:line="360" w:lineRule="auto"/>
        <w:rPr>
          <w:rFonts w:ascii="Times New Roman" w:hAnsi="Times New Roman" w:cs="Times New Roman"/>
          <w:b/>
          <w:bCs/>
          <w:color w:val="000000" w:themeColor="text1"/>
          <w:sz w:val="24"/>
          <w:szCs w:val="24"/>
        </w:rPr>
      </w:pPr>
      <w:r w:rsidRPr="0024482B">
        <w:rPr>
          <w:rFonts w:ascii="Times New Roman" w:hAnsi="Times New Roman" w:cs="Times New Roman"/>
          <w:b/>
          <w:bCs/>
          <w:color w:val="000000" w:themeColor="text1"/>
          <w:sz w:val="24"/>
          <w:szCs w:val="24"/>
        </w:rPr>
        <w:t>Statistical Bias</w:t>
      </w:r>
    </w:p>
    <w:p w14:paraId="323C0889" w14:textId="77777777" w:rsidR="00AE72C4" w:rsidRPr="0024482B" w:rsidRDefault="00AE72C4" w:rsidP="00AE72C4">
      <w:pPr>
        <w:spacing w:line="360" w:lineRule="auto"/>
        <w:ind w:firstLine="720"/>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 xml:space="preserve">Statistical bias had the most unclear </w:t>
      </w:r>
      <w:proofErr w:type="spellStart"/>
      <w:r w:rsidRPr="0024482B">
        <w:rPr>
          <w:rFonts w:ascii="Times New Roman" w:hAnsi="Times New Roman" w:cs="Times New Roman"/>
          <w:color w:val="000000" w:themeColor="text1"/>
          <w:sz w:val="24"/>
          <w:szCs w:val="24"/>
        </w:rPr>
        <w:t>RoB</w:t>
      </w:r>
      <w:proofErr w:type="spellEnd"/>
      <w:r w:rsidRPr="0024482B">
        <w:rPr>
          <w:rFonts w:ascii="Times New Roman" w:hAnsi="Times New Roman" w:cs="Times New Roman"/>
          <w:color w:val="000000" w:themeColor="text1"/>
          <w:sz w:val="24"/>
          <w:szCs w:val="24"/>
        </w:rPr>
        <w:t xml:space="preserve"> across categories, with 21 papers (77.8%) receiving this rating. The main reason for this was a lack of reporting on missing data, particularly how missing data was handled and how it influenced the overall results. For example, Muniandy (2021) reported IC values appropriately, but did not state whether any data was missing from the overall dataset.</w:t>
      </w:r>
    </w:p>
    <w:p w14:paraId="44202FAF" w14:textId="77777777" w:rsidR="00AE72C4" w:rsidRPr="0024482B" w:rsidRDefault="00AE72C4" w:rsidP="00AE72C4">
      <w:pPr>
        <w:pStyle w:val="Heading4"/>
        <w:spacing w:line="360" w:lineRule="auto"/>
        <w:rPr>
          <w:rFonts w:ascii="Times New Roman" w:hAnsi="Times New Roman" w:cs="Times New Roman"/>
          <w:b/>
          <w:bCs/>
          <w:color w:val="000000" w:themeColor="text1"/>
          <w:sz w:val="24"/>
          <w:szCs w:val="24"/>
        </w:rPr>
      </w:pPr>
      <w:r w:rsidRPr="0024482B">
        <w:rPr>
          <w:rFonts w:ascii="Times New Roman" w:hAnsi="Times New Roman" w:cs="Times New Roman"/>
          <w:b/>
          <w:bCs/>
          <w:color w:val="000000" w:themeColor="text1"/>
          <w:sz w:val="24"/>
          <w:szCs w:val="24"/>
        </w:rPr>
        <w:t>Reporting Bias</w:t>
      </w:r>
    </w:p>
    <w:p w14:paraId="21D22418" w14:textId="77777777" w:rsidR="00AE72C4" w:rsidRPr="0024482B" w:rsidRDefault="00AE72C4" w:rsidP="00AE72C4">
      <w:pPr>
        <w:spacing w:line="360" w:lineRule="auto"/>
        <w:ind w:firstLine="720"/>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 xml:space="preserve">Reporting bias was the third highest </w:t>
      </w:r>
      <w:proofErr w:type="spellStart"/>
      <w:r w:rsidRPr="0024482B">
        <w:rPr>
          <w:rFonts w:ascii="Times New Roman" w:hAnsi="Times New Roman" w:cs="Times New Roman"/>
          <w:color w:val="000000" w:themeColor="text1"/>
          <w:sz w:val="24"/>
          <w:szCs w:val="24"/>
        </w:rPr>
        <w:t>RoB</w:t>
      </w:r>
      <w:proofErr w:type="spellEnd"/>
      <w:r w:rsidRPr="0024482B">
        <w:rPr>
          <w:rFonts w:ascii="Times New Roman" w:hAnsi="Times New Roman" w:cs="Times New Roman"/>
          <w:color w:val="000000" w:themeColor="text1"/>
          <w:sz w:val="24"/>
          <w:szCs w:val="24"/>
        </w:rPr>
        <w:t xml:space="preserve"> across studies. 17 studies (63%) were rated as unclear, six were rated as high (22.2%), and only four were rated as low (14.8%). The main reason for studies achieving high or unclear ratings was the level, or reporting, of attrition. Several studies also failed to report descriptive statistics for the completed anxiety measures, earning them a high </w:t>
      </w:r>
      <w:proofErr w:type="spellStart"/>
      <w:r w:rsidRPr="0024482B">
        <w:rPr>
          <w:rFonts w:ascii="Times New Roman" w:hAnsi="Times New Roman" w:cs="Times New Roman"/>
          <w:color w:val="000000" w:themeColor="text1"/>
          <w:sz w:val="24"/>
          <w:szCs w:val="24"/>
        </w:rPr>
        <w:t>RoB</w:t>
      </w:r>
      <w:proofErr w:type="spellEnd"/>
      <w:r w:rsidRPr="0024482B">
        <w:rPr>
          <w:rFonts w:ascii="Times New Roman" w:hAnsi="Times New Roman" w:cs="Times New Roman"/>
          <w:color w:val="000000" w:themeColor="text1"/>
          <w:sz w:val="24"/>
          <w:szCs w:val="24"/>
        </w:rPr>
        <w:t xml:space="preserve"> rating.</w:t>
      </w:r>
    </w:p>
    <w:p w14:paraId="15BF6631" w14:textId="77777777" w:rsidR="00AE72C4" w:rsidRPr="0024482B" w:rsidRDefault="00AE72C4" w:rsidP="00AE72C4">
      <w:pPr>
        <w:pStyle w:val="Heading4"/>
        <w:spacing w:line="360" w:lineRule="auto"/>
        <w:rPr>
          <w:rFonts w:ascii="Times New Roman" w:hAnsi="Times New Roman" w:cs="Times New Roman"/>
          <w:b/>
          <w:bCs/>
          <w:color w:val="000000" w:themeColor="text1"/>
          <w:sz w:val="24"/>
          <w:szCs w:val="24"/>
        </w:rPr>
      </w:pPr>
      <w:r w:rsidRPr="0024482B">
        <w:rPr>
          <w:rFonts w:ascii="Times New Roman" w:hAnsi="Times New Roman" w:cs="Times New Roman"/>
          <w:b/>
          <w:bCs/>
          <w:color w:val="000000" w:themeColor="text1"/>
          <w:sz w:val="24"/>
          <w:szCs w:val="24"/>
        </w:rPr>
        <w:t>Generalisability</w:t>
      </w:r>
    </w:p>
    <w:p w14:paraId="6AC0257D" w14:textId="77777777" w:rsidR="00AE72C4" w:rsidRPr="0024482B" w:rsidRDefault="00AE72C4" w:rsidP="00AE72C4">
      <w:pPr>
        <w:spacing w:line="360" w:lineRule="auto"/>
        <w:ind w:firstLine="720"/>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 xml:space="preserve">Generalisability had the second lowest </w:t>
      </w:r>
      <w:proofErr w:type="spellStart"/>
      <w:r w:rsidRPr="0024482B">
        <w:rPr>
          <w:rFonts w:ascii="Times New Roman" w:hAnsi="Times New Roman" w:cs="Times New Roman"/>
          <w:color w:val="000000" w:themeColor="text1"/>
          <w:sz w:val="24"/>
          <w:szCs w:val="24"/>
        </w:rPr>
        <w:t>RoB</w:t>
      </w:r>
      <w:proofErr w:type="spellEnd"/>
      <w:r w:rsidRPr="0024482B">
        <w:rPr>
          <w:rFonts w:ascii="Times New Roman" w:hAnsi="Times New Roman" w:cs="Times New Roman"/>
          <w:color w:val="000000" w:themeColor="text1"/>
          <w:sz w:val="24"/>
          <w:szCs w:val="24"/>
        </w:rPr>
        <w:t xml:space="preserve">, with 13 studies (48%) being deemed as having a low </w:t>
      </w:r>
      <w:proofErr w:type="spellStart"/>
      <w:r w:rsidRPr="0024482B">
        <w:rPr>
          <w:rFonts w:ascii="Times New Roman" w:hAnsi="Times New Roman" w:cs="Times New Roman"/>
          <w:color w:val="000000" w:themeColor="text1"/>
          <w:sz w:val="24"/>
          <w:szCs w:val="24"/>
        </w:rPr>
        <w:t>RoB</w:t>
      </w:r>
      <w:proofErr w:type="spellEnd"/>
      <w:r w:rsidRPr="0024482B">
        <w:rPr>
          <w:rFonts w:ascii="Times New Roman" w:hAnsi="Times New Roman" w:cs="Times New Roman"/>
          <w:color w:val="000000" w:themeColor="text1"/>
          <w:sz w:val="24"/>
          <w:szCs w:val="24"/>
        </w:rPr>
        <w:t>, and 14 as unclear (51.9%). Three studies had a sample size of less than 50 participants, whilst one study recruited less than 30 participants. However, the main risk to generalisability was the sampling method, with most studies being rated as unclear for recruiting from a single restricted or non-random sample.</w:t>
      </w:r>
    </w:p>
    <w:p w14:paraId="686B1562" w14:textId="77777777" w:rsidR="00AE72C4" w:rsidRPr="0024482B" w:rsidRDefault="00AE72C4" w:rsidP="00AE72C4">
      <w:pPr>
        <w:pStyle w:val="Heading4"/>
        <w:spacing w:line="360" w:lineRule="auto"/>
        <w:rPr>
          <w:rFonts w:ascii="Times New Roman" w:hAnsi="Times New Roman" w:cs="Times New Roman"/>
          <w:b/>
          <w:bCs/>
          <w:color w:val="000000" w:themeColor="text1"/>
          <w:sz w:val="24"/>
          <w:szCs w:val="24"/>
        </w:rPr>
      </w:pPr>
      <w:r w:rsidRPr="0024482B">
        <w:rPr>
          <w:rFonts w:ascii="Times New Roman" w:hAnsi="Times New Roman" w:cs="Times New Roman"/>
          <w:b/>
          <w:bCs/>
          <w:color w:val="000000" w:themeColor="text1"/>
          <w:sz w:val="24"/>
          <w:szCs w:val="24"/>
        </w:rPr>
        <w:t>Summary</w:t>
      </w:r>
    </w:p>
    <w:p w14:paraId="6F203CCC" w14:textId="77777777" w:rsidR="00AE72C4" w:rsidRPr="0024482B" w:rsidRDefault="00AE72C4" w:rsidP="00AE72C4">
      <w:pPr>
        <w:spacing w:line="360" w:lineRule="auto"/>
        <w:ind w:firstLine="720"/>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 xml:space="preserve">Overall, the </w:t>
      </w:r>
      <w:proofErr w:type="spellStart"/>
      <w:r w:rsidRPr="0024482B">
        <w:rPr>
          <w:rFonts w:ascii="Times New Roman" w:hAnsi="Times New Roman" w:cs="Times New Roman"/>
          <w:color w:val="000000" w:themeColor="text1"/>
          <w:sz w:val="24"/>
          <w:szCs w:val="24"/>
        </w:rPr>
        <w:t>RoB</w:t>
      </w:r>
      <w:proofErr w:type="spellEnd"/>
      <w:r w:rsidRPr="0024482B">
        <w:rPr>
          <w:rFonts w:ascii="Times New Roman" w:hAnsi="Times New Roman" w:cs="Times New Roman"/>
          <w:color w:val="000000" w:themeColor="text1"/>
          <w:sz w:val="24"/>
          <w:szCs w:val="24"/>
        </w:rPr>
        <w:t xml:space="preserve"> across the included studies was variable. Over half of studies were rated as having an unclear or high </w:t>
      </w:r>
      <w:proofErr w:type="spellStart"/>
      <w:r w:rsidRPr="0024482B">
        <w:rPr>
          <w:rFonts w:ascii="Times New Roman" w:hAnsi="Times New Roman" w:cs="Times New Roman"/>
          <w:color w:val="000000" w:themeColor="text1"/>
          <w:sz w:val="24"/>
          <w:szCs w:val="24"/>
        </w:rPr>
        <w:t>RoB</w:t>
      </w:r>
      <w:proofErr w:type="spellEnd"/>
      <w:r w:rsidRPr="0024482B">
        <w:rPr>
          <w:rFonts w:ascii="Times New Roman" w:hAnsi="Times New Roman" w:cs="Times New Roman"/>
          <w:color w:val="000000" w:themeColor="text1"/>
          <w:sz w:val="24"/>
          <w:szCs w:val="24"/>
        </w:rPr>
        <w:t xml:space="preserve"> on all categories except administration fidelity. Statistical and selection bias were the categories with the biggest threats of bias because of how autism diagnoses and traits were established, alongside studies being unclear on their scoring procedures.</w:t>
      </w:r>
    </w:p>
    <w:p w14:paraId="42C9430A" w14:textId="77777777" w:rsidR="00AE72C4" w:rsidRPr="0024482B" w:rsidRDefault="00AE72C4" w:rsidP="00AE72C4">
      <w:pPr>
        <w:rPr>
          <w:b/>
          <w:bCs/>
          <w:color w:val="000000" w:themeColor="text1"/>
          <w:u w:val="single"/>
        </w:rPr>
        <w:sectPr w:rsidR="00AE72C4" w:rsidRPr="0024482B" w:rsidSect="0024482B">
          <w:type w:val="continuous"/>
          <w:pgSz w:w="11906" w:h="16838"/>
          <w:pgMar w:top="1440" w:right="1440" w:bottom="1440" w:left="1440" w:header="708" w:footer="708" w:gutter="0"/>
          <w:cols w:space="708"/>
          <w:docGrid w:linePitch="360"/>
        </w:sectPr>
      </w:pPr>
    </w:p>
    <w:p w14:paraId="3E1DA3E2" w14:textId="77777777" w:rsidR="00AE72C4" w:rsidRPr="0024482B" w:rsidRDefault="00AE72C4" w:rsidP="00AE72C4">
      <w:pPr>
        <w:pStyle w:val="Heading1"/>
        <w:spacing w:line="480" w:lineRule="auto"/>
        <w:rPr>
          <w:rFonts w:ascii="Times New Roman" w:hAnsi="Times New Roman" w:cs="Times New Roman"/>
          <w:b/>
          <w:bCs/>
          <w:color w:val="000000" w:themeColor="text1"/>
          <w:sz w:val="24"/>
          <w:szCs w:val="24"/>
        </w:rPr>
      </w:pPr>
      <w:r w:rsidRPr="0024482B">
        <w:rPr>
          <w:rFonts w:ascii="Times New Roman" w:hAnsi="Times New Roman" w:cs="Times New Roman"/>
          <w:b/>
          <w:bCs/>
          <w:color w:val="000000" w:themeColor="text1"/>
          <w:sz w:val="24"/>
          <w:szCs w:val="24"/>
        </w:rPr>
        <w:lastRenderedPageBreak/>
        <w:t xml:space="preserve">B.  </w:t>
      </w:r>
      <w:r w:rsidRPr="0024482B">
        <w:rPr>
          <w:rFonts w:ascii="Times New Roman" w:hAnsi="Times New Roman" w:cs="Times New Roman"/>
          <w:b/>
          <w:bCs/>
          <w:color w:val="000000" w:themeColor="text1"/>
          <w:sz w:val="24"/>
          <w:szCs w:val="24"/>
          <w:u w:val="single"/>
        </w:rPr>
        <w:t>Data Extracted from All Studies</w:t>
      </w:r>
      <w:bookmarkEnd w:id="0"/>
    </w:p>
    <w:tbl>
      <w:tblPr>
        <w:tblW w:w="14657" w:type="dxa"/>
        <w:tblBorders>
          <w:top w:val="single" w:sz="4" w:space="0" w:color="auto"/>
          <w:bottom w:val="single" w:sz="4" w:space="0" w:color="auto"/>
        </w:tblBorders>
        <w:tblLook w:val="04A0" w:firstRow="1" w:lastRow="0" w:firstColumn="1" w:lastColumn="0" w:noHBand="0" w:noVBand="1"/>
      </w:tblPr>
      <w:tblGrid>
        <w:gridCol w:w="630"/>
        <w:gridCol w:w="1550"/>
        <w:gridCol w:w="2895"/>
        <w:gridCol w:w="993"/>
        <w:gridCol w:w="850"/>
        <w:gridCol w:w="709"/>
        <w:gridCol w:w="1134"/>
        <w:gridCol w:w="992"/>
        <w:gridCol w:w="992"/>
        <w:gridCol w:w="1116"/>
        <w:gridCol w:w="1037"/>
        <w:gridCol w:w="1523"/>
        <w:gridCol w:w="236"/>
      </w:tblGrid>
      <w:tr w:rsidR="0024482B" w:rsidRPr="0024482B" w14:paraId="24CF6AC0" w14:textId="77777777" w:rsidTr="003F2F3D">
        <w:trPr>
          <w:trHeight w:val="329"/>
        </w:trPr>
        <w:tc>
          <w:tcPr>
            <w:tcW w:w="630" w:type="dxa"/>
            <w:tcBorders>
              <w:top w:val="single" w:sz="4" w:space="0" w:color="auto"/>
              <w:bottom w:val="single" w:sz="4" w:space="0" w:color="auto"/>
            </w:tcBorders>
            <w:noWrap/>
            <w:vAlign w:val="center"/>
          </w:tcPr>
          <w:p w14:paraId="1224F95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ID</w:t>
            </w:r>
          </w:p>
        </w:tc>
        <w:tc>
          <w:tcPr>
            <w:tcW w:w="1550" w:type="dxa"/>
            <w:tcBorders>
              <w:top w:val="single" w:sz="4" w:space="0" w:color="auto"/>
              <w:bottom w:val="single" w:sz="4" w:space="0" w:color="auto"/>
            </w:tcBorders>
            <w:noWrap/>
            <w:vAlign w:val="center"/>
          </w:tcPr>
          <w:p w14:paraId="2F7EF33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Study</w:t>
            </w:r>
          </w:p>
        </w:tc>
        <w:tc>
          <w:tcPr>
            <w:tcW w:w="2895" w:type="dxa"/>
            <w:tcBorders>
              <w:top w:val="single" w:sz="4" w:space="0" w:color="auto"/>
              <w:bottom w:val="single" w:sz="4" w:space="0" w:color="auto"/>
            </w:tcBorders>
            <w:noWrap/>
            <w:vAlign w:val="center"/>
          </w:tcPr>
          <w:p w14:paraId="344693E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Scale</w:t>
            </w:r>
          </w:p>
        </w:tc>
        <w:tc>
          <w:tcPr>
            <w:tcW w:w="993" w:type="dxa"/>
            <w:tcBorders>
              <w:top w:val="single" w:sz="4" w:space="0" w:color="auto"/>
              <w:bottom w:val="single" w:sz="4" w:space="0" w:color="auto"/>
            </w:tcBorders>
            <w:noWrap/>
            <w:vAlign w:val="center"/>
          </w:tcPr>
          <w:p w14:paraId="12A4BA7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Alpha</w:t>
            </w:r>
          </w:p>
        </w:tc>
        <w:tc>
          <w:tcPr>
            <w:tcW w:w="850" w:type="dxa"/>
            <w:tcBorders>
              <w:top w:val="single" w:sz="4" w:space="0" w:color="auto"/>
              <w:bottom w:val="single" w:sz="4" w:space="0" w:color="auto"/>
            </w:tcBorders>
            <w:noWrap/>
            <w:vAlign w:val="center"/>
          </w:tcPr>
          <w:p w14:paraId="549348B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Items</w:t>
            </w:r>
          </w:p>
        </w:tc>
        <w:tc>
          <w:tcPr>
            <w:tcW w:w="709" w:type="dxa"/>
            <w:tcBorders>
              <w:top w:val="single" w:sz="4" w:space="0" w:color="auto"/>
              <w:bottom w:val="single" w:sz="4" w:space="0" w:color="auto"/>
            </w:tcBorders>
            <w:noWrap/>
            <w:vAlign w:val="center"/>
          </w:tcPr>
          <w:p w14:paraId="315A7A1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N</w:t>
            </w:r>
          </w:p>
        </w:tc>
        <w:tc>
          <w:tcPr>
            <w:tcW w:w="1134" w:type="dxa"/>
            <w:tcBorders>
              <w:top w:val="single" w:sz="4" w:space="0" w:color="auto"/>
              <w:bottom w:val="single" w:sz="4" w:space="0" w:color="auto"/>
            </w:tcBorders>
            <w:noWrap/>
            <w:vAlign w:val="center"/>
          </w:tcPr>
          <w:p w14:paraId="770B833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Alpha (VAR)</w:t>
            </w:r>
          </w:p>
        </w:tc>
        <w:tc>
          <w:tcPr>
            <w:tcW w:w="992" w:type="dxa"/>
            <w:tcBorders>
              <w:top w:val="single" w:sz="4" w:space="0" w:color="auto"/>
              <w:bottom w:val="single" w:sz="4" w:space="0" w:color="auto"/>
            </w:tcBorders>
            <w:noWrap/>
            <w:vAlign w:val="center"/>
          </w:tcPr>
          <w:p w14:paraId="0FB70A7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Alpha (SE)</w:t>
            </w:r>
          </w:p>
        </w:tc>
        <w:tc>
          <w:tcPr>
            <w:tcW w:w="992" w:type="dxa"/>
            <w:tcBorders>
              <w:top w:val="single" w:sz="4" w:space="0" w:color="auto"/>
              <w:bottom w:val="single" w:sz="4" w:space="0" w:color="auto"/>
            </w:tcBorders>
            <w:noWrap/>
            <w:vAlign w:val="center"/>
          </w:tcPr>
          <w:p w14:paraId="7C1A27F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Effect (ABT)</w:t>
            </w:r>
          </w:p>
        </w:tc>
        <w:tc>
          <w:tcPr>
            <w:tcW w:w="1116" w:type="dxa"/>
            <w:tcBorders>
              <w:top w:val="single" w:sz="4" w:space="0" w:color="auto"/>
              <w:bottom w:val="single" w:sz="4" w:space="0" w:color="auto"/>
            </w:tcBorders>
            <w:noWrap/>
            <w:vAlign w:val="center"/>
          </w:tcPr>
          <w:p w14:paraId="127BFE4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proofErr w:type="spellStart"/>
            <w:r w:rsidRPr="0024482B">
              <w:rPr>
                <w:rFonts w:ascii="Times New Roman" w:eastAsia="Times New Roman" w:hAnsi="Times New Roman" w:cs="Times New Roman"/>
                <w:color w:val="000000" w:themeColor="text1"/>
                <w:kern w:val="0"/>
                <w:sz w:val="24"/>
                <w:szCs w:val="24"/>
                <w:lang w:eastAsia="en-GB"/>
                <w14:ligatures w14:val="none"/>
              </w:rPr>
              <w:t>ABT.Var</w:t>
            </w:r>
            <w:proofErr w:type="spellEnd"/>
          </w:p>
        </w:tc>
        <w:tc>
          <w:tcPr>
            <w:tcW w:w="1037" w:type="dxa"/>
            <w:tcBorders>
              <w:top w:val="single" w:sz="4" w:space="0" w:color="auto"/>
              <w:bottom w:val="single" w:sz="4" w:space="0" w:color="auto"/>
            </w:tcBorders>
            <w:noWrap/>
            <w:vAlign w:val="center"/>
          </w:tcPr>
          <w:p w14:paraId="39D7CC9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ABT.SE</w:t>
            </w:r>
          </w:p>
        </w:tc>
        <w:tc>
          <w:tcPr>
            <w:tcW w:w="1523" w:type="dxa"/>
            <w:tcBorders>
              <w:top w:val="single" w:sz="4" w:space="0" w:color="auto"/>
              <w:bottom w:val="single" w:sz="4" w:space="0" w:color="auto"/>
            </w:tcBorders>
            <w:vAlign w:val="center"/>
          </w:tcPr>
          <w:p w14:paraId="26D0263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Design</w:t>
            </w:r>
          </w:p>
        </w:tc>
        <w:tc>
          <w:tcPr>
            <w:tcW w:w="236" w:type="dxa"/>
            <w:tcBorders>
              <w:top w:val="single" w:sz="4" w:space="0" w:color="auto"/>
              <w:bottom w:val="single" w:sz="4" w:space="0" w:color="auto"/>
            </w:tcBorders>
          </w:tcPr>
          <w:p w14:paraId="1A575E75"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2B0C2939" w14:textId="77777777" w:rsidTr="003F2F3D">
        <w:trPr>
          <w:trHeight w:val="329"/>
        </w:trPr>
        <w:tc>
          <w:tcPr>
            <w:tcW w:w="630" w:type="dxa"/>
            <w:noWrap/>
            <w:vAlign w:val="center"/>
            <w:hideMark/>
          </w:tcPr>
          <w:p w14:paraId="443EFCB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w:t>
            </w:r>
          </w:p>
        </w:tc>
        <w:tc>
          <w:tcPr>
            <w:tcW w:w="1550" w:type="dxa"/>
            <w:noWrap/>
            <w:vAlign w:val="center"/>
            <w:hideMark/>
          </w:tcPr>
          <w:p w14:paraId="3F722F2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Aller et al., 2022</w:t>
            </w:r>
          </w:p>
        </w:tc>
        <w:tc>
          <w:tcPr>
            <w:tcW w:w="2895" w:type="dxa"/>
            <w:noWrap/>
            <w:vAlign w:val="center"/>
            <w:hideMark/>
          </w:tcPr>
          <w:p w14:paraId="1A87E53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Depression Anxiety and Stress Scales (DASS-21; Anxiety Subscale)</w:t>
            </w:r>
          </w:p>
        </w:tc>
        <w:tc>
          <w:tcPr>
            <w:tcW w:w="993" w:type="dxa"/>
            <w:noWrap/>
            <w:vAlign w:val="center"/>
            <w:hideMark/>
          </w:tcPr>
          <w:p w14:paraId="6A71B7C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0.8</w:t>
            </w:r>
          </w:p>
        </w:tc>
        <w:tc>
          <w:tcPr>
            <w:tcW w:w="850" w:type="dxa"/>
            <w:noWrap/>
            <w:vAlign w:val="center"/>
            <w:hideMark/>
          </w:tcPr>
          <w:p w14:paraId="27A4926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21</w:t>
            </w:r>
          </w:p>
        </w:tc>
        <w:tc>
          <w:tcPr>
            <w:tcW w:w="709" w:type="dxa"/>
            <w:noWrap/>
            <w:vAlign w:val="center"/>
            <w:hideMark/>
          </w:tcPr>
          <w:p w14:paraId="6F925BD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461</w:t>
            </w:r>
          </w:p>
        </w:tc>
        <w:tc>
          <w:tcPr>
            <w:tcW w:w="1134" w:type="dxa"/>
            <w:noWrap/>
            <w:vAlign w:val="center"/>
          </w:tcPr>
          <w:p w14:paraId="5CD9B3F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0.0002</w:t>
            </w:r>
          </w:p>
        </w:tc>
        <w:tc>
          <w:tcPr>
            <w:tcW w:w="992" w:type="dxa"/>
            <w:noWrap/>
            <w:vAlign w:val="center"/>
          </w:tcPr>
          <w:p w14:paraId="26DB31B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0.0135</w:t>
            </w:r>
          </w:p>
        </w:tc>
        <w:tc>
          <w:tcPr>
            <w:tcW w:w="992" w:type="dxa"/>
            <w:noWrap/>
            <w:vAlign w:val="center"/>
          </w:tcPr>
          <w:p w14:paraId="420E87B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1.6094</w:t>
            </w:r>
          </w:p>
        </w:tc>
        <w:tc>
          <w:tcPr>
            <w:tcW w:w="1116" w:type="dxa"/>
            <w:noWrap/>
            <w:vAlign w:val="center"/>
          </w:tcPr>
          <w:p w14:paraId="4279D36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0.0046</w:t>
            </w:r>
          </w:p>
        </w:tc>
        <w:tc>
          <w:tcPr>
            <w:tcW w:w="1037" w:type="dxa"/>
            <w:noWrap/>
            <w:vAlign w:val="center"/>
          </w:tcPr>
          <w:p w14:paraId="56AFA7F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0.0676</w:t>
            </w:r>
          </w:p>
        </w:tc>
        <w:tc>
          <w:tcPr>
            <w:tcW w:w="1523" w:type="dxa"/>
            <w:vAlign w:val="center"/>
          </w:tcPr>
          <w:p w14:paraId="2BCB027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2629C235"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2663BE3E" w14:textId="77777777" w:rsidTr="003F2F3D">
        <w:trPr>
          <w:trHeight w:val="329"/>
        </w:trPr>
        <w:tc>
          <w:tcPr>
            <w:tcW w:w="630" w:type="dxa"/>
            <w:noWrap/>
            <w:vAlign w:val="center"/>
            <w:hideMark/>
          </w:tcPr>
          <w:p w14:paraId="0C962B8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2A</w:t>
            </w:r>
          </w:p>
        </w:tc>
        <w:tc>
          <w:tcPr>
            <w:tcW w:w="1550" w:type="dxa"/>
            <w:noWrap/>
            <w:vAlign w:val="center"/>
            <w:hideMark/>
          </w:tcPr>
          <w:p w14:paraId="780FA56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proofErr w:type="spellStart"/>
            <w:r w:rsidRPr="0024482B">
              <w:rPr>
                <w:rFonts w:ascii="Times New Roman" w:eastAsia="Times New Roman" w:hAnsi="Times New Roman" w:cs="Times New Roman"/>
                <w:color w:val="000000" w:themeColor="text1"/>
                <w:kern w:val="0"/>
                <w:sz w:val="24"/>
                <w:szCs w:val="24"/>
                <w:lang w:eastAsia="en-GB"/>
                <w14:ligatures w14:val="none"/>
              </w:rPr>
              <w:t>Bemmer</w:t>
            </w:r>
            <w:proofErr w:type="spellEnd"/>
            <w:r w:rsidRPr="0024482B">
              <w:rPr>
                <w:rFonts w:ascii="Times New Roman" w:eastAsia="Times New Roman" w:hAnsi="Times New Roman" w:cs="Times New Roman"/>
                <w:color w:val="000000" w:themeColor="text1"/>
                <w:kern w:val="0"/>
                <w:sz w:val="24"/>
                <w:szCs w:val="24"/>
                <w:lang w:eastAsia="en-GB"/>
                <w14:ligatures w14:val="none"/>
              </w:rPr>
              <w:t xml:space="preserve"> et al., 2021</w:t>
            </w:r>
          </w:p>
        </w:tc>
        <w:tc>
          <w:tcPr>
            <w:tcW w:w="2895" w:type="dxa"/>
            <w:noWrap/>
            <w:vAlign w:val="center"/>
            <w:hideMark/>
          </w:tcPr>
          <w:p w14:paraId="0B48C9A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Liebowitz Social Anxiety Scale (LSAS)</w:t>
            </w:r>
          </w:p>
        </w:tc>
        <w:tc>
          <w:tcPr>
            <w:tcW w:w="993" w:type="dxa"/>
            <w:noWrap/>
            <w:vAlign w:val="center"/>
            <w:hideMark/>
          </w:tcPr>
          <w:p w14:paraId="026C6A0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0.96</w:t>
            </w:r>
          </w:p>
        </w:tc>
        <w:tc>
          <w:tcPr>
            <w:tcW w:w="850" w:type="dxa"/>
            <w:noWrap/>
            <w:vAlign w:val="center"/>
            <w:hideMark/>
          </w:tcPr>
          <w:p w14:paraId="142C530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24</w:t>
            </w:r>
          </w:p>
        </w:tc>
        <w:tc>
          <w:tcPr>
            <w:tcW w:w="709" w:type="dxa"/>
            <w:noWrap/>
            <w:vAlign w:val="center"/>
            <w:hideMark/>
          </w:tcPr>
          <w:p w14:paraId="037A0E2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78</w:t>
            </w:r>
          </w:p>
        </w:tc>
        <w:tc>
          <w:tcPr>
            <w:tcW w:w="1134" w:type="dxa"/>
            <w:noWrap/>
            <w:vAlign w:val="center"/>
          </w:tcPr>
          <w:p w14:paraId="7C7D0FF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&lt;0.0001</w:t>
            </w:r>
          </w:p>
        </w:tc>
        <w:tc>
          <w:tcPr>
            <w:tcW w:w="992" w:type="dxa"/>
            <w:noWrap/>
            <w:vAlign w:val="center"/>
          </w:tcPr>
          <w:p w14:paraId="64DB040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0.0066</w:t>
            </w:r>
          </w:p>
        </w:tc>
        <w:tc>
          <w:tcPr>
            <w:tcW w:w="992" w:type="dxa"/>
            <w:noWrap/>
            <w:vAlign w:val="center"/>
          </w:tcPr>
          <w:p w14:paraId="41362D2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3.2189</w:t>
            </w:r>
          </w:p>
        </w:tc>
        <w:tc>
          <w:tcPr>
            <w:tcW w:w="1116" w:type="dxa"/>
            <w:noWrap/>
            <w:vAlign w:val="center"/>
          </w:tcPr>
          <w:p w14:paraId="566E016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0.0275</w:t>
            </w:r>
          </w:p>
        </w:tc>
        <w:tc>
          <w:tcPr>
            <w:tcW w:w="1037" w:type="dxa"/>
            <w:noWrap/>
            <w:vAlign w:val="center"/>
          </w:tcPr>
          <w:p w14:paraId="553807D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0.1657</w:t>
            </w:r>
          </w:p>
        </w:tc>
        <w:tc>
          <w:tcPr>
            <w:tcW w:w="1523" w:type="dxa"/>
            <w:vAlign w:val="center"/>
          </w:tcPr>
          <w:p w14:paraId="6192550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45D563D5"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13D93BFA" w14:textId="77777777" w:rsidTr="003F2F3D">
        <w:trPr>
          <w:trHeight w:val="329"/>
        </w:trPr>
        <w:tc>
          <w:tcPr>
            <w:tcW w:w="630" w:type="dxa"/>
            <w:noWrap/>
            <w:vAlign w:val="center"/>
            <w:hideMark/>
          </w:tcPr>
          <w:p w14:paraId="5B861E8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2B</w:t>
            </w:r>
          </w:p>
        </w:tc>
        <w:tc>
          <w:tcPr>
            <w:tcW w:w="1550" w:type="dxa"/>
            <w:noWrap/>
            <w:vAlign w:val="center"/>
            <w:hideMark/>
          </w:tcPr>
          <w:p w14:paraId="434DD7E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vertAlign w:val="superscript"/>
                <w:lang w:eastAsia="en-GB"/>
                <w14:ligatures w14:val="none"/>
              </w:rPr>
            </w:pPr>
            <w:proofErr w:type="spellStart"/>
            <w:r w:rsidRPr="0024482B">
              <w:rPr>
                <w:rFonts w:ascii="Times New Roman" w:eastAsia="Times New Roman" w:hAnsi="Times New Roman" w:cs="Times New Roman"/>
                <w:color w:val="000000" w:themeColor="text1"/>
                <w:kern w:val="0"/>
                <w:sz w:val="24"/>
                <w:szCs w:val="24"/>
                <w:lang w:eastAsia="en-GB"/>
                <w14:ligatures w14:val="none"/>
              </w:rPr>
              <w:t>Bemmer</w:t>
            </w:r>
            <w:proofErr w:type="spellEnd"/>
            <w:r w:rsidRPr="0024482B">
              <w:rPr>
                <w:rFonts w:ascii="Times New Roman" w:eastAsia="Times New Roman" w:hAnsi="Times New Roman" w:cs="Times New Roman"/>
                <w:color w:val="000000" w:themeColor="text1"/>
                <w:kern w:val="0"/>
                <w:sz w:val="24"/>
                <w:szCs w:val="24"/>
                <w:lang w:eastAsia="en-GB"/>
                <w14:ligatures w14:val="none"/>
              </w:rPr>
              <w:t xml:space="preserve"> et al., 2021</w:t>
            </w:r>
          </w:p>
        </w:tc>
        <w:tc>
          <w:tcPr>
            <w:tcW w:w="2895" w:type="dxa"/>
            <w:noWrap/>
            <w:vAlign w:val="center"/>
            <w:hideMark/>
          </w:tcPr>
          <w:p w14:paraId="1C601E2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Depression Anxiety Stress Scales (DASS-21)</w:t>
            </w:r>
          </w:p>
        </w:tc>
        <w:tc>
          <w:tcPr>
            <w:tcW w:w="993" w:type="dxa"/>
            <w:noWrap/>
            <w:vAlign w:val="center"/>
            <w:hideMark/>
          </w:tcPr>
          <w:p w14:paraId="2E72376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0.95</w:t>
            </w:r>
          </w:p>
        </w:tc>
        <w:tc>
          <w:tcPr>
            <w:tcW w:w="850" w:type="dxa"/>
            <w:noWrap/>
            <w:vAlign w:val="center"/>
            <w:hideMark/>
          </w:tcPr>
          <w:p w14:paraId="6EC3635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21</w:t>
            </w:r>
          </w:p>
        </w:tc>
        <w:tc>
          <w:tcPr>
            <w:tcW w:w="709" w:type="dxa"/>
            <w:noWrap/>
            <w:vAlign w:val="center"/>
            <w:hideMark/>
          </w:tcPr>
          <w:p w14:paraId="58C62DE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78</w:t>
            </w:r>
          </w:p>
        </w:tc>
        <w:tc>
          <w:tcPr>
            <w:tcW w:w="1134" w:type="dxa"/>
            <w:noWrap/>
            <w:vAlign w:val="center"/>
          </w:tcPr>
          <w:p w14:paraId="45DB22E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0.0001</w:t>
            </w:r>
          </w:p>
        </w:tc>
        <w:tc>
          <w:tcPr>
            <w:tcW w:w="992" w:type="dxa"/>
            <w:noWrap/>
            <w:vAlign w:val="center"/>
          </w:tcPr>
          <w:p w14:paraId="02D7A03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0.0083</w:t>
            </w:r>
          </w:p>
        </w:tc>
        <w:tc>
          <w:tcPr>
            <w:tcW w:w="992" w:type="dxa"/>
            <w:noWrap/>
            <w:vAlign w:val="center"/>
          </w:tcPr>
          <w:p w14:paraId="25290CD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2.9957</w:t>
            </w:r>
          </w:p>
        </w:tc>
        <w:tc>
          <w:tcPr>
            <w:tcW w:w="1116" w:type="dxa"/>
            <w:noWrap/>
            <w:vAlign w:val="center"/>
          </w:tcPr>
          <w:p w14:paraId="32DF08F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0.0276</w:t>
            </w:r>
          </w:p>
        </w:tc>
        <w:tc>
          <w:tcPr>
            <w:tcW w:w="1037" w:type="dxa"/>
            <w:noWrap/>
            <w:vAlign w:val="center"/>
          </w:tcPr>
          <w:p w14:paraId="31681A0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0.1662</w:t>
            </w:r>
          </w:p>
        </w:tc>
        <w:tc>
          <w:tcPr>
            <w:tcW w:w="1523" w:type="dxa"/>
            <w:vAlign w:val="center"/>
          </w:tcPr>
          <w:p w14:paraId="01BAD1F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7715A148"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39D1F2DA" w14:textId="77777777" w:rsidTr="003F2F3D">
        <w:trPr>
          <w:trHeight w:val="329"/>
        </w:trPr>
        <w:tc>
          <w:tcPr>
            <w:tcW w:w="630" w:type="dxa"/>
            <w:noWrap/>
            <w:vAlign w:val="center"/>
            <w:hideMark/>
          </w:tcPr>
          <w:p w14:paraId="0FDE90C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2C</w:t>
            </w:r>
          </w:p>
        </w:tc>
        <w:tc>
          <w:tcPr>
            <w:tcW w:w="1550" w:type="dxa"/>
            <w:noWrap/>
            <w:vAlign w:val="center"/>
            <w:hideMark/>
          </w:tcPr>
          <w:p w14:paraId="6864190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proofErr w:type="spellStart"/>
            <w:r w:rsidRPr="0024482B">
              <w:rPr>
                <w:rFonts w:ascii="Times New Roman" w:eastAsia="Times New Roman" w:hAnsi="Times New Roman" w:cs="Times New Roman"/>
                <w:color w:val="000000" w:themeColor="text1"/>
                <w:kern w:val="0"/>
                <w:sz w:val="24"/>
                <w:szCs w:val="24"/>
                <w:lang w:eastAsia="en-GB"/>
                <w14:ligatures w14:val="none"/>
              </w:rPr>
              <w:t>Bemmer</w:t>
            </w:r>
            <w:proofErr w:type="spellEnd"/>
            <w:r w:rsidRPr="0024482B">
              <w:rPr>
                <w:rFonts w:ascii="Times New Roman" w:eastAsia="Times New Roman" w:hAnsi="Times New Roman" w:cs="Times New Roman"/>
                <w:color w:val="000000" w:themeColor="text1"/>
                <w:kern w:val="0"/>
                <w:sz w:val="24"/>
                <w:szCs w:val="24"/>
                <w:lang w:eastAsia="en-GB"/>
                <w14:ligatures w14:val="none"/>
              </w:rPr>
              <w:t xml:space="preserve"> et al., 2021</w:t>
            </w:r>
          </w:p>
        </w:tc>
        <w:tc>
          <w:tcPr>
            <w:tcW w:w="2895" w:type="dxa"/>
            <w:noWrap/>
            <w:vAlign w:val="center"/>
            <w:hideMark/>
          </w:tcPr>
          <w:p w14:paraId="6320DE0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Social Interaction Anxiety Scale (SIAS)</w:t>
            </w:r>
          </w:p>
        </w:tc>
        <w:tc>
          <w:tcPr>
            <w:tcW w:w="993" w:type="dxa"/>
            <w:noWrap/>
            <w:vAlign w:val="center"/>
            <w:hideMark/>
          </w:tcPr>
          <w:p w14:paraId="7EF1E2F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0.86</w:t>
            </w:r>
          </w:p>
        </w:tc>
        <w:tc>
          <w:tcPr>
            <w:tcW w:w="850" w:type="dxa"/>
            <w:noWrap/>
            <w:vAlign w:val="center"/>
            <w:hideMark/>
          </w:tcPr>
          <w:p w14:paraId="209D21A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20</w:t>
            </w:r>
          </w:p>
        </w:tc>
        <w:tc>
          <w:tcPr>
            <w:tcW w:w="709" w:type="dxa"/>
            <w:noWrap/>
            <w:vAlign w:val="center"/>
            <w:hideMark/>
          </w:tcPr>
          <w:p w14:paraId="4721E51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78</w:t>
            </w:r>
          </w:p>
        </w:tc>
        <w:tc>
          <w:tcPr>
            <w:tcW w:w="1134" w:type="dxa"/>
            <w:noWrap/>
            <w:vAlign w:val="center"/>
          </w:tcPr>
          <w:p w14:paraId="7A5F0EE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0.0005</w:t>
            </w:r>
          </w:p>
        </w:tc>
        <w:tc>
          <w:tcPr>
            <w:tcW w:w="992" w:type="dxa"/>
            <w:noWrap/>
            <w:vAlign w:val="center"/>
          </w:tcPr>
          <w:p w14:paraId="2BCC9D4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0.0233</w:t>
            </w:r>
          </w:p>
        </w:tc>
        <w:tc>
          <w:tcPr>
            <w:tcW w:w="992" w:type="dxa"/>
            <w:noWrap/>
            <w:vAlign w:val="center"/>
          </w:tcPr>
          <w:p w14:paraId="63BB488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1.9661</w:t>
            </w:r>
          </w:p>
        </w:tc>
        <w:tc>
          <w:tcPr>
            <w:tcW w:w="1116" w:type="dxa"/>
            <w:noWrap/>
            <w:vAlign w:val="center"/>
          </w:tcPr>
          <w:p w14:paraId="22DAF7D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0.0277</w:t>
            </w:r>
          </w:p>
        </w:tc>
        <w:tc>
          <w:tcPr>
            <w:tcW w:w="1037" w:type="dxa"/>
            <w:noWrap/>
            <w:vAlign w:val="center"/>
          </w:tcPr>
          <w:p w14:paraId="4562591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0.1664</w:t>
            </w:r>
          </w:p>
        </w:tc>
        <w:tc>
          <w:tcPr>
            <w:tcW w:w="1523" w:type="dxa"/>
            <w:vAlign w:val="center"/>
          </w:tcPr>
          <w:p w14:paraId="6901398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6F08A5EA"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37C2B9AB" w14:textId="77777777" w:rsidTr="003F2F3D">
        <w:trPr>
          <w:trHeight w:val="329"/>
        </w:trPr>
        <w:tc>
          <w:tcPr>
            <w:tcW w:w="630" w:type="dxa"/>
            <w:noWrap/>
            <w:vAlign w:val="center"/>
            <w:hideMark/>
          </w:tcPr>
          <w:p w14:paraId="465E5DF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2D</w:t>
            </w:r>
          </w:p>
        </w:tc>
        <w:tc>
          <w:tcPr>
            <w:tcW w:w="1550" w:type="dxa"/>
            <w:noWrap/>
            <w:vAlign w:val="center"/>
            <w:hideMark/>
          </w:tcPr>
          <w:p w14:paraId="2D471B6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proofErr w:type="spellStart"/>
            <w:r w:rsidRPr="0024482B">
              <w:rPr>
                <w:rFonts w:ascii="Times New Roman" w:eastAsia="Times New Roman" w:hAnsi="Times New Roman" w:cs="Times New Roman"/>
                <w:color w:val="000000" w:themeColor="text1"/>
                <w:kern w:val="0"/>
                <w:sz w:val="24"/>
                <w:szCs w:val="24"/>
                <w:lang w:eastAsia="en-GB"/>
                <w14:ligatures w14:val="none"/>
              </w:rPr>
              <w:t>Bemmer</w:t>
            </w:r>
            <w:proofErr w:type="spellEnd"/>
            <w:r w:rsidRPr="0024482B">
              <w:rPr>
                <w:rFonts w:ascii="Times New Roman" w:eastAsia="Times New Roman" w:hAnsi="Times New Roman" w:cs="Times New Roman"/>
                <w:color w:val="000000" w:themeColor="text1"/>
                <w:kern w:val="0"/>
                <w:sz w:val="24"/>
                <w:szCs w:val="24"/>
                <w:lang w:eastAsia="en-GB"/>
                <w14:ligatures w14:val="none"/>
              </w:rPr>
              <w:t xml:space="preserve"> et al., 2021</w:t>
            </w:r>
          </w:p>
        </w:tc>
        <w:tc>
          <w:tcPr>
            <w:tcW w:w="2895" w:type="dxa"/>
            <w:noWrap/>
            <w:vAlign w:val="center"/>
            <w:hideMark/>
          </w:tcPr>
          <w:p w14:paraId="1BF410D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Social Phobia Scale (SPS)</w:t>
            </w:r>
          </w:p>
        </w:tc>
        <w:tc>
          <w:tcPr>
            <w:tcW w:w="993" w:type="dxa"/>
            <w:noWrap/>
            <w:vAlign w:val="center"/>
            <w:hideMark/>
          </w:tcPr>
          <w:p w14:paraId="7D38008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0.94</w:t>
            </w:r>
          </w:p>
        </w:tc>
        <w:tc>
          <w:tcPr>
            <w:tcW w:w="850" w:type="dxa"/>
            <w:noWrap/>
            <w:vAlign w:val="center"/>
            <w:hideMark/>
          </w:tcPr>
          <w:p w14:paraId="6879C3E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20</w:t>
            </w:r>
          </w:p>
        </w:tc>
        <w:tc>
          <w:tcPr>
            <w:tcW w:w="709" w:type="dxa"/>
            <w:noWrap/>
            <w:vAlign w:val="center"/>
            <w:hideMark/>
          </w:tcPr>
          <w:p w14:paraId="225DC5B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78</w:t>
            </w:r>
          </w:p>
        </w:tc>
        <w:tc>
          <w:tcPr>
            <w:tcW w:w="1134" w:type="dxa"/>
            <w:noWrap/>
            <w:vAlign w:val="center"/>
          </w:tcPr>
          <w:p w14:paraId="0277ECC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0.0001</w:t>
            </w:r>
          </w:p>
        </w:tc>
        <w:tc>
          <w:tcPr>
            <w:tcW w:w="992" w:type="dxa"/>
            <w:noWrap/>
            <w:vAlign w:val="center"/>
          </w:tcPr>
          <w:p w14:paraId="4DC3779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0.0100</w:t>
            </w:r>
          </w:p>
        </w:tc>
        <w:tc>
          <w:tcPr>
            <w:tcW w:w="992" w:type="dxa"/>
            <w:noWrap/>
            <w:vAlign w:val="center"/>
          </w:tcPr>
          <w:p w14:paraId="5ECED76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2.8134</w:t>
            </w:r>
          </w:p>
        </w:tc>
        <w:tc>
          <w:tcPr>
            <w:tcW w:w="1116" w:type="dxa"/>
            <w:noWrap/>
            <w:vAlign w:val="center"/>
          </w:tcPr>
          <w:p w14:paraId="4029B60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0.0277</w:t>
            </w:r>
          </w:p>
        </w:tc>
        <w:tc>
          <w:tcPr>
            <w:tcW w:w="1037" w:type="dxa"/>
            <w:noWrap/>
            <w:vAlign w:val="center"/>
          </w:tcPr>
          <w:p w14:paraId="1B39D65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0.1664</w:t>
            </w:r>
          </w:p>
        </w:tc>
        <w:tc>
          <w:tcPr>
            <w:tcW w:w="1523" w:type="dxa"/>
            <w:vAlign w:val="center"/>
          </w:tcPr>
          <w:p w14:paraId="14E04AE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7BA65974"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409746B9" w14:textId="77777777" w:rsidTr="003F2F3D">
        <w:trPr>
          <w:trHeight w:val="329"/>
        </w:trPr>
        <w:tc>
          <w:tcPr>
            <w:tcW w:w="630" w:type="dxa"/>
            <w:noWrap/>
            <w:vAlign w:val="center"/>
            <w:hideMark/>
          </w:tcPr>
          <w:p w14:paraId="445998C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3A</w:t>
            </w:r>
          </w:p>
        </w:tc>
        <w:tc>
          <w:tcPr>
            <w:tcW w:w="1550" w:type="dxa"/>
            <w:noWrap/>
            <w:vAlign w:val="center"/>
            <w:hideMark/>
          </w:tcPr>
          <w:p w14:paraId="3C470B5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vertAlign w:val="superscript"/>
                <w:lang w:eastAsia="en-GB"/>
                <w14:ligatures w14:val="none"/>
              </w:rPr>
            </w:pPr>
            <w:proofErr w:type="spellStart"/>
            <w:r w:rsidRPr="0024482B">
              <w:rPr>
                <w:rFonts w:ascii="Times New Roman" w:eastAsia="Times New Roman" w:hAnsi="Times New Roman" w:cs="Times New Roman"/>
                <w:color w:val="000000" w:themeColor="text1"/>
                <w:kern w:val="0"/>
                <w:sz w:val="24"/>
                <w:szCs w:val="24"/>
                <w:lang w:eastAsia="en-GB"/>
                <w14:ligatures w14:val="none"/>
              </w:rPr>
              <w:t>Bowri</w:t>
            </w:r>
            <w:proofErr w:type="spellEnd"/>
            <w:r w:rsidRPr="0024482B">
              <w:rPr>
                <w:rFonts w:ascii="Times New Roman" w:eastAsia="Times New Roman" w:hAnsi="Times New Roman" w:cs="Times New Roman"/>
                <w:color w:val="000000" w:themeColor="text1"/>
                <w:kern w:val="0"/>
                <w:sz w:val="24"/>
                <w:szCs w:val="24"/>
                <w:lang w:eastAsia="en-GB"/>
                <w14:ligatures w14:val="none"/>
              </w:rPr>
              <w:t xml:space="preserve"> et al., 2021</w:t>
            </w:r>
          </w:p>
        </w:tc>
        <w:tc>
          <w:tcPr>
            <w:tcW w:w="2895" w:type="dxa"/>
            <w:noWrap/>
            <w:vAlign w:val="center"/>
            <w:hideMark/>
          </w:tcPr>
          <w:p w14:paraId="0C8A1A6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GAD-7</w:t>
            </w:r>
          </w:p>
        </w:tc>
        <w:tc>
          <w:tcPr>
            <w:tcW w:w="993" w:type="dxa"/>
            <w:noWrap/>
            <w:vAlign w:val="center"/>
            <w:hideMark/>
          </w:tcPr>
          <w:p w14:paraId="29231A6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0.92</w:t>
            </w:r>
          </w:p>
        </w:tc>
        <w:tc>
          <w:tcPr>
            <w:tcW w:w="850" w:type="dxa"/>
            <w:noWrap/>
            <w:vAlign w:val="center"/>
            <w:hideMark/>
          </w:tcPr>
          <w:p w14:paraId="42B81A5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w:t>
            </w:r>
          </w:p>
        </w:tc>
        <w:tc>
          <w:tcPr>
            <w:tcW w:w="709" w:type="dxa"/>
            <w:noWrap/>
            <w:vAlign w:val="center"/>
            <w:hideMark/>
          </w:tcPr>
          <w:p w14:paraId="2BD63A7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320</w:t>
            </w:r>
          </w:p>
        </w:tc>
        <w:tc>
          <w:tcPr>
            <w:tcW w:w="1134" w:type="dxa"/>
            <w:noWrap/>
            <w:vAlign w:val="center"/>
          </w:tcPr>
          <w:p w14:paraId="548CD08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&lt;0.0001</w:t>
            </w:r>
          </w:p>
        </w:tc>
        <w:tc>
          <w:tcPr>
            <w:tcW w:w="992" w:type="dxa"/>
            <w:noWrap/>
            <w:vAlign w:val="center"/>
          </w:tcPr>
          <w:p w14:paraId="3929805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0.0069</w:t>
            </w:r>
          </w:p>
        </w:tc>
        <w:tc>
          <w:tcPr>
            <w:tcW w:w="992" w:type="dxa"/>
            <w:noWrap/>
            <w:vAlign w:val="center"/>
          </w:tcPr>
          <w:p w14:paraId="082DA8F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2.5257</w:t>
            </w:r>
          </w:p>
        </w:tc>
        <w:tc>
          <w:tcPr>
            <w:tcW w:w="1116" w:type="dxa"/>
            <w:noWrap/>
            <w:vAlign w:val="center"/>
          </w:tcPr>
          <w:p w14:paraId="5AB8661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0.0073</w:t>
            </w:r>
          </w:p>
        </w:tc>
        <w:tc>
          <w:tcPr>
            <w:tcW w:w="1037" w:type="dxa"/>
            <w:noWrap/>
            <w:vAlign w:val="center"/>
          </w:tcPr>
          <w:p w14:paraId="6F30A5E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0.0857</w:t>
            </w:r>
          </w:p>
        </w:tc>
        <w:tc>
          <w:tcPr>
            <w:tcW w:w="1523" w:type="dxa"/>
            <w:vAlign w:val="center"/>
          </w:tcPr>
          <w:p w14:paraId="3859F8F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6EB21332"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76886930" w14:textId="77777777" w:rsidTr="003F2F3D">
        <w:trPr>
          <w:trHeight w:val="329"/>
        </w:trPr>
        <w:tc>
          <w:tcPr>
            <w:tcW w:w="630" w:type="dxa"/>
            <w:noWrap/>
            <w:vAlign w:val="center"/>
            <w:hideMark/>
          </w:tcPr>
          <w:p w14:paraId="0680EDD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3B</w:t>
            </w:r>
          </w:p>
        </w:tc>
        <w:tc>
          <w:tcPr>
            <w:tcW w:w="1550" w:type="dxa"/>
            <w:noWrap/>
            <w:vAlign w:val="center"/>
            <w:hideMark/>
          </w:tcPr>
          <w:p w14:paraId="1B321C2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vertAlign w:val="superscript"/>
                <w:lang w:eastAsia="en-GB"/>
                <w14:ligatures w14:val="none"/>
              </w:rPr>
            </w:pPr>
            <w:proofErr w:type="spellStart"/>
            <w:r w:rsidRPr="0024482B">
              <w:rPr>
                <w:rFonts w:ascii="Times New Roman" w:eastAsia="Times New Roman" w:hAnsi="Times New Roman" w:cs="Times New Roman"/>
                <w:color w:val="000000" w:themeColor="text1"/>
                <w:kern w:val="0"/>
                <w:sz w:val="24"/>
                <w:szCs w:val="24"/>
                <w:lang w:eastAsia="en-GB"/>
                <w14:ligatures w14:val="none"/>
              </w:rPr>
              <w:t>Bowri</w:t>
            </w:r>
            <w:proofErr w:type="spellEnd"/>
            <w:r w:rsidRPr="0024482B">
              <w:rPr>
                <w:rFonts w:ascii="Times New Roman" w:eastAsia="Times New Roman" w:hAnsi="Times New Roman" w:cs="Times New Roman"/>
                <w:color w:val="000000" w:themeColor="text1"/>
                <w:kern w:val="0"/>
                <w:sz w:val="24"/>
                <w:szCs w:val="24"/>
                <w:lang w:eastAsia="en-GB"/>
                <w14:ligatures w14:val="none"/>
              </w:rPr>
              <w:t xml:space="preserve"> et al., 2021</w:t>
            </w:r>
          </w:p>
        </w:tc>
        <w:tc>
          <w:tcPr>
            <w:tcW w:w="2895" w:type="dxa"/>
            <w:noWrap/>
            <w:vAlign w:val="center"/>
            <w:hideMark/>
          </w:tcPr>
          <w:p w14:paraId="6C6E574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Liebowitz Social Anxiety Scale (LSAS)</w:t>
            </w:r>
          </w:p>
        </w:tc>
        <w:tc>
          <w:tcPr>
            <w:tcW w:w="993" w:type="dxa"/>
            <w:noWrap/>
            <w:vAlign w:val="center"/>
            <w:hideMark/>
          </w:tcPr>
          <w:p w14:paraId="60176CE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0.96</w:t>
            </w:r>
          </w:p>
        </w:tc>
        <w:tc>
          <w:tcPr>
            <w:tcW w:w="850" w:type="dxa"/>
            <w:noWrap/>
            <w:vAlign w:val="center"/>
            <w:hideMark/>
          </w:tcPr>
          <w:p w14:paraId="7DBA9F0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24</w:t>
            </w:r>
          </w:p>
        </w:tc>
        <w:tc>
          <w:tcPr>
            <w:tcW w:w="709" w:type="dxa"/>
            <w:noWrap/>
            <w:vAlign w:val="center"/>
            <w:hideMark/>
          </w:tcPr>
          <w:p w14:paraId="7B73D51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320</w:t>
            </w:r>
          </w:p>
        </w:tc>
        <w:tc>
          <w:tcPr>
            <w:tcW w:w="1134" w:type="dxa"/>
            <w:noWrap/>
            <w:vAlign w:val="center"/>
          </w:tcPr>
          <w:p w14:paraId="25C1BB0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&lt;0.0001</w:t>
            </w:r>
          </w:p>
        </w:tc>
        <w:tc>
          <w:tcPr>
            <w:tcW w:w="992" w:type="dxa"/>
            <w:noWrap/>
            <w:vAlign w:val="center"/>
          </w:tcPr>
          <w:p w14:paraId="1430CAE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0.0032</w:t>
            </w:r>
          </w:p>
        </w:tc>
        <w:tc>
          <w:tcPr>
            <w:tcW w:w="992" w:type="dxa"/>
            <w:noWrap/>
            <w:vAlign w:val="center"/>
          </w:tcPr>
          <w:p w14:paraId="2EE4746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3.2189</w:t>
            </w:r>
          </w:p>
        </w:tc>
        <w:tc>
          <w:tcPr>
            <w:tcW w:w="1116" w:type="dxa"/>
            <w:noWrap/>
            <w:vAlign w:val="center"/>
          </w:tcPr>
          <w:p w14:paraId="0D51882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0.0066</w:t>
            </w:r>
          </w:p>
        </w:tc>
        <w:tc>
          <w:tcPr>
            <w:tcW w:w="1037" w:type="dxa"/>
            <w:noWrap/>
            <w:vAlign w:val="center"/>
          </w:tcPr>
          <w:p w14:paraId="0BE01A2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0.0810</w:t>
            </w:r>
          </w:p>
        </w:tc>
        <w:tc>
          <w:tcPr>
            <w:tcW w:w="1523" w:type="dxa"/>
            <w:vAlign w:val="center"/>
          </w:tcPr>
          <w:p w14:paraId="2F572A0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3DF4E1D4"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193639C8" w14:textId="77777777" w:rsidTr="003F2F3D">
        <w:trPr>
          <w:trHeight w:val="329"/>
        </w:trPr>
        <w:tc>
          <w:tcPr>
            <w:tcW w:w="630" w:type="dxa"/>
            <w:noWrap/>
            <w:vAlign w:val="center"/>
            <w:hideMark/>
          </w:tcPr>
          <w:p w14:paraId="6A385B3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4A</w:t>
            </w:r>
          </w:p>
        </w:tc>
        <w:tc>
          <w:tcPr>
            <w:tcW w:w="1550" w:type="dxa"/>
            <w:noWrap/>
            <w:vAlign w:val="center"/>
            <w:hideMark/>
          </w:tcPr>
          <w:p w14:paraId="0F0FFB5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Bush et al., 2021</w:t>
            </w:r>
          </w:p>
        </w:tc>
        <w:tc>
          <w:tcPr>
            <w:tcW w:w="2895" w:type="dxa"/>
            <w:noWrap/>
            <w:vAlign w:val="center"/>
            <w:hideMark/>
          </w:tcPr>
          <w:p w14:paraId="732AE2F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GAD-7</w:t>
            </w:r>
          </w:p>
        </w:tc>
        <w:tc>
          <w:tcPr>
            <w:tcW w:w="993" w:type="dxa"/>
            <w:noWrap/>
            <w:vAlign w:val="center"/>
            <w:hideMark/>
          </w:tcPr>
          <w:p w14:paraId="4F52292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0.91</w:t>
            </w:r>
          </w:p>
        </w:tc>
        <w:tc>
          <w:tcPr>
            <w:tcW w:w="850" w:type="dxa"/>
            <w:noWrap/>
            <w:vAlign w:val="center"/>
            <w:hideMark/>
          </w:tcPr>
          <w:p w14:paraId="1E02582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w:t>
            </w:r>
          </w:p>
        </w:tc>
        <w:tc>
          <w:tcPr>
            <w:tcW w:w="709" w:type="dxa"/>
            <w:noWrap/>
            <w:vAlign w:val="center"/>
            <w:hideMark/>
          </w:tcPr>
          <w:p w14:paraId="5AFD6BF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247</w:t>
            </w:r>
          </w:p>
        </w:tc>
        <w:tc>
          <w:tcPr>
            <w:tcW w:w="1134" w:type="dxa"/>
            <w:noWrap/>
            <w:vAlign w:val="center"/>
          </w:tcPr>
          <w:p w14:paraId="4724F19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0.0001</w:t>
            </w:r>
          </w:p>
        </w:tc>
        <w:tc>
          <w:tcPr>
            <w:tcW w:w="992" w:type="dxa"/>
            <w:noWrap/>
            <w:vAlign w:val="center"/>
          </w:tcPr>
          <w:p w14:paraId="6F54695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0.0088</w:t>
            </w:r>
          </w:p>
        </w:tc>
        <w:tc>
          <w:tcPr>
            <w:tcW w:w="992" w:type="dxa"/>
            <w:noWrap/>
            <w:vAlign w:val="center"/>
          </w:tcPr>
          <w:p w14:paraId="145B3A9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2.4079</w:t>
            </w:r>
          </w:p>
        </w:tc>
        <w:tc>
          <w:tcPr>
            <w:tcW w:w="1116" w:type="dxa"/>
            <w:noWrap/>
            <w:vAlign w:val="center"/>
          </w:tcPr>
          <w:p w14:paraId="0AE3FEB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0.0095</w:t>
            </w:r>
          </w:p>
        </w:tc>
        <w:tc>
          <w:tcPr>
            <w:tcW w:w="1037" w:type="dxa"/>
            <w:noWrap/>
            <w:vAlign w:val="center"/>
          </w:tcPr>
          <w:p w14:paraId="67B0558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0.0976</w:t>
            </w:r>
          </w:p>
        </w:tc>
        <w:tc>
          <w:tcPr>
            <w:tcW w:w="1523" w:type="dxa"/>
            <w:vAlign w:val="center"/>
          </w:tcPr>
          <w:p w14:paraId="72CCFC3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3CF4DFB0"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5FD2F997" w14:textId="77777777" w:rsidTr="003F2F3D">
        <w:trPr>
          <w:trHeight w:val="329"/>
        </w:trPr>
        <w:tc>
          <w:tcPr>
            <w:tcW w:w="630" w:type="dxa"/>
            <w:tcBorders>
              <w:bottom w:val="nil"/>
            </w:tcBorders>
            <w:noWrap/>
            <w:vAlign w:val="center"/>
            <w:hideMark/>
          </w:tcPr>
          <w:p w14:paraId="5053752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4B</w:t>
            </w:r>
          </w:p>
        </w:tc>
        <w:tc>
          <w:tcPr>
            <w:tcW w:w="1550" w:type="dxa"/>
            <w:tcBorders>
              <w:bottom w:val="nil"/>
            </w:tcBorders>
            <w:noWrap/>
            <w:vAlign w:val="center"/>
            <w:hideMark/>
          </w:tcPr>
          <w:p w14:paraId="2CC1A47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vertAlign w:val="superscript"/>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Bush et al., 2021</w:t>
            </w:r>
          </w:p>
        </w:tc>
        <w:tc>
          <w:tcPr>
            <w:tcW w:w="2895" w:type="dxa"/>
            <w:tcBorders>
              <w:bottom w:val="nil"/>
            </w:tcBorders>
            <w:noWrap/>
            <w:vAlign w:val="center"/>
            <w:hideMark/>
          </w:tcPr>
          <w:p w14:paraId="1BD05B6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Mini-Social Phobia Inventory (MINI-SPIN)</w:t>
            </w:r>
          </w:p>
        </w:tc>
        <w:tc>
          <w:tcPr>
            <w:tcW w:w="993" w:type="dxa"/>
            <w:tcBorders>
              <w:bottom w:val="nil"/>
            </w:tcBorders>
            <w:noWrap/>
            <w:vAlign w:val="center"/>
            <w:hideMark/>
          </w:tcPr>
          <w:p w14:paraId="234E576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0.83</w:t>
            </w:r>
          </w:p>
        </w:tc>
        <w:tc>
          <w:tcPr>
            <w:tcW w:w="850" w:type="dxa"/>
            <w:tcBorders>
              <w:bottom w:val="nil"/>
            </w:tcBorders>
            <w:noWrap/>
            <w:vAlign w:val="center"/>
            <w:hideMark/>
          </w:tcPr>
          <w:p w14:paraId="0F7BE8F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3</w:t>
            </w:r>
          </w:p>
        </w:tc>
        <w:tc>
          <w:tcPr>
            <w:tcW w:w="709" w:type="dxa"/>
            <w:tcBorders>
              <w:bottom w:val="nil"/>
            </w:tcBorders>
            <w:noWrap/>
            <w:vAlign w:val="center"/>
            <w:hideMark/>
          </w:tcPr>
          <w:p w14:paraId="1FA5A18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247</w:t>
            </w:r>
          </w:p>
        </w:tc>
        <w:tc>
          <w:tcPr>
            <w:tcW w:w="1134" w:type="dxa"/>
            <w:tcBorders>
              <w:bottom w:val="nil"/>
            </w:tcBorders>
            <w:noWrap/>
            <w:vAlign w:val="center"/>
          </w:tcPr>
          <w:p w14:paraId="30318DC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0.0004</w:t>
            </w:r>
          </w:p>
        </w:tc>
        <w:tc>
          <w:tcPr>
            <w:tcW w:w="992" w:type="dxa"/>
            <w:tcBorders>
              <w:bottom w:val="nil"/>
            </w:tcBorders>
            <w:noWrap/>
            <w:vAlign w:val="center"/>
          </w:tcPr>
          <w:p w14:paraId="7819FDA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0.0188</w:t>
            </w:r>
          </w:p>
        </w:tc>
        <w:tc>
          <w:tcPr>
            <w:tcW w:w="992" w:type="dxa"/>
            <w:tcBorders>
              <w:bottom w:val="nil"/>
            </w:tcBorders>
            <w:noWrap/>
            <w:vAlign w:val="center"/>
          </w:tcPr>
          <w:p w14:paraId="182536D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1.7720</w:t>
            </w:r>
          </w:p>
        </w:tc>
        <w:tc>
          <w:tcPr>
            <w:tcW w:w="1116" w:type="dxa"/>
            <w:tcBorders>
              <w:bottom w:val="nil"/>
            </w:tcBorders>
            <w:noWrap/>
            <w:vAlign w:val="center"/>
          </w:tcPr>
          <w:p w14:paraId="66B5355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0.0122</w:t>
            </w:r>
          </w:p>
        </w:tc>
        <w:tc>
          <w:tcPr>
            <w:tcW w:w="1037" w:type="dxa"/>
            <w:tcBorders>
              <w:bottom w:val="nil"/>
            </w:tcBorders>
            <w:noWrap/>
            <w:vAlign w:val="center"/>
          </w:tcPr>
          <w:p w14:paraId="50CCFC2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0.1107</w:t>
            </w:r>
          </w:p>
        </w:tc>
        <w:tc>
          <w:tcPr>
            <w:tcW w:w="1523" w:type="dxa"/>
            <w:tcBorders>
              <w:bottom w:val="nil"/>
            </w:tcBorders>
            <w:vAlign w:val="center"/>
          </w:tcPr>
          <w:p w14:paraId="62F2A6C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Borders>
              <w:bottom w:val="nil"/>
            </w:tcBorders>
          </w:tcPr>
          <w:p w14:paraId="11F42F9B"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27DD3FA1" w14:textId="77777777" w:rsidTr="003F2F3D">
        <w:trPr>
          <w:trHeight w:val="329"/>
        </w:trPr>
        <w:tc>
          <w:tcPr>
            <w:tcW w:w="630" w:type="dxa"/>
            <w:tcBorders>
              <w:top w:val="nil"/>
              <w:bottom w:val="nil"/>
            </w:tcBorders>
            <w:noWrap/>
            <w:vAlign w:val="center"/>
            <w:hideMark/>
          </w:tcPr>
          <w:p w14:paraId="3BBDFD1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5</w:t>
            </w:r>
          </w:p>
        </w:tc>
        <w:tc>
          <w:tcPr>
            <w:tcW w:w="1550" w:type="dxa"/>
            <w:tcBorders>
              <w:top w:val="nil"/>
              <w:bottom w:val="nil"/>
            </w:tcBorders>
            <w:noWrap/>
            <w:vAlign w:val="center"/>
            <w:hideMark/>
          </w:tcPr>
          <w:p w14:paraId="02A3DA3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Capriola-Hall et al., 2021</w:t>
            </w:r>
          </w:p>
        </w:tc>
        <w:tc>
          <w:tcPr>
            <w:tcW w:w="2895" w:type="dxa"/>
            <w:tcBorders>
              <w:top w:val="nil"/>
              <w:bottom w:val="nil"/>
            </w:tcBorders>
            <w:noWrap/>
            <w:vAlign w:val="center"/>
            <w:hideMark/>
          </w:tcPr>
          <w:p w14:paraId="62F6340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Adult Self Report (ASR; Anxiety Subscale)</w:t>
            </w:r>
          </w:p>
        </w:tc>
        <w:tc>
          <w:tcPr>
            <w:tcW w:w="993" w:type="dxa"/>
            <w:tcBorders>
              <w:top w:val="nil"/>
              <w:bottom w:val="nil"/>
            </w:tcBorders>
            <w:noWrap/>
            <w:vAlign w:val="center"/>
            <w:hideMark/>
          </w:tcPr>
          <w:p w14:paraId="1A380E6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0.87</w:t>
            </w:r>
          </w:p>
        </w:tc>
        <w:tc>
          <w:tcPr>
            <w:tcW w:w="850" w:type="dxa"/>
            <w:tcBorders>
              <w:top w:val="nil"/>
              <w:bottom w:val="nil"/>
            </w:tcBorders>
            <w:noWrap/>
            <w:vAlign w:val="center"/>
            <w:hideMark/>
          </w:tcPr>
          <w:p w14:paraId="738C4B1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18</w:t>
            </w:r>
          </w:p>
        </w:tc>
        <w:tc>
          <w:tcPr>
            <w:tcW w:w="709" w:type="dxa"/>
            <w:tcBorders>
              <w:top w:val="nil"/>
              <w:bottom w:val="nil"/>
            </w:tcBorders>
            <w:noWrap/>
            <w:vAlign w:val="center"/>
            <w:hideMark/>
          </w:tcPr>
          <w:p w14:paraId="6828D55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32</w:t>
            </w:r>
          </w:p>
        </w:tc>
        <w:tc>
          <w:tcPr>
            <w:tcW w:w="1134" w:type="dxa"/>
            <w:tcBorders>
              <w:top w:val="nil"/>
              <w:bottom w:val="nil"/>
            </w:tcBorders>
            <w:noWrap/>
            <w:vAlign w:val="center"/>
          </w:tcPr>
          <w:p w14:paraId="018D68B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0.0012</w:t>
            </w:r>
          </w:p>
        </w:tc>
        <w:tc>
          <w:tcPr>
            <w:tcW w:w="992" w:type="dxa"/>
            <w:tcBorders>
              <w:top w:val="nil"/>
              <w:bottom w:val="nil"/>
            </w:tcBorders>
            <w:noWrap/>
            <w:vAlign w:val="center"/>
          </w:tcPr>
          <w:p w14:paraId="28F6DC7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0.0345</w:t>
            </w:r>
          </w:p>
        </w:tc>
        <w:tc>
          <w:tcPr>
            <w:tcW w:w="992" w:type="dxa"/>
            <w:tcBorders>
              <w:top w:val="nil"/>
              <w:bottom w:val="nil"/>
            </w:tcBorders>
            <w:noWrap/>
            <w:vAlign w:val="center"/>
          </w:tcPr>
          <w:p w14:paraId="2175A77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2.0402</w:t>
            </w:r>
          </w:p>
        </w:tc>
        <w:tc>
          <w:tcPr>
            <w:tcW w:w="1116" w:type="dxa"/>
            <w:tcBorders>
              <w:top w:val="nil"/>
              <w:bottom w:val="nil"/>
            </w:tcBorders>
            <w:noWrap/>
            <w:vAlign w:val="center"/>
          </w:tcPr>
          <w:p w14:paraId="39A64F7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0.0706</w:t>
            </w:r>
          </w:p>
        </w:tc>
        <w:tc>
          <w:tcPr>
            <w:tcW w:w="1037" w:type="dxa"/>
            <w:tcBorders>
              <w:top w:val="nil"/>
              <w:bottom w:val="nil"/>
            </w:tcBorders>
            <w:noWrap/>
            <w:vAlign w:val="center"/>
          </w:tcPr>
          <w:p w14:paraId="3C43788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0.2657</w:t>
            </w:r>
          </w:p>
        </w:tc>
        <w:tc>
          <w:tcPr>
            <w:tcW w:w="1523" w:type="dxa"/>
            <w:tcBorders>
              <w:top w:val="nil"/>
              <w:bottom w:val="nil"/>
            </w:tcBorders>
            <w:vAlign w:val="center"/>
          </w:tcPr>
          <w:p w14:paraId="0373078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Borders>
              <w:top w:val="nil"/>
              <w:bottom w:val="nil"/>
            </w:tcBorders>
          </w:tcPr>
          <w:p w14:paraId="6EF42931"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25D457C3" w14:textId="77777777" w:rsidTr="003F2F3D">
        <w:trPr>
          <w:trHeight w:val="329"/>
        </w:trPr>
        <w:tc>
          <w:tcPr>
            <w:tcW w:w="630" w:type="dxa"/>
            <w:tcBorders>
              <w:top w:val="nil"/>
            </w:tcBorders>
            <w:noWrap/>
            <w:vAlign w:val="center"/>
            <w:hideMark/>
          </w:tcPr>
          <w:p w14:paraId="6DDEBCA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6</w:t>
            </w:r>
          </w:p>
        </w:tc>
        <w:tc>
          <w:tcPr>
            <w:tcW w:w="1550" w:type="dxa"/>
            <w:tcBorders>
              <w:top w:val="nil"/>
            </w:tcBorders>
            <w:noWrap/>
            <w:vAlign w:val="center"/>
            <w:hideMark/>
          </w:tcPr>
          <w:p w14:paraId="14F8699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proofErr w:type="spellStart"/>
            <w:r w:rsidRPr="0024482B">
              <w:rPr>
                <w:rFonts w:ascii="Times New Roman" w:eastAsia="Times New Roman" w:hAnsi="Times New Roman" w:cs="Times New Roman"/>
                <w:color w:val="000000" w:themeColor="text1"/>
                <w:kern w:val="0"/>
                <w:sz w:val="24"/>
                <w:szCs w:val="24"/>
                <w:lang w:eastAsia="en-GB"/>
                <w14:ligatures w14:val="none"/>
              </w:rPr>
              <w:t>Carpita</w:t>
            </w:r>
            <w:proofErr w:type="spellEnd"/>
            <w:r w:rsidRPr="0024482B">
              <w:rPr>
                <w:rFonts w:ascii="Times New Roman" w:eastAsia="Times New Roman" w:hAnsi="Times New Roman" w:cs="Times New Roman"/>
                <w:color w:val="000000" w:themeColor="text1"/>
                <w:kern w:val="0"/>
                <w:sz w:val="24"/>
                <w:szCs w:val="24"/>
                <w:lang w:eastAsia="en-GB"/>
                <w14:ligatures w14:val="none"/>
              </w:rPr>
              <w:t xml:space="preserve"> et al., 2023</w:t>
            </w:r>
          </w:p>
        </w:tc>
        <w:tc>
          <w:tcPr>
            <w:tcW w:w="2895" w:type="dxa"/>
            <w:tcBorders>
              <w:top w:val="nil"/>
            </w:tcBorders>
            <w:noWrap/>
            <w:vAlign w:val="center"/>
            <w:hideMark/>
          </w:tcPr>
          <w:p w14:paraId="18F6FFA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Social Anxiety Spectrum Short Version (SHY-SV)</w:t>
            </w:r>
          </w:p>
        </w:tc>
        <w:tc>
          <w:tcPr>
            <w:tcW w:w="993" w:type="dxa"/>
            <w:tcBorders>
              <w:top w:val="nil"/>
            </w:tcBorders>
            <w:noWrap/>
            <w:vAlign w:val="center"/>
            <w:hideMark/>
          </w:tcPr>
          <w:p w14:paraId="56BA559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0.945</w:t>
            </w:r>
          </w:p>
        </w:tc>
        <w:tc>
          <w:tcPr>
            <w:tcW w:w="850" w:type="dxa"/>
            <w:tcBorders>
              <w:top w:val="nil"/>
            </w:tcBorders>
            <w:noWrap/>
            <w:vAlign w:val="center"/>
            <w:hideMark/>
          </w:tcPr>
          <w:p w14:paraId="4571D32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48</w:t>
            </w:r>
          </w:p>
        </w:tc>
        <w:tc>
          <w:tcPr>
            <w:tcW w:w="709" w:type="dxa"/>
            <w:tcBorders>
              <w:top w:val="nil"/>
            </w:tcBorders>
            <w:noWrap/>
            <w:vAlign w:val="center"/>
            <w:hideMark/>
          </w:tcPr>
          <w:p w14:paraId="3ABF38F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139</w:t>
            </w:r>
          </w:p>
        </w:tc>
        <w:tc>
          <w:tcPr>
            <w:tcW w:w="1134" w:type="dxa"/>
            <w:tcBorders>
              <w:top w:val="nil"/>
            </w:tcBorders>
            <w:noWrap/>
            <w:vAlign w:val="center"/>
          </w:tcPr>
          <w:p w14:paraId="54F950D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&lt;0.0001</w:t>
            </w:r>
          </w:p>
        </w:tc>
        <w:tc>
          <w:tcPr>
            <w:tcW w:w="992" w:type="dxa"/>
            <w:tcBorders>
              <w:top w:val="nil"/>
            </w:tcBorders>
            <w:noWrap/>
            <w:vAlign w:val="center"/>
          </w:tcPr>
          <w:p w14:paraId="7B9F44A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0.0067</w:t>
            </w:r>
          </w:p>
        </w:tc>
        <w:tc>
          <w:tcPr>
            <w:tcW w:w="992" w:type="dxa"/>
            <w:tcBorders>
              <w:top w:val="nil"/>
            </w:tcBorders>
            <w:noWrap/>
            <w:vAlign w:val="center"/>
          </w:tcPr>
          <w:p w14:paraId="2818F6B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2.9957</w:t>
            </w:r>
          </w:p>
        </w:tc>
        <w:tc>
          <w:tcPr>
            <w:tcW w:w="1116" w:type="dxa"/>
            <w:tcBorders>
              <w:top w:val="nil"/>
            </w:tcBorders>
            <w:noWrap/>
            <w:vAlign w:val="center"/>
          </w:tcPr>
          <w:p w14:paraId="60BD615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0.0149</w:t>
            </w:r>
          </w:p>
        </w:tc>
        <w:tc>
          <w:tcPr>
            <w:tcW w:w="1037" w:type="dxa"/>
            <w:tcBorders>
              <w:top w:val="nil"/>
            </w:tcBorders>
            <w:noWrap/>
            <w:vAlign w:val="center"/>
          </w:tcPr>
          <w:p w14:paraId="5C4BE31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0.1221</w:t>
            </w:r>
          </w:p>
        </w:tc>
        <w:tc>
          <w:tcPr>
            <w:tcW w:w="1523" w:type="dxa"/>
            <w:tcBorders>
              <w:top w:val="nil"/>
            </w:tcBorders>
            <w:vAlign w:val="center"/>
          </w:tcPr>
          <w:p w14:paraId="6653510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Borders>
              <w:top w:val="nil"/>
            </w:tcBorders>
          </w:tcPr>
          <w:p w14:paraId="25576BEE"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5D4A264A" w14:textId="77777777" w:rsidTr="003F2F3D">
        <w:trPr>
          <w:trHeight w:val="329"/>
        </w:trPr>
        <w:tc>
          <w:tcPr>
            <w:tcW w:w="630" w:type="dxa"/>
            <w:noWrap/>
            <w:vAlign w:val="center"/>
            <w:hideMark/>
          </w:tcPr>
          <w:p w14:paraId="5E37A68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w:t>
            </w:r>
          </w:p>
        </w:tc>
        <w:tc>
          <w:tcPr>
            <w:tcW w:w="1550" w:type="dxa"/>
            <w:noWrap/>
            <w:vAlign w:val="center"/>
            <w:hideMark/>
          </w:tcPr>
          <w:p w14:paraId="17FDAA2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Cassidy et al., 2021</w:t>
            </w:r>
          </w:p>
        </w:tc>
        <w:tc>
          <w:tcPr>
            <w:tcW w:w="2895" w:type="dxa"/>
            <w:noWrap/>
            <w:vAlign w:val="center"/>
            <w:hideMark/>
          </w:tcPr>
          <w:p w14:paraId="797614E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Anxiety Scale for Autism (General Scale; ASA-A)</w:t>
            </w:r>
          </w:p>
        </w:tc>
        <w:tc>
          <w:tcPr>
            <w:tcW w:w="993" w:type="dxa"/>
            <w:noWrap/>
            <w:vAlign w:val="center"/>
            <w:hideMark/>
          </w:tcPr>
          <w:p w14:paraId="420BCCB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0.921</w:t>
            </w:r>
          </w:p>
        </w:tc>
        <w:tc>
          <w:tcPr>
            <w:tcW w:w="850" w:type="dxa"/>
            <w:noWrap/>
            <w:vAlign w:val="center"/>
            <w:hideMark/>
          </w:tcPr>
          <w:p w14:paraId="59BA2FC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20</w:t>
            </w:r>
          </w:p>
        </w:tc>
        <w:tc>
          <w:tcPr>
            <w:tcW w:w="709" w:type="dxa"/>
            <w:noWrap/>
            <w:vAlign w:val="center"/>
            <w:hideMark/>
          </w:tcPr>
          <w:p w14:paraId="56C792D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308</w:t>
            </w:r>
          </w:p>
        </w:tc>
        <w:tc>
          <w:tcPr>
            <w:tcW w:w="1134" w:type="dxa"/>
            <w:noWrap/>
            <w:vAlign w:val="center"/>
          </w:tcPr>
          <w:p w14:paraId="4159797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&lt;0.0001</w:t>
            </w:r>
          </w:p>
        </w:tc>
        <w:tc>
          <w:tcPr>
            <w:tcW w:w="992" w:type="dxa"/>
            <w:noWrap/>
            <w:vAlign w:val="center"/>
          </w:tcPr>
          <w:p w14:paraId="2095433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0.0066</w:t>
            </w:r>
          </w:p>
        </w:tc>
        <w:tc>
          <w:tcPr>
            <w:tcW w:w="992" w:type="dxa"/>
            <w:noWrap/>
            <w:vAlign w:val="center"/>
          </w:tcPr>
          <w:p w14:paraId="193F5F6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2.5257</w:t>
            </w:r>
          </w:p>
        </w:tc>
        <w:tc>
          <w:tcPr>
            <w:tcW w:w="1116" w:type="dxa"/>
            <w:noWrap/>
            <w:vAlign w:val="center"/>
          </w:tcPr>
          <w:p w14:paraId="2F3CD46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0.0069</w:t>
            </w:r>
          </w:p>
        </w:tc>
        <w:tc>
          <w:tcPr>
            <w:tcW w:w="1037" w:type="dxa"/>
            <w:noWrap/>
            <w:vAlign w:val="center"/>
          </w:tcPr>
          <w:p w14:paraId="4BAC69C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0.0829</w:t>
            </w:r>
          </w:p>
        </w:tc>
        <w:tc>
          <w:tcPr>
            <w:tcW w:w="1523" w:type="dxa"/>
            <w:vAlign w:val="center"/>
          </w:tcPr>
          <w:p w14:paraId="3062B74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561E23A4"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4E095B59" w14:textId="77777777" w:rsidTr="003F2F3D">
        <w:trPr>
          <w:trHeight w:val="329"/>
        </w:trPr>
        <w:tc>
          <w:tcPr>
            <w:tcW w:w="630" w:type="dxa"/>
            <w:noWrap/>
            <w:vAlign w:val="center"/>
            <w:hideMark/>
          </w:tcPr>
          <w:p w14:paraId="00ABCB5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lastRenderedPageBreak/>
              <w:t>8A</w:t>
            </w:r>
          </w:p>
        </w:tc>
        <w:tc>
          <w:tcPr>
            <w:tcW w:w="1550" w:type="dxa"/>
            <w:noWrap/>
            <w:vAlign w:val="center"/>
            <w:hideMark/>
          </w:tcPr>
          <w:p w14:paraId="59A37B2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Chew et al., 2021</w:t>
            </w:r>
          </w:p>
        </w:tc>
        <w:tc>
          <w:tcPr>
            <w:tcW w:w="2895" w:type="dxa"/>
            <w:noWrap/>
            <w:vAlign w:val="center"/>
            <w:hideMark/>
          </w:tcPr>
          <w:p w14:paraId="6FB85EC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The Social Anxiety Questionnaire (SAQ)</w:t>
            </w:r>
          </w:p>
        </w:tc>
        <w:tc>
          <w:tcPr>
            <w:tcW w:w="993" w:type="dxa"/>
            <w:noWrap/>
            <w:vAlign w:val="center"/>
            <w:hideMark/>
          </w:tcPr>
          <w:p w14:paraId="0F182AB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0.93</w:t>
            </w:r>
          </w:p>
        </w:tc>
        <w:tc>
          <w:tcPr>
            <w:tcW w:w="850" w:type="dxa"/>
            <w:noWrap/>
            <w:vAlign w:val="center"/>
            <w:hideMark/>
          </w:tcPr>
          <w:p w14:paraId="2D2C950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30</w:t>
            </w:r>
          </w:p>
        </w:tc>
        <w:tc>
          <w:tcPr>
            <w:tcW w:w="709" w:type="dxa"/>
            <w:noWrap/>
            <w:vAlign w:val="center"/>
            <w:hideMark/>
          </w:tcPr>
          <w:p w14:paraId="225D73B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50</w:t>
            </w:r>
          </w:p>
        </w:tc>
        <w:tc>
          <w:tcPr>
            <w:tcW w:w="1134" w:type="dxa"/>
            <w:noWrap/>
            <w:vAlign w:val="center"/>
          </w:tcPr>
          <w:p w14:paraId="762C6B2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0.0002</w:t>
            </w:r>
          </w:p>
        </w:tc>
        <w:tc>
          <w:tcPr>
            <w:tcW w:w="992" w:type="dxa"/>
            <w:noWrap/>
            <w:vAlign w:val="center"/>
          </w:tcPr>
          <w:p w14:paraId="21186C5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0.0145</w:t>
            </w:r>
          </w:p>
        </w:tc>
        <w:tc>
          <w:tcPr>
            <w:tcW w:w="992" w:type="dxa"/>
            <w:noWrap/>
            <w:vAlign w:val="center"/>
          </w:tcPr>
          <w:p w14:paraId="4100710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2.6593</w:t>
            </w:r>
          </w:p>
        </w:tc>
        <w:tc>
          <w:tcPr>
            <w:tcW w:w="1116" w:type="dxa"/>
            <w:noWrap/>
            <w:vAlign w:val="center"/>
          </w:tcPr>
          <w:p w14:paraId="48FC572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0.0431</w:t>
            </w:r>
          </w:p>
        </w:tc>
        <w:tc>
          <w:tcPr>
            <w:tcW w:w="1037" w:type="dxa"/>
            <w:noWrap/>
            <w:vAlign w:val="center"/>
          </w:tcPr>
          <w:p w14:paraId="13A875E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0.2076</w:t>
            </w:r>
          </w:p>
        </w:tc>
        <w:tc>
          <w:tcPr>
            <w:tcW w:w="1523" w:type="dxa"/>
            <w:vAlign w:val="center"/>
          </w:tcPr>
          <w:p w14:paraId="40C090C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Psychometric and large sample</w:t>
            </w:r>
          </w:p>
        </w:tc>
        <w:tc>
          <w:tcPr>
            <w:tcW w:w="236" w:type="dxa"/>
          </w:tcPr>
          <w:p w14:paraId="367F55BF"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08FEFDED" w14:textId="77777777" w:rsidTr="003F2F3D">
        <w:trPr>
          <w:trHeight w:val="329"/>
        </w:trPr>
        <w:tc>
          <w:tcPr>
            <w:tcW w:w="630" w:type="dxa"/>
            <w:noWrap/>
            <w:vAlign w:val="center"/>
            <w:hideMark/>
          </w:tcPr>
          <w:p w14:paraId="580252C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8B</w:t>
            </w:r>
          </w:p>
        </w:tc>
        <w:tc>
          <w:tcPr>
            <w:tcW w:w="1550" w:type="dxa"/>
            <w:noWrap/>
            <w:vAlign w:val="center"/>
            <w:hideMark/>
          </w:tcPr>
          <w:p w14:paraId="6C2F6AC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Chew et al., 2021</w:t>
            </w:r>
          </w:p>
        </w:tc>
        <w:tc>
          <w:tcPr>
            <w:tcW w:w="2895" w:type="dxa"/>
            <w:noWrap/>
            <w:vAlign w:val="center"/>
            <w:hideMark/>
          </w:tcPr>
          <w:p w14:paraId="722001C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The Social Anxiety Questionnaire (SAQ)</w:t>
            </w:r>
          </w:p>
        </w:tc>
        <w:tc>
          <w:tcPr>
            <w:tcW w:w="993" w:type="dxa"/>
            <w:noWrap/>
            <w:vAlign w:val="center"/>
            <w:hideMark/>
          </w:tcPr>
          <w:p w14:paraId="50F0ECA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0.93</w:t>
            </w:r>
          </w:p>
        </w:tc>
        <w:tc>
          <w:tcPr>
            <w:tcW w:w="850" w:type="dxa"/>
            <w:noWrap/>
            <w:vAlign w:val="center"/>
            <w:hideMark/>
          </w:tcPr>
          <w:p w14:paraId="45B3E03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30</w:t>
            </w:r>
          </w:p>
        </w:tc>
        <w:tc>
          <w:tcPr>
            <w:tcW w:w="709" w:type="dxa"/>
            <w:noWrap/>
            <w:vAlign w:val="center"/>
            <w:hideMark/>
          </w:tcPr>
          <w:p w14:paraId="20AE83F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81</w:t>
            </w:r>
          </w:p>
        </w:tc>
        <w:tc>
          <w:tcPr>
            <w:tcW w:w="1134" w:type="dxa"/>
            <w:noWrap/>
            <w:vAlign w:val="center"/>
          </w:tcPr>
          <w:p w14:paraId="620A561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0.0001</w:t>
            </w:r>
          </w:p>
        </w:tc>
        <w:tc>
          <w:tcPr>
            <w:tcW w:w="992" w:type="dxa"/>
            <w:noWrap/>
            <w:vAlign w:val="center"/>
          </w:tcPr>
          <w:p w14:paraId="4196117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0.0113</w:t>
            </w:r>
          </w:p>
        </w:tc>
        <w:tc>
          <w:tcPr>
            <w:tcW w:w="992" w:type="dxa"/>
            <w:noWrap/>
            <w:vAlign w:val="center"/>
          </w:tcPr>
          <w:p w14:paraId="3527E86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2.6593</w:t>
            </w:r>
          </w:p>
        </w:tc>
        <w:tc>
          <w:tcPr>
            <w:tcW w:w="1116" w:type="dxa"/>
            <w:noWrap/>
            <w:vAlign w:val="center"/>
          </w:tcPr>
          <w:p w14:paraId="570B94C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0.0262</w:t>
            </w:r>
          </w:p>
        </w:tc>
        <w:tc>
          <w:tcPr>
            <w:tcW w:w="1037" w:type="dxa"/>
            <w:noWrap/>
            <w:vAlign w:val="center"/>
          </w:tcPr>
          <w:p w14:paraId="72577C9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0.1618</w:t>
            </w:r>
          </w:p>
        </w:tc>
        <w:tc>
          <w:tcPr>
            <w:tcW w:w="1523" w:type="dxa"/>
            <w:vAlign w:val="center"/>
          </w:tcPr>
          <w:p w14:paraId="2152C48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Psychometric and large sample</w:t>
            </w:r>
          </w:p>
        </w:tc>
        <w:tc>
          <w:tcPr>
            <w:tcW w:w="236" w:type="dxa"/>
          </w:tcPr>
          <w:p w14:paraId="7F4B5B6A"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2E976E31" w14:textId="77777777" w:rsidTr="003F2F3D">
        <w:trPr>
          <w:trHeight w:val="329"/>
        </w:trPr>
        <w:tc>
          <w:tcPr>
            <w:tcW w:w="630" w:type="dxa"/>
            <w:noWrap/>
            <w:vAlign w:val="center"/>
            <w:hideMark/>
          </w:tcPr>
          <w:p w14:paraId="39602FD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9A</w:t>
            </w:r>
          </w:p>
        </w:tc>
        <w:tc>
          <w:tcPr>
            <w:tcW w:w="1550" w:type="dxa"/>
            <w:noWrap/>
            <w:vAlign w:val="center"/>
            <w:hideMark/>
          </w:tcPr>
          <w:p w14:paraId="3A18DEB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proofErr w:type="spellStart"/>
            <w:r w:rsidRPr="0024482B">
              <w:rPr>
                <w:rFonts w:ascii="Times New Roman" w:eastAsia="Times New Roman" w:hAnsi="Times New Roman" w:cs="Times New Roman"/>
                <w:color w:val="000000" w:themeColor="text1"/>
                <w:kern w:val="0"/>
                <w:sz w:val="24"/>
                <w:szCs w:val="24"/>
                <w:lang w:eastAsia="en-GB"/>
                <w14:ligatures w14:val="none"/>
              </w:rPr>
              <w:t>Gaigg</w:t>
            </w:r>
            <w:proofErr w:type="spellEnd"/>
            <w:r w:rsidRPr="0024482B">
              <w:rPr>
                <w:rFonts w:ascii="Times New Roman" w:eastAsia="Times New Roman" w:hAnsi="Times New Roman" w:cs="Times New Roman"/>
                <w:color w:val="000000" w:themeColor="text1"/>
                <w:kern w:val="0"/>
                <w:sz w:val="24"/>
                <w:szCs w:val="24"/>
                <w:lang w:eastAsia="en-GB"/>
                <w14:ligatures w14:val="none"/>
              </w:rPr>
              <w:t xml:space="preserve"> et al., 2020</w:t>
            </w:r>
          </w:p>
        </w:tc>
        <w:tc>
          <w:tcPr>
            <w:tcW w:w="2895" w:type="dxa"/>
            <w:noWrap/>
            <w:vAlign w:val="center"/>
            <w:hideMark/>
          </w:tcPr>
          <w:p w14:paraId="672408F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Becks Anxiety Inventory (BAI)</w:t>
            </w:r>
          </w:p>
        </w:tc>
        <w:tc>
          <w:tcPr>
            <w:tcW w:w="993" w:type="dxa"/>
            <w:noWrap/>
            <w:vAlign w:val="center"/>
            <w:hideMark/>
          </w:tcPr>
          <w:p w14:paraId="6C799FD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0.92</w:t>
            </w:r>
          </w:p>
        </w:tc>
        <w:tc>
          <w:tcPr>
            <w:tcW w:w="850" w:type="dxa"/>
            <w:noWrap/>
            <w:vAlign w:val="center"/>
            <w:hideMark/>
          </w:tcPr>
          <w:p w14:paraId="10F5AAF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21</w:t>
            </w:r>
          </w:p>
        </w:tc>
        <w:tc>
          <w:tcPr>
            <w:tcW w:w="709" w:type="dxa"/>
            <w:noWrap/>
            <w:vAlign w:val="center"/>
            <w:hideMark/>
          </w:tcPr>
          <w:p w14:paraId="3BAD621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54</w:t>
            </w:r>
          </w:p>
        </w:tc>
        <w:tc>
          <w:tcPr>
            <w:tcW w:w="1134" w:type="dxa"/>
            <w:noWrap/>
            <w:vAlign w:val="center"/>
          </w:tcPr>
          <w:p w14:paraId="0598A5F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0.0003</w:t>
            </w:r>
          </w:p>
        </w:tc>
        <w:tc>
          <w:tcPr>
            <w:tcW w:w="992" w:type="dxa"/>
            <w:noWrap/>
            <w:vAlign w:val="center"/>
          </w:tcPr>
          <w:p w14:paraId="4C246CA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0.0161</w:t>
            </w:r>
          </w:p>
        </w:tc>
        <w:tc>
          <w:tcPr>
            <w:tcW w:w="992" w:type="dxa"/>
            <w:noWrap/>
            <w:vAlign w:val="center"/>
          </w:tcPr>
          <w:p w14:paraId="2C69B7D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2.5257</w:t>
            </w:r>
          </w:p>
        </w:tc>
        <w:tc>
          <w:tcPr>
            <w:tcW w:w="1116" w:type="dxa"/>
            <w:noWrap/>
            <w:vAlign w:val="center"/>
          </w:tcPr>
          <w:p w14:paraId="6EBE4CC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0.0404</w:t>
            </w:r>
          </w:p>
        </w:tc>
        <w:tc>
          <w:tcPr>
            <w:tcW w:w="1037" w:type="dxa"/>
            <w:noWrap/>
            <w:vAlign w:val="center"/>
          </w:tcPr>
          <w:p w14:paraId="1595604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0.2010</w:t>
            </w:r>
          </w:p>
        </w:tc>
        <w:tc>
          <w:tcPr>
            <w:tcW w:w="1523" w:type="dxa"/>
            <w:vAlign w:val="center"/>
          </w:tcPr>
          <w:p w14:paraId="1E9BCEA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5A529E80"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2410796E" w14:textId="77777777" w:rsidTr="003F2F3D">
        <w:trPr>
          <w:trHeight w:val="329"/>
        </w:trPr>
        <w:tc>
          <w:tcPr>
            <w:tcW w:w="630" w:type="dxa"/>
            <w:noWrap/>
            <w:vAlign w:val="center"/>
            <w:hideMark/>
          </w:tcPr>
          <w:p w14:paraId="026B118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9B</w:t>
            </w:r>
          </w:p>
        </w:tc>
        <w:tc>
          <w:tcPr>
            <w:tcW w:w="1550" w:type="dxa"/>
            <w:noWrap/>
            <w:vAlign w:val="center"/>
            <w:hideMark/>
          </w:tcPr>
          <w:p w14:paraId="608C966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proofErr w:type="spellStart"/>
            <w:r w:rsidRPr="0024482B">
              <w:rPr>
                <w:rFonts w:ascii="Times New Roman" w:eastAsia="Times New Roman" w:hAnsi="Times New Roman" w:cs="Times New Roman"/>
                <w:color w:val="000000" w:themeColor="text1"/>
                <w:kern w:val="0"/>
                <w:sz w:val="24"/>
                <w:szCs w:val="24"/>
                <w:lang w:eastAsia="en-GB"/>
                <w14:ligatures w14:val="none"/>
              </w:rPr>
              <w:t>Gaigg</w:t>
            </w:r>
            <w:proofErr w:type="spellEnd"/>
            <w:r w:rsidRPr="0024482B">
              <w:rPr>
                <w:rFonts w:ascii="Times New Roman" w:eastAsia="Times New Roman" w:hAnsi="Times New Roman" w:cs="Times New Roman"/>
                <w:color w:val="000000" w:themeColor="text1"/>
                <w:kern w:val="0"/>
                <w:sz w:val="24"/>
                <w:szCs w:val="24"/>
                <w:lang w:eastAsia="en-GB"/>
                <w14:ligatures w14:val="none"/>
              </w:rPr>
              <w:t xml:space="preserve"> et al.,2020</w:t>
            </w:r>
          </w:p>
        </w:tc>
        <w:tc>
          <w:tcPr>
            <w:tcW w:w="2895" w:type="dxa"/>
            <w:noWrap/>
            <w:vAlign w:val="center"/>
            <w:hideMark/>
          </w:tcPr>
          <w:p w14:paraId="0C72BAE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Liebowitz Social Anxiety Scale (LSAS)</w:t>
            </w:r>
          </w:p>
        </w:tc>
        <w:tc>
          <w:tcPr>
            <w:tcW w:w="993" w:type="dxa"/>
            <w:noWrap/>
            <w:vAlign w:val="center"/>
            <w:hideMark/>
          </w:tcPr>
          <w:p w14:paraId="2878CCF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0.97</w:t>
            </w:r>
          </w:p>
        </w:tc>
        <w:tc>
          <w:tcPr>
            <w:tcW w:w="850" w:type="dxa"/>
            <w:noWrap/>
            <w:vAlign w:val="center"/>
            <w:hideMark/>
          </w:tcPr>
          <w:p w14:paraId="3D5CF20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24</w:t>
            </w:r>
          </w:p>
        </w:tc>
        <w:tc>
          <w:tcPr>
            <w:tcW w:w="709" w:type="dxa"/>
            <w:noWrap/>
            <w:vAlign w:val="center"/>
            <w:hideMark/>
          </w:tcPr>
          <w:p w14:paraId="31BDFAD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54</w:t>
            </w:r>
          </w:p>
        </w:tc>
        <w:tc>
          <w:tcPr>
            <w:tcW w:w="1134" w:type="dxa"/>
            <w:noWrap/>
            <w:vAlign w:val="center"/>
          </w:tcPr>
          <w:p w14:paraId="604DE7F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&lt;0.0001</w:t>
            </w:r>
          </w:p>
        </w:tc>
        <w:tc>
          <w:tcPr>
            <w:tcW w:w="992" w:type="dxa"/>
            <w:noWrap/>
            <w:vAlign w:val="center"/>
          </w:tcPr>
          <w:p w14:paraId="27C80BD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0.0060</w:t>
            </w:r>
          </w:p>
        </w:tc>
        <w:tc>
          <w:tcPr>
            <w:tcW w:w="992" w:type="dxa"/>
            <w:noWrap/>
            <w:vAlign w:val="center"/>
          </w:tcPr>
          <w:p w14:paraId="407A807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3.5066</w:t>
            </w:r>
          </w:p>
        </w:tc>
        <w:tc>
          <w:tcPr>
            <w:tcW w:w="1116" w:type="dxa"/>
            <w:noWrap/>
            <w:vAlign w:val="center"/>
          </w:tcPr>
          <w:p w14:paraId="369FDEE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0.0401</w:t>
            </w:r>
          </w:p>
        </w:tc>
        <w:tc>
          <w:tcPr>
            <w:tcW w:w="1037" w:type="dxa"/>
            <w:noWrap/>
            <w:vAlign w:val="center"/>
          </w:tcPr>
          <w:p w14:paraId="2E3807A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0.2003</w:t>
            </w:r>
          </w:p>
        </w:tc>
        <w:tc>
          <w:tcPr>
            <w:tcW w:w="1523" w:type="dxa"/>
            <w:vAlign w:val="center"/>
          </w:tcPr>
          <w:p w14:paraId="368B996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248882D9"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108EE780" w14:textId="77777777" w:rsidTr="003F2F3D">
        <w:trPr>
          <w:trHeight w:val="329"/>
        </w:trPr>
        <w:tc>
          <w:tcPr>
            <w:tcW w:w="630" w:type="dxa"/>
            <w:noWrap/>
            <w:vAlign w:val="center"/>
            <w:hideMark/>
          </w:tcPr>
          <w:p w14:paraId="270F261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9C</w:t>
            </w:r>
          </w:p>
        </w:tc>
        <w:tc>
          <w:tcPr>
            <w:tcW w:w="1550" w:type="dxa"/>
            <w:noWrap/>
            <w:vAlign w:val="center"/>
            <w:hideMark/>
          </w:tcPr>
          <w:p w14:paraId="0B34EB8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proofErr w:type="spellStart"/>
            <w:r w:rsidRPr="0024482B">
              <w:rPr>
                <w:rFonts w:ascii="Times New Roman" w:eastAsia="Times New Roman" w:hAnsi="Times New Roman" w:cs="Times New Roman"/>
                <w:color w:val="000000" w:themeColor="text1"/>
                <w:kern w:val="0"/>
                <w:sz w:val="24"/>
                <w:szCs w:val="24"/>
                <w:lang w:eastAsia="en-GB"/>
                <w14:ligatures w14:val="none"/>
              </w:rPr>
              <w:t>Gaigg</w:t>
            </w:r>
            <w:proofErr w:type="spellEnd"/>
            <w:r w:rsidRPr="0024482B">
              <w:rPr>
                <w:rFonts w:ascii="Times New Roman" w:eastAsia="Times New Roman" w:hAnsi="Times New Roman" w:cs="Times New Roman"/>
                <w:color w:val="000000" w:themeColor="text1"/>
                <w:kern w:val="0"/>
                <w:sz w:val="24"/>
                <w:szCs w:val="24"/>
                <w:lang w:eastAsia="en-GB"/>
                <w14:ligatures w14:val="none"/>
              </w:rPr>
              <w:t xml:space="preserve"> et al., 2020</w:t>
            </w:r>
          </w:p>
        </w:tc>
        <w:tc>
          <w:tcPr>
            <w:tcW w:w="2895" w:type="dxa"/>
            <w:noWrap/>
            <w:vAlign w:val="center"/>
            <w:hideMark/>
          </w:tcPr>
          <w:p w14:paraId="083BF26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GAD-7</w:t>
            </w:r>
          </w:p>
        </w:tc>
        <w:tc>
          <w:tcPr>
            <w:tcW w:w="993" w:type="dxa"/>
            <w:noWrap/>
            <w:vAlign w:val="center"/>
            <w:hideMark/>
          </w:tcPr>
          <w:p w14:paraId="7ECF563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0.93</w:t>
            </w:r>
          </w:p>
        </w:tc>
        <w:tc>
          <w:tcPr>
            <w:tcW w:w="850" w:type="dxa"/>
            <w:noWrap/>
            <w:vAlign w:val="center"/>
            <w:hideMark/>
          </w:tcPr>
          <w:p w14:paraId="732CA04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w:t>
            </w:r>
          </w:p>
        </w:tc>
        <w:tc>
          <w:tcPr>
            <w:tcW w:w="709" w:type="dxa"/>
            <w:noWrap/>
            <w:vAlign w:val="center"/>
            <w:hideMark/>
          </w:tcPr>
          <w:p w14:paraId="120CB0B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54</w:t>
            </w:r>
          </w:p>
        </w:tc>
        <w:tc>
          <w:tcPr>
            <w:tcW w:w="1134" w:type="dxa"/>
            <w:noWrap/>
            <w:vAlign w:val="center"/>
          </w:tcPr>
          <w:p w14:paraId="0BE3FA8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0.0002</w:t>
            </w:r>
          </w:p>
        </w:tc>
        <w:tc>
          <w:tcPr>
            <w:tcW w:w="992" w:type="dxa"/>
            <w:noWrap/>
            <w:vAlign w:val="center"/>
          </w:tcPr>
          <w:p w14:paraId="440EE0A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0.0148</w:t>
            </w:r>
          </w:p>
        </w:tc>
        <w:tc>
          <w:tcPr>
            <w:tcW w:w="992" w:type="dxa"/>
            <w:noWrap/>
            <w:vAlign w:val="center"/>
          </w:tcPr>
          <w:p w14:paraId="09CDA88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2.6593</w:t>
            </w:r>
          </w:p>
        </w:tc>
        <w:tc>
          <w:tcPr>
            <w:tcW w:w="1116" w:type="dxa"/>
            <w:noWrap/>
            <w:vAlign w:val="center"/>
          </w:tcPr>
          <w:p w14:paraId="31C6596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0.0449</w:t>
            </w:r>
          </w:p>
        </w:tc>
        <w:tc>
          <w:tcPr>
            <w:tcW w:w="1037" w:type="dxa"/>
            <w:noWrap/>
            <w:vAlign w:val="center"/>
          </w:tcPr>
          <w:p w14:paraId="21604D3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0.2118</w:t>
            </w:r>
          </w:p>
        </w:tc>
        <w:tc>
          <w:tcPr>
            <w:tcW w:w="1523" w:type="dxa"/>
            <w:vAlign w:val="center"/>
          </w:tcPr>
          <w:p w14:paraId="067DE79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2729FB00"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29916A99" w14:textId="77777777" w:rsidTr="003F2F3D">
        <w:trPr>
          <w:trHeight w:val="329"/>
        </w:trPr>
        <w:tc>
          <w:tcPr>
            <w:tcW w:w="630" w:type="dxa"/>
            <w:noWrap/>
            <w:vAlign w:val="center"/>
            <w:hideMark/>
          </w:tcPr>
          <w:p w14:paraId="5553CB5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9D</w:t>
            </w:r>
          </w:p>
        </w:tc>
        <w:tc>
          <w:tcPr>
            <w:tcW w:w="1550" w:type="dxa"/>
            <w:noWrap/>
            <w:vAlign w:val="center"/>
            <w:hideMark/>
          </w:tcPr>
          <w:p w14:paraId="0AAC275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proofErr w:type="spellStart"/>
            <w:r w:rsidRPr="0024482B">
              <w:rPr>
                <w:rFonts w:ascii="Times New Roman" w:eastAsia="Times New Roman" w:hAnsi="Times New Roman" w:cs="Times New Roman"/>
                <w:color w:val="000000" w:themeColor="text1"/>
                <w:kern w:val="0"/>
                <w:sz w:val="24"/>
                <w:szCs w:val="24"/>
                <w:lang w:eastAsia="en-GB"/>
                <w14:ligatures w14:val="none"/>
              </w:rPr>
              <w:t>Gaigg</w:t>
            </w:r>
            <w:proofErr w:type="spellEnd"/>
            <w:r w:rsidRPr="0024482B">
              <w:rPr>
                <w:rFonts w:ascii="Times New Roman" w:eastAsia="Times New Roman" w:hAnsi="Times New Roman" w:cs="Times New Roman"/>
                <w:color w:val="000000" w:themeColor="text1"/>
                <w:kern w:val="0"/>
                <w:sz w:val="24"/>
                <w:szCs w:val="24"/>
                <w:lang w:eastAsia="en-GB"/>
                <w14:ligatures w14:val="none"/>
              </w:rPr>
              <w:t xml:space="preserve"> et al., 2020</w:t>
            </w:r>
          </w:p>
        </w:tc>
        <w:tc>
          <w:tcPr>
            <w:tcW w:w="2895" w:type="dxa"/>
            <w:noWrap/>
            <w:vAlign w:val="center"/>
            <w:hideMark/>
          </w:tcPr>
          <w:p w14:paraId="096DF59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State-Trait Anxiety Inventory-Trait (STAI-T)</w:t>
            </w:r>
          </w:p>
        </w:tc>
        <w:tc>
          <w:tcPr>
            <w:tcW w:w="993" w:type="dxa"/>
            <w:noWrap/>
            <w:vAlign w:val="center"/>
            <w:hideMark/>
          </w:tcPr>
          <w:p w14:paraId="5A72A80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0.94</w:t>
            </w:r>
          </w:p>
        </w:tc>
        <w:tc>
          <w:tcPr>
            <w:tcW w:w="850" w:type="dxa"/>
            <w:noWrap/>
            <w:vAlign w:val="center"/>
            <w:hideMark/>
          </w:tcPr>
          <w:p w14:paraId="7BA4BAA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20</w:t>
            </w:r>
          </w:p>
        </w:tc>
        <w:tc>
          <w:tcPr>
            <w:tcW w:w="709" w:type="dxa"/>
            <w:noWrap/>
            <w:vAlign w:val="center"/>
            <w:hideMark/>
          </w:tcPr>
          <w:p w14:paraId="799A908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54</w:t>
            </w:r>
          </w:p>
        </w:tc>
        <w:tc>
          <w:tcPr>
            <w:tcW w:w="1134" w:type="dxa"/>
            <w:noWrap/>
            <w:vAlign w:val="center"/>
          </w:tcPr>
          <w:p w14:paraId="39A6A94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0.0001</w:t>
            </w:r>
          </w:p>
        </w:tc>
        <w:tc>
          <w:tcPr>
            <w:tcW w:w="992" w:type="dxa"/>
            <w:noWrap/>
            <w:vAlign w:val="center"/>
          </w:tcPr>
          <w:p w14:paraId="49B847A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0.0121</w:t>
            </w:r>
          </w:p>
        </w:tc>
        <w:tc>
          <w:tcPr>
            <w:tcW w:w="992" w:type="dxa"/>
            <w:noWrap/>
            <w:vAlign w:val="center"/>
          </w:tcPr>
          <w:p w14:paraId="3DA2BDF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2.8134</w:t>
            </w:r>
          </w:p>
        </w:tc>
        <w:tc>
          <w:tcPr>
            <w:tcW w:w="1116" w:type="dxa"/>
            <w:noWrap/>
            <w:vAlign w:val="center"/>
          </w:tcPr>
          <w:p w14:paraId="275EB22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0.0405</w:t>
            </w:r>
          </w:p>
        </w:tc>
        <w:tc>
          <w:tcPr>
            <w:tcW w:w="1037" w:type="dxa"/>
            <w:noWrap/>
            <w:vAlign w:val="center"/>
          </w:tcPr>
          <w:p w14:paraId="76E6557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0.2012</w:t>
            </w:r>
          </w:p>
        </w:tc>
        <w:tc>
          <w:tcPr>
            <w:tcW w:w="1523" w:type="dxa"/>
            <w:vAlign w:val="center"/>
          </w:tcPr>
          <w:p w14:paraId="7D68BBD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35FC428A"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74580EC5" w14:textId="77777777" w:rsidTr="003F2F3D">
        <w:trPr>
          <w:trHeight w:val="329"/>
        </w:trPr>
        <w:tc>
          <w:tcPr>
            <w:tcW w:w="630" w:type="dxa"/>
            <w:noWrap/>
            <w:vAlign w:val="center"/>
            <w:hideMark/>
          </w:tcPr>
          <w:p w14:paraId="4AB3277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10A</w:t>
            </w:r>
          </w:p>
        </w:tc>
        <w:tc>
          <w:tcPr>
            <w:tcW w:w="1550" w:type="dxa"/>
            <w:noWrap/>
            <w:vAlign w:val="center"/>
            <w:hideMark/>
          </w:tcPr>
          <w:p w14:paraId="55FE607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Genova et al., 2023</w:t>
            </w:r>
          </w:p>
        </w:tc>
        <w:tc>
          <w:tcPr>
            <w:tcW w:w="2895" w:type="dxa"/>
            <w:noWrap/>
            <w:vAlign w:val="center"/>
            <w:hideMark/>
          </w:tcPr>
          <w:p w14:paraId="1AC88E3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Personal Report of Public Speaking Apprehension (PRPSA)</w:t>
            </w:r>
          </w:p>
        </w:tc>
        <w:tc>
          <w:tcPr>
            <w:tcW w:w="993" w:type="dxa"/>
            <w:noWrap/>
            <w:vAlign w:val="center"/>
            <w:hideMark/>
          </w:tcPr>
          <w:p w14:paraId="1B041ED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0.91</w:t>
            </w:r>
          </w:p>
        </w:tc>
        <w:tc>
          <w:tcPr>
            <w:tcW w:w="850" w:type="dxa"/>
            <w:noWrap/>
            <w:vAlign w:val="center"/>
            <w:hideMark/>
          </w:tcPr>
          <w:p w14:paraId="082099B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34</w:t>
            </w:r>
          </w:p>
        </w:tc>
        <w:tc>
          <w:tcPr>
            <w:tcW w:w="709" w:type="dxa"/>
            <w:noWrap/>
            <w:vAlign w:val="center"/>
            <w:hideMark/>
          </w:tcPr>
          <w:p w14:paraId="65B5D95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85</w:t>
            </w:r>
          </w:p>
        </w:tc>
        <w:tc>
          <w:tcPr>
            <w:tcW w:w="1134" w:type="dxa"/>
            <w:noWrap/>
            <w:vAlign w:val="center"/>
          </w:tcPr>
          <w:p w14:paraId="0C60EDD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0.0002</w:t>
            </w:r>
          </w:p>
        </w:tc>
        <w:tc>
          <w:tcPr>
            <w:tcW w:w="992" w:type="dxa"/>
            <w:noWrap/>
            <w:vAlign w:val="center"/>
          </w:tcPr>
          <w:p w14:paraId="7D90891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0.0142</w:t>
            </w:r>
          </w:p>
        </w:tc>
        <w:tc>
          <w:tcPr>
            <w:tcW w:w="992" w:type="dxa"/>
            <w:noWrap/>
            <w:vAlign w:val="center"/>
          </w:tcPr>
          <w:p w14:paraId="2CE86EE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2.4079</w:t>
            </w:r>
          </w:p>
        </w:tc>
        <w:tc>
          <w:tcPr>
            <w:tcW w:w="1116" w:type="dxa"/>
            <w:noWrap/>
            <w:vAlign w:val="center"/>
          </w:tcPr>
          <w:p w14:paraId="6BF47B3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0.0248</w:t>
            </w:r>
          </w:p>
        </w:tc>
        <w:tc>
          <w:tcPr>
            <w:tcW w:w="1037" w:type="dxa"/>
            <w:noWrap/>
            <w:vAlign w:val="center"/>
          </w:tcPr>
          <w:p w14:paraId="1D272C1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0.1576</w:t>
            </w:r>
          </w:p>
        </w:tc>
        <w:tc>
          <w:tcPr>
            <w:tcW w:w="1523" w:type="dxa"/>
            <w:vAlign w:val="center"/>
          </w:tcPr>
          <w:p w14:paraId="02D3632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Psychometric and large sample</w:t>
            </w:r>
          </w:p>
        </w:tc>
        <w:tc>
          <w:tcPr>
            <w:tcW w:w="236" w:type="dxa"/>
          </w:tcPr>
          <w:p w14:paraId="02904948"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27DC91D4" w14:textId="77777777" w:rsidTr="003F2F3D">
        <w:trPr>
          <w:trHeight w:val="329"/>
        </w:trPr>
        <w:tc>
          <w:tcPr>
            <w:tcW w:w="630" w:type="dxa"/>
            <w:noWrap/>
            <w:vAlign w:val="center"/>
            <w:hideMark/>
          </w:tcPr>
          <w:p w14:paraId="713B949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10B</w:t>
            </w:r>
          </w:p>
        </w:tc>
        <w:tc>
          <w:tcPr>
            <w:tcW w:w="1550" w:type="dxa"/>
            <w:noWrap/>
            <w:vAlign w:val="center"/>
            <w:hideMark/>
          </w:tcPr>
          <w:p w14:paraId="15BF84B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Genova et al., 2023</w:t>
            </w:r>
          </w:p>
        </w:tc>
        <w:tc>
          <w:tcPr>
            <w:tcW w:w="2895" w:type="dxa"/>
            <w:noWrap/>
            <w:vAlign w:val="center"/>
            <w:hideMark/>
          </w:tcPr>
          <w:p w14:paraId="6F53856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MOJO-</w:t>
            </w:r>
            <w:proofErr w:type="spellStart"/>
            <w:r w:rsidRPr="0024482B">
              <w:rPr>
                <w:rFonts w:ascii="Times New Roman" w:eastAsia="Times New Roman" w:hAnsi="Times New Roman" w:cs="Times New Roman"/>
                <w:color w:val="000000" w:themeColor="text1"/>
                <w:kern w:val="0"/>
                <w:sz w:val="24"/>
                <w:szCs w:val="24"/>
                <w:lang w:eastAsia="en-GB"/>
                <w14:ligatures w14:val="none"/>
              </w:rPr>
              <w:t>iAnxiety</w:t>
            </w:r>
            <w:proofErr w:type="spellEnd"/>
          </w:p>
        </w:tc>
        <w:tc>
          <w:tcPr>
            <w:tcW w:w="993" w:type="dxa"/>
            <w:noWrap/>
            <w:vAlign w:val="center"/>
            <w:hideMark/>
          </w:tcPr>
          <w:p w14:paraId="72316BE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0.85</w:t>
            </w:r>
          </w:p>
        </w:tc>
        <w:tc>
          <w:tcPr>
            <w:tcW w:w="850" w:type="dxa"/>
            <w:noWrap/>
            <w:vAlign w:val="center"/>
            <w:hideMark/>
          </w:tcPr>
          <w:p w14:paraId="6D0457B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11</w:t>
            </w:r>
          </w:p>
        </w:tc>
        <w:tc>
          <w:tcPr>
            <w:tcW w:w="709" w:type="dxa"/>
            <w:noWrap/>
            <w:vAlign w:val="center"/>
            <w:hideMark/>
          </w:tcPr>
          <w:p w14:paraId="5AA55A7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85</w:t>
            </w:r>
          </w:p>
        </w:tc>
        <w:tc>
          <w:tcPr>
            <w:tcW w:w="1134" w:type="dxa"/>
            <w:noWrap/>
            <w:vAlign w:val="center"/>
          </w:tcPr>
          <w:p w14:paraId="148BC15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0.0006</w:t>
            </w:r>
          </w:p>
        </w:tc>
        <w:tc>
          <w:tcPr>
            <w:tcW w:w="992" w:type="dxa"/>
            <w:noWrap/>
            <w:vAlign w:val="center"/>
          </w:tcPr>
          <w:p w14:paraId="508454E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0.0244</w:t>
            </w:r>
          </w:p>
        </w:tc>
        <w:tc>
          <w:tcPr>
            <w:tcW w:w="992" w:type="dxa"/>
            <w:noWrap/>
            <w:vAlign w:val="center"/>
          </w:tcPr>
          <w:p w14:paraId="7FBB2F1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1.8971</w:t>
            </w:r>
          </w:p>
        </w:tc>
        <w:tc>
          <w:tcPr>
            <w:tcW w:w="1116" w:type="dxa"/>
            <w:noWrap/>
            <w:vAlign w:val="center"/>
          </w:tcPr>
          <w:p w14:paraId="4B0B40A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0.0265</w:t>
            </w:r>
          </w:p>
        </w:tc>
        <w:tc>
          <w:tcPr>
            <w:tcW w:w="1037" w:type="dxa"/>
            <w:noWrap/>
            <w:vAlign w:val="center"/>
          </w:tcPr>
          <w:p w14:paraId="09BC2DB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0.1628</w:t>
            </w:r>
          </w:p>
        </w:tc>
        <w:tc>
          <w:tcPr>
            <w:tcW w:w="1523" w:type="dxa"/>
            <w:vAlign w:val="center"/>
          </w:tcPr>
          <w:p w14:paraId="1331D62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Psychometric and large sample</w:t>
            </w:r>
          </w:p>
        </w:tc>
        <w:tc>
          <w:tcPr>
            <w:tcW w:w="236" w:type="dxa"/>
          </w:tcPr>
          <w:p w14:paraId="79F0D9B3"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0C934B2D" w14:textId="77777777" w:rsidTr="003F2F3D">
        <w:trPr>
          <w:trHeight w:val="329"/>
        </w:trPr>
        <w:tc>
          <w:tcPr>
            <w:tcW w:w="630" w:type="dxa"/>
            <w:noWrap/>
            <w:vAlign w:val="center"/>
            <w:hideMark/>
          </w:tcPr>
          <w:p w14:paraId="53D337C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11</w:t>
            </w:r>
          </w:p>
        </w:tc>
        <w:tc>
          <w:tcPr>
            <w:tcW w:w="1550" w:type="dxa"/>
            <w:noWrap/>
            <w:vAlign w:val="center"/>
            <w:hideMark/>
          </w:tcPr>
          <w:p w14:paraId="690F84E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Hedley et al., 2019</w:t>
            </w:r>
          </w:p>
        </w:tc>
        <w:tc>
          <w:tcPr>
            <w:tcW w:w="2895" w:type="dxa"/>
            <w:noWrap/>
            <w:vAlign w:val="center"/>
            <w:hideMark/>
          </w:tcPr>
          <w:p w14:paraId="1369F02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DSM-5 Dimensional Anxiety Scale (DSM-5 DAS)</w:t>
            </w:r>
          </w:p>
        </w:tc>
        <w:tc>
          <w:tcPr>
            <w:tcW w:w="993" w:type="dxa"/>
            <w:noWrap/>
            <w:vAlign w:val="center"/>
            <w:hideMark/>
          </w:tcPr>
          <w:p w14:paraId="622DD88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0.91</w:t>
            </w:r>
          </w:p>
        </w:tc>
        <w:tc>
          <w:tcPr>
            <w:tcW w:w="850" w:type="dxa"/>
            <w:noWrap/>
            <w:vAlign w:val="center"/>
            <w:hideMark/>
          </w:tcPr>
          <w:p w14:paraId="13D8E29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10</w:t>
            </w:r>
          </w:p>
        </w:tc>
        <w:tc>
          <w:tcPr>
            <w:tcW w:w="709" w:type="dxa"/>
            <w:noWrap/>
            <w:vAlign w:val="center"/>
            <w:hideMark/>
          </w:tcPr>
          <w:p w14:paraId="0279F7D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43</w:t>
            </w:r>
          </w:p>
        </w:tc>
        <w:tc>
          <w:tcPr>
            <w:tcW w:w="1134" w:type="dxa"/>
            <w:noWrap/>
            <w:vAlign w:val="center"/>
          </w:tcPr>
          <w:p w14:paraId="1C25373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0.0004</w:t>
            </w:r>
          </w:p>
        </w:tc>
        <w:tc>
          <w:tcPr>
            <w:tcW w:w="992" w:type="dxa"/>
            <w:noWrap/>
            <w:vAlign w:val="center"/>
          </w:tcPr>
          <w:p w14:paraId="5AC4F3F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0.0210</w:t>
            </w:r>
          </w:p>
        </w:tc>
        <w:tc>
          <w:tcPr>
            <w:tcW w:w="992" w:type="dxa"/>
            <w:noWrap/>
            <w:vAlign w:val="center"/>
          </w:tcPr>
          <w:p w14:paraId="50D0C65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2.4079</w:t>
            </w:r>
          </w:p>
        </w:tc>
        <w:tc>
          <w:tcPr>
            <w:tcW w:w="1116" w:type="dxa"/>
            <w:noWrap/>
            <w:vAlign w:val="center"/>
          </w:tcPr>
          <w:p w14:paraId="7455CF7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0.0542</w:t>
            </w:r>
          </w:p>
        </w:tc>
        <w:tc>
          <w:tcPr>
            <w:tcW w:w="1037" w:type="dxa"/>
            <w:noWrap/>
            <w:vAlign w:val="center"/>
          </w:tcPr>
          <w:p w14:paraId="1B06177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0.2328</w:t>
            </w:r>
          </w:p>
        </w:tc>
        <w:tc>
          <w:tcPr>
            <w:tcW w:w="1523" w:type="dxa"/>
            <w:vAlign w:val="center"/>
          </w:tcPr>
          <w:p w14:paraId="53BE683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4AB13D8E"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3C4501F6" w14:textId="77777777" w:rsidTr="003F2F3D">
        <w:trPr>
          <w:trHeight w:val="329"/>
        </w:trPr>
        <w:tc>
          <w:tcPr>
            <w:tcW w:w="630" w:type="dxa"/>
            <w:noWrap/>
            <w:vAlign w:val="center"/>
            <w:hideMark/>
          </w:tcPr>
          <w:p w14:paraId="09B7C7F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12A</w:t>
            </w:r>
          </w:p>
        </w:tc>
        <w:tc>
          <w:tcPr>
            <w:tcW w:w="1550" w:type="dxa"/>
            <w:noWrap/>
            <w:vAlign w:val="center"/>
            <w:hideMark/>
          </w:tcPr>
          <w:p w14:paraId="6A7F985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Hull et al., 2019</w:t>
            </w:r>
          </w:p>
        </w:tc>
        <w:tc>
          <w:tcPr>
            <w:tcW w:w="2895" w:type="dxa"/>
            <w:noWrap/>
            <w:vAlign w:val="center"/>
            <w:hideMark/>
          </w:tcPr>
          <w:p w14:paraId="3C04F9C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GAD-7</w:t>
            </w:r>
          </w:p>
        </w:tc>
        <w:tc>
          <w:tcPr>
            <w:tcW w:w="993" w:type="dxa"/>
            <w:noWrap/>
            <w:vAlign w:val="center"/>
            <w:hideMark/>
          </w:tcPr>
          <w:p w14:paraId="25EE566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0.92</w:t>
            </w:r>
          </w:p>
        </w:tc>
        <w:tc>
          <w:tcPr>
            <w:tcW w:w="850" w:type="dxa"/>
            <w:noWrap/>
            <w:vAlign w:val="center"/>
            <w:hideMark/>
          </w:tcPr>
          <w:p w14:paraId="437484F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w:t>
            </w:r>
          </w:p>
        </w:tc>
        <w:tc>
          <w:tcPr>
            <w:tcW w:w="709" w:type="dxa"/>
            <w:noWrap/>
            <w:vAlign w:val="center"/>
            <w:hideMark/>
          </w:tcPr>
          <w:p w14:paraId="681E5E6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354</w:t>
            </w:r>
          </w:p>
        </w:tc>
        <w:tc>
          <w:tcPr>
            <w:tcW w:w="1134" w:type="dxa"/>
            <w:noWrap/>
            <w:vAlign w:val="center"/>
          </w:tcPr>
          <w:p w14:paraId="7019AC9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&lt;0.0001</w:t>
            </w:r>
          </w:p>
        </w:tc>
        <w:tc>
          <w:tcPr>
            <w:tcW w:w="992" w:type="dxa"/>
            <w:noWrap/>
            <w:vAlign w:val="center"/>
          </w:tcPr>
          <w:p w14:paraId="23FE84F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0.0065</w:t>
            </w:r>
          </w:p>
        </w:tc>
        <w:tc>
          <w:tcPr>
            <w:tcW w:w="992" w:type="dxa"/>
            <w:noWrap/>
            <w:vAlign w:val="center"/>
          </w:tcPr>
          <w:p w14:paraId="763F60B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2.5257</w:t>
            </w:r>
          </w:p>
        </w:tc>
        <w:tc>
          <w:tcPr>
            <w:tcW w:w="1116" w:type="dxa"/>
            <w:noWrap/>
            <w:vAlign w:val="center"/>
          </w:tcPr>
          <w:p w14:paraId="786EA27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0.0066</w:t>
            </w:r>
          </w:p>
        </w:tc>
        <w:tc>
          <w:tcPr>
            <w:tcW w:w="1037" w:type="dxa"/>
            <w:noWrap/>
            <w:vAlign w:val="center"/>
          </w:tcPr>
          <w:p w14:paraId="475BF32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0.0814</w:t>
            </w:r>
          </w:p>
        </w:tc>
        <w:tc>
          <w:tcPr>
            <w:tcW w:w="1523" w:type="dxa"/>
            <w:vAlign w:val="center"/>
          </w:tcPr>
          <w:p w14:paraId="2D8C922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04D00B0F"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4350482A" w14:textId="77777777" w:rsidTr="003F2F3D">
        <w:trPr>
          <w:trHeight w:val="329"/>
        </w:trPr>
        <w:tc>
          <w:tcPr>
            <w:tcW w:w="630" w:type="dxa"/>
            <w:noWrap/>
            <w:vAlign w:val="center"/>
            <w:hideMark/>
          </w:tcPr>
          <w:p w14:paraId="3E69071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12B</w:t>
            </w:r>
          </w:p>
        </w:tc>
        <w:tc>
          <w:tcPr>
            <w:tcW w:w="1550" w:type="dxa"/>
            <w:noWrap/>
            <w:vAlign w:val="center"/>
            <w:hideMark/>
          </w:tcPr>
          <w:p w14:paraId="5E41FD8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Hull et al., 2019</w:t>
            </w:r>
          </w:p>
        </w:tc>
        <w:tc>
          <w:tcPr>
            <w:tcW w:w="2895" w:type="dxa"/>
            <w:noWrap/>
            <w:vAlign w:val="center"/>
            <w:hideMark/>
          </w:tcPr>
          <w:p w14:paraId="24A928A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Liebowitz Social Anxiety Scale (LSAS)</w:t>
            </w:r>
          </w:p>
        </w:tc>
        <w:tc>
          <w:tcPr>
            <w:tcW w:w="993" w:type="dxa"/>
            <w:noWrap/>
            <w:vAlign w:val="center"/>
            <w:hideMark/>
          </w:tcPr>
          <w:p w14:paraId="0888352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0.97</w:t>
            </w:r>
          </w:p>
        </w:tc>
        <w:tc>
          <w:tcPr>
            <w:tcW w:w="850" w:type="dxa"/>
            <w:noWrap/>
            <w:vAlign w:val="center"/>
            <w:hideMark/>
          </w:tcPr>
          <w:p w14:paraId="6C6BE76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24</w:t>
            </w:r>
          </w:p>
        </w:tc>
        <w:tc>
          <w:tcPr>
            <w:tcW w:w="709" w:type="dxa"/>
            <w:noWrap/>
            <w:vAlign w:val="center"/>
            <w:hideMark/>
          </w:tcPr>
          <w:p w14:paraId="0298D97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354</w:t>
            </w:r>
          </w:p>
        </w:tc>
        <w:tc>
          <w:tcPr>
            <w:tcW w:w="1134" w:type="dxa"/>
            <w:noWrap/>
            <w:vAlign w:val="center"/>
          </w:tcPr>
          <w:p w14:paraId="3CDAB67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&lt;0.0001</w:t>
            </w:r>
          </w:p>
        </w:tc>
        <w:tc>
          <w:tcPr>
            <w:tcW w:w="992" w:type="dxa"/>
            <w:noWrap/>
            <w:vAlign w:val="center"/>
          </w:tcPr>
          <w:p w14:paraId="2D96DB1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0.0023</w:t>
            </w:r>
          </w:p>
        </w:tc>
        <w:tc>
          <w:tcPr>
            <w:tcW w:w="992" w:type="dxa"/>
            <w:noWrap/>
            <w:vAlign w:val="center"/>
          </w:tcPr>
          <w:p w14:paraId="0F5F9C0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3.5066</w:t>
            </w:r>
          </w:p>
        </w:tc>
        <w:tc>
          <w:tcPr>
            <w:tcW w:w="1116" w:type="dxa"/>
            <w:noWrap/>
            <w:vAlign w:val="center"/>
          </w:tcPr>
          <w:p w14:paraId="61F1ABD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0.0059</w:t>
            </w:r>
          </w:p>
        </w:tc>
        <w:tc>
          <w:tcPr>
            <w:tcW w:w="1037" w:type="dxa"/>
            <w:noWrap/>
            <w:vAlign w:val="center"/>
          </w:tcPr>
          <w:p w14:paraId="0F5ADF4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0.0770</w:t>
            </w:r>
          </w:p>
        </w:tc>
        <w:tc>
          <w:tcPr>
            <w:tcW w:w="1523" w:type="dxa"/>
            <w:vAlign w:val="center"/>
          </w:tcPr>
          <w:p w14:paraId="2C3578A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1A622C75"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78FC5EC8" w14:textId="77777777" w:rsidTr="003F2F3D">
        <w:trPr>
          <w:trHeight w:val="329"/>
        </w:trPr>
        <w:tc>
          <w:tcPr>
            <w:tcW w:w="630" w:type="dxa"/>
            <w:noWrap/>
            <w:vAlign w:val="center"/>
            <w:hideMark/>
          </w:tcPr>
          <w:p w14:paraId="79ED4DE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13</w:t>
            </w:r>
          </w:p>
        </w:tc>
        <w:tc>
          <w:tcPr>
            <w:tcW w:w="1550" w:type="dxa"/>
            <w:noWrap/>
            <w:vAlign w:val="center"/>
            <w:hideMark/>
          </w:tcPr>
          <w:p w14:paraId="1FD3285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proofErr w:type="spellStart"/>
            <w:r w:rsidRPr="0024482B">
              <w:rPr>
                <w:rFonts w:ascii="Times New Roman" w:eastAsia="Times New Roman" w:hAnsi="Times New Roman" w:cs="Times New Roman"/>
                <w:color w:val="000000" w:themeColor="text1"/>
                <w:kern w:val="0"/>
                <w:sz w:val="24"/>
                <w:szCs w:val="24"/>
                <w:lang w:eastAsia="en-GB"/>
                <w14:ligatures w14:val="none"/>
              </w:rPr>
              <w:t>Kuzminskaite</w:t>
            </w:r>
            <w:proofErr w:type="spellEnd"/>
            <w:r w:rsidRPr="0024482B">
              <w:rPr>
                <w:rFonts w:ascii="Times New Roman" w:eastAsia="Times New Roman" w:hAnsi="Times New Roman" w:cs="Times New Roman"/>
                <w:color w:val="000000" w:themeColor="text1"/>
                <w:kern w:val="0"/>
                <w:sz w:val="24"/>
                <w:szCs w:val="24"/>
                <w:lang w:eastAsia="en-GB"/>
                <w14:ligatures w14:val="none"/>
              </w:rPr>
              <w:t xml:space="preserve"> et al., 2020</w:t>
            </w:r>
          </w:p>
        </w:tc>
        <w:tc>
          <w:tcPr>
            <w:tcW w:w="2895" w:type="dxa"/>
            <w:noWrap/>
            <w:vAlign w:val="center"/>
            <w:hideMark/>
          </w:tcPr>
          <w:p w14:paraId="02BF176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Dutch Hospital Anxiety and Depression Scale (Anxiety Scale; HADS-A)</w:t>
            </w:r>
          </w:p>
        </w:tc>
        <w:tc>
          <w:tcPr>
            <w:tcW w:w="993" w:type="dxa"/>
            <w:noWrap/>
            <w:vAlign w:val="center"/>
            <w:hideMark/>
          </w:tcPr>
          <w:p w14:paraId="77F0973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0.85</w:t>
            </w:r>
          </w:p>
        </w:tc>
        <w:tc>
          <w:tcPr>
            <w:tcW w:w="850" w:type="dxa"/>
            <w:noWrap/>
            <w:vAlign w:val="center"/>
            <w:hideMark/>
          </w:tcPr>
          <w:p w14:paraId="63E4FA0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w:t>
            </w:r>
          </w:p>
        </w:tc>
        <w:tc>
          <w:tcPr>
            <w:tcW w:w="709" w:type="dxa"/>
            <w:noWrap/>
            <w:vAlign w:val="center"/>
            <w:hideMark/>
          </w:tcPr>
          <w:p w14:paraId="6259F85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742</w:t>
            </w:r>
          </w:p>
        </w:tc>
        <w:tc>
          <w:tcPr>
            <w:tcW w:w="1134" w:type="dxa"/>
            <w:noWrap/>
            <w:vAlign w:val="center"/>
          </w:tcPr>
          <w:p w14:paraId="3098710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0.0001</w:t>
            </w:r>
          </w:p>
        </w:tc>
        <w:tc>
          <w:tcPr>
            <w:tcW w:w="992" w:type="dxa"/>
            <w:noWrap/>
            <w:vAlign w:val="center"/>
          </w:tcPr>
          <w:p w14:paraId="6335E4F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0.0084</w:t>
            </w:r>
          </w:p>
        </w:tc>
        <w:tc>
          <w:tcPr>
            <w:tcW w:w="992" w:type="dxa"/>
            <w:noWrap/>
            <w:vAlign w:val="center"/>
          </w:tcPr>
          <w:p w14:paraId="259D275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1.8971</w:t>
            </w:r>
          </w:p>
        </w:tc>
        <w:tc>
          <w:tcPr>
            <w:tcW w:w="1116" w:type="dxa"/>
            <w:noWrap/>
            <w:vAlign w:val="center"/>
          </w:tcPr>
          <w:p w14:paraId="18FA8E5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0.0032</w:t>
            </w:r>
          </w:p>
        </w:tc>
        <w:tc>
          <w:tcPr>
            <w:tcW w:w="1037" w:type="dxa"/>
            <w:noWrap/>
            <w:vAlign w:val="center"/>
          </w:tcPr>
          <w:p w14:paraId="5F329A3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0.0562</w:t>
            </w:r>
          </w:p>
        </w:tc>
        <w:tc>
          <w:tcPr>
            <w:tcW w:w="1523" w:type="dxa"/>
            <w:vAlign w:val="center"/>
          </w:tcPr>
          <w:p w14:paraId="3353BD5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2E93D919"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74A2F14C" w14:textId="77777777" w:rsidTr="003F2F3D">
        <w:trPr>
          <w:trHeight w:val="329"/>
        </w:trPr>
        <w:tc>
          <w:tcPr>
            <w:tcW w:w="630" w:type="dxa"/>
            <w:noWrap/>
            <w:vAlign w:val="center"/>
            <w:hideMark/>
          </w:tcPr>
          <w:p w14:paraId="04CD228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14</w:t>
            </w:r>
          </w:p>
        </w:tc>
        <w:tc>
          <w:tcPr>
            <w:tcW w:w="1550" w:type="dxa"/>
            <w:noWrap/>
            <w:vAlign w:val="center"/>
            <w:hideMark/>
          </w:tcPr>
          <w:p w14:paraId="4CB2894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Mazurek, 2013</w:t>
            </w:r>
          </w:p>
        </w:tc>
        <w:tc>
          <w:tcPr>
            <w:tcW w:w="2895" w:type="dxa"/>
            <w:noWrap/>
            <w:vAlign w:val="center"/>
            <w:hideMark/>
          </w:tcPr>
          <w:p w14:paraId="7848783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GAD-7</w:t>
            </w:r>
          </w:p>
        </w:tc>
        <w:tc>
          <w:tcPr>
            <w:tcW w:w="993" w:type="dxa"/>
            <w:noWrap/>
            <w:vAlign w:val="center"/>
            <w:hideMark/>
          </w:tcPr>
          <w:p w14:paraId="0F3A0FD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0.88</w:t>
            </w:r>
          </w:p>
        </w:tc>
        <w:tc>
          <w:tcPr>
            <w:tcW w:w="850" w:type="dxa"/>
            <w:noWrap/>
            <w:vAlign w:val="center"/>
            <w:hideMark/>
          </w:tcPr>
          <w:p w14:paraId="417E3D7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w:t>
            </w:r>
          </w:p>
        </w:tc>
        <w:tc>
          <w:tcPr>
            <w:tcW w:w="709" w:type="dxa"/>
            <w:noWrap/>
            <w:vAlign w:val="center"/>
            <w:hideMark/>
          </w:tcPr>
          <w:p w14:paraId="2308C4F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108</w:t>
            </w:r>
          </w:p>
        </w:tc>
        <w:tc>
          <w:tcPr>
            <w:tcW w:w="1134" w:type="dxa"/>
            <w:noWrap/>
            <w:vAlign w:val="center"/>
          </w:tcPr>
          <w:p w14:paraId="2278FD3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0.0003</w:t>
            </w:r>
          </w:p>
        </w:tc>
        <w:tc>
          <w:tcPr>
            <w:tcW w:w="992" w:type="dxa"/>
            <w:noWrap/>
            <w:vAlign w:val="center"/>
          </w:tcPr>
          <w:p w14:paraId="169602E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0.0178</w:t>
            </w:r>
          </w:p>
        </w:tc>
        <w:tc>
          <w:tcPr>
            <w:tcW w:w="992" w:type="dxa"/>
            <w:noWrap/>
            <w:vAlign w:val="center"/>
          </w:tcPr>
          <w:p w14:paraId="13F9A04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2.1203</w:t>
            </w:r>
          </w:p>
        </w:tc>
        <w:tc>
          <w:tcPr>
            <w:tcW w:w="1116" w:type="dxa"/>
            <w:noWrap/>
            <w:vAlign w:val="center"/>
          </w:tcPr>
          <w:p w14:paraId="6A856C4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0.0220</w:t>
            </w:r>
          </w:p>
        </w:tc>
        <w:tc>
          <w:tcPr>
            <w:tcW w:w="1037" w:type="dxa"/>
            <w:noWrap/>
            <w:vAlign w:val="center"/>
          </w:tcPr>
          <w:p w14:paraId="1B98908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0.1484</w:t>
            </w:r>
          </w:p>
        </w:tc>
        <w:tc>
          <w:tcPr>
            <w:tcW w:w="1523" w:type="dxa"/>
            <w:vAlign w:val="center"/>
          </w:tcPr>
          <w:p w14:paraId="46ED5A9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1ABA357E"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13DFC234" w14:textId="77777777" w:rsidTr="003F2F3D">
        <w:trPr>
          <w:trHeight w:val="329"/>
        </w:trPr>
        <w:tc>
          <w:tcPr>
            <w:tcW w:w="630" w:type="dxa"/>
            <w:noWrap/>
            <w:vAlign w:val="center"/>
            <w:hideMark/>
          </w:tcPr>
          <w:p w14:paraId="2A0FD83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lastRenderedPageBreak/>
              <w:t>15</w:t>
            </w:r>
          </w:p>
        </w:tc>
        <w:tc>
          <w:tcPr>
            <w:tcW w:w="1550" w:type="dxa"/>
            <w:noWrap/>
            <w:vAlign w:val="center"/>
            <w:hideMark/>
          </w:tcPr>
          <w:p w14:paraId="3CE757B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McKernan &amp; Russo, 2023</w:t>
            </w:r>
          </w:p>
        </w:tc>
        <w:tc>
          <w:tcPr>
            <w:tcW w:w="2895" w:type="dxa"/>
            <w:noWrap/>
            <w:vAlign w:val="center"/>
            <w:hideMark/>
          </w:tcPr>
          <w:p w14:paraId="121D63E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DASS-21 (Anxiety Subscale)</w:t>
            </w:r>
          </w:p>
        </w:tc>
        <w:tc>
          <w:tcPr>
            <w:tcW w:w="993" w:type="dxa"/>
            <w:noWrap/>
            <w:vAlign w:val="center"/>
            <w:hideMark/>
          </w:tcPr>
          <w:p w14:paraId="0C8F170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0.891</w:t>
            </w:r>
          </w:p>
        </w:tc>
        <w:tc>
          <w:tcPr>
            <w:tcW w:w="850" w:type="dxa"/>
            <w:noWrap/>
            <w:vAlign w:val="center"/>
            <w:hideMark/>
          </w:tcPr>
          <w:p w14:paraId="6873F7A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w:t>
            </w:r>
          </w:p>
        </w:tc>
        <w:tc>
          <w:tcPr>
            <w:tcW w:w="709" w:type="dxa"/>
            <w:noWrap/>
            <w:vAlign w:val="center"/>
            <w:hideMark/>
          </w:tcPr>
          <w:p w14:paraId="43F1C3A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231</w:t>
            </w:r>
          </w:p>
        </w:tc>
        <w:tc>
          <w:tcPr>
            <w:tcW w:w="1134" w:type="dxa"/>
            <w:noWrap/>
            <w:vAlign w:val="center"/>
          </w:tcPr>
          <w:p w14:paraId="2CEA9CC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0.0001</w:t>
            </w:r>
          </w:p>
        </w:tc>
        <w:tc>
          <w:tcPr>
            <w:tcW w:w="992" w:type="dxa"/>
            <w:noWrap/>
            <w:vAlign w:val="center"/>
          </w:tcPr>
          <w:p w14:paraId="3F8E4FD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0.0110</w:t>
            </w:r>
          </w:p>
        </w:tc>
        <w:tc>
          <w:tcPr>
            <w:tcW w:w="992" w:type="dxa"/>
            <w:noWrap/>
            <w:vAlign w:val="center"/>
          </w:tcPr>
          <w:p w14:paraId="5199F67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2.2073</w:t>
            </w:r>
          </w:p>
        </w:tc>
        <w:tc>
          <w:tcPr>
            <w:tcW w:w="1116" w:type="dxa"/>
            <w:noWrap/>
            <w:vAlign w:val="center"/>
          </w:tcPr>
          <w:p w14:paraId="1A91541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0.0102</w:t>
            </w:r>
          </w:p>
        </w:tc>
        <w:tc>
          <w:tcPr>
            <w:tcW w:w="1037" w:type="dxa"/>
            <w:noWrap/>
            <w:vAlign w:val="center"/>
          </w:tcPr>
          <w:p w14:paraId="5454429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0.1009</w:t>
            </w:r>
          </w:p>
        </w:tc>
        <w:tc>
          <w:tcPr>
            <w:tcW w:w="1523" w:type="dxa"/>
            <w:vAlign w:val="center"/>
          </w:tcPr>
          <w:p w14:paraId="3F8C3A5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Psychometric and large sample</w:t>
            </w:r>
          </w:p>
        </w:tc>
        <w:tc>
          <w:tcPr>
            <w:tcW w:w="236" w:type="dxa"/>
          </w:tcPr>
          <w:p w14:paraId="01A78D2E"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1130795F" w14:textId="77777777" w:rsidTr="003F2F3D">
        <w:trPr>
          <w:trHeight w:val="329"/>
        </w:trPr>
        <w:tc>
          <w:tcPr>
            <w:tcW w:w="630" w:type="dxa"/>
            <w:noWrap/>
            <w:vAlign w:val="center"/>
            <w:hideMark/>
          </w:tcPr>
          <w:p w14:paraId="0A2A09F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16A</w:t>
            </w:r>
          </w:p>
        </w:tc>
        <w:tc>
          <w:tcPr>
            <w:tcW w:w="1550" w:type="dxa"/>
            <w:noWrap/>
            <w:vAlign w:val="center"/>
            <w:hideMark/>
          </w:tcPr>
          <w:p w14:paraId="09CD8CE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McVey et al., 2016</w:t>
            </w:r>
          </w:p>
        </w:tc>
        <w:tc>
          <w:tcPr>
            <w:tcW w:w="2895" w:type="dxa"/>
            <w:noWrap/>
            <w:vAlign w:val="center"/>
            <w:hideMark/>
          </w:tcPr>
          <w:p w14:paraId="2DA4652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Liebowitz Social Anxiety Scale (LSAS)</w:t>
            </w:r>
          </w:p>
        </w:tc>
        <w:tc>
          <w:tcPr>
            <w:tcW w:w="993" w:type="dxa"/>
            <w:noWrap/>
            <w:vAlign w:val="center"/>
            <w:hideMark/>
          </w:tcPr>
          <w:p w14:paraId="16C8A34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0.97</w:t>
            </w:r>
          </w:p>
        </w:tc>
        <w:tc>
          <w:tcPr>
            <w:tcW w:w="850" w:type="dxa"/>
            <w:noWrap/>
            <w:vAlign w:val="center"/>
            <w:hideMark/>
          </w:tcPr>
          <w:p w14:paraId="2A2DB04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24</w:t>
            </w:r>
          </w:p>
        </w:tc>
        <w:tc>
          <w:tcPr>
            <w:tcW w:w="709" w:type="dxa"/>
            <w:noWrap/>
            <w:vAlign w:val="center"/>
            <w:hideMark/>
          </w:tcPr>
          <w:p w14:paraId="35D07A2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56</w:t>
            </w:r>
          </w:p>
        </w:tc>
        <w:tc>
          <w:tcPr>
            <w:tcW w:w="1134" w:type="dxa"/>
            <w:noWrap/>
            <w:vAlign w:val="center"/>
          </w:tcPr>
          <w:p w14:paraId="19EC2BD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&lt;0.0001</w:t>
            </w:r>
          </w:p>
        </w:tc>
        <w:tc>
          <w:tcPr>
            <w:tcW w:w="992" w:type="dxa"/>
            <w:noWrap/>
            <w:vAlign w:val="center"/>
          </w:tcPr>
          <w:p w14:paraId="145B83B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0.0059</w:t>
            </w:r>
          </w:p>
        </w:tc>
        <w:tc>
          <w:tcPr>
            <w:tcW w:w="992" w:type="dxa"/>
            <w:noWrap/>
            <w:vAlign w:val="center"/>
          </w:tcPr>
          <w:p w14:paraId="15D8F9C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3.5066</w:t>
            </w:r>
          </w:p>
        </w:tc>
        <w:tc>
          <w:tcPr>
            <w:tcW w:w="1116" w:type="dxa"/>
            <w:noWrap/>
            <w:vAlign w:val="center"/>
          </w:tcPr>
          <w:p w14:paraId="3FF3B35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0.0386</w:t>
            </w:r>
          </w:p>
        </w:tc>
        <w:tc>
          <w:tcPr>
            <w:tcW w:w="1037" w:type="dxa"/>
            <w:noWrap/>
            <w:vAlign w:val="center"/>
          </w:tcPr>
          <w:p w14:paraId="03330AB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0.1966</w:t>
            </w:r>
          </w:p>
        </w:tc>
        <w:tc>
          <w:tcPr>
            <w:tcW w:w="1523" w:type="dxa"/>
            <w:vAlign w:val="center"/>
          </w:tcPr>
          <w:p w14:paraId="582EAB4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116CACDE"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05367716" w14:textId="77777777" w:rsidTr="003F2F3D">
        <w:trPr>
          <w:trHeight w:val="329"/>
        </w:trPr>
        <w:tc>
          <w:tcPr>
            <w:tcW w:w="630" w:type="dxa"/>
            <w:noWrap/>
            <w:vAlign w:val="center"/>
            <w:hideMark/>
          </w:tcPr>
          <w:p w14:paraId="0BACF83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16B</w:t>
            </w:r>
          </w:p>
        </w:tc>
        <w:tc>
          <w:tcPr>
            <w:tcW w:w="1550" w:type="dxa"/>
            <w:noWrap/>
            <w:vAlign w:val="center"/>
            <w:hideMark/>
          </w:tcPr>
          <w:p w14:paraId="05BC4E5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McVey et al., 2016</w:t>
            </w:r>
          </w:p>
        </w:tc>
        <w:tc>
          <w:tcPr>
            <w:tcW w:w="2895" w:type="dxa"/>
            <w:noWrap/>
            <w:vAlign w:val="center"/>
            <w:hideMark/>
          </w:tcPr>
          <w:p w14:paraId="24166E6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SPIN (Social Phobia Inventory)</w:t>
            </w:r>
          </w:p>
        </w:tc>
        <w:tc>
          <w:tcPr>
            <w:tcW w:w="993" w:type="dxa"/>
            <w:noWrap/>
            <w:vAlign w:val="center"/>
            <w:hideMark/>
          </w:tcPr>
          <w:p w14:paraId="0B96E0A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0.94</w:t>
            </w:r>
          </w:p>
        </w:tc>
        <w:tc>
          <w:tcPr>
            <w:tcW w:w="850" w:type="dxa"/>
            <w:noWrap/>
            <w:vAlign w:val="center"/>
            <w:hideMark/>
          </w:tcPr>
          <w:p w14:paraId="3635421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17</w:t>
            </w:r>
          </w:p>
        </w:tc>
        <w:tc>
          <w:tcPr>
            <w:tcW w:w="709" w:type="dxa"/>
            <w:noWrap/>
            <w:vAlign w:val="center"/>
            <w:hideMark/>
          </w:tcPr>
          <w:p w14:paraId="3434EA2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56</w:t>
            </w:r>
          </w:p>
        </w:tc>
        <w:tc>
          <w:tcPr>
            <w:tcW w:w="1134" w:type="dxa"/>
            <w:noWrap/>
            <w:vAlign w:val="center"/>
          </w:tcPr>
          <w:p w14:paraId="6D08DCA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0.0001</w:t>
            </w:r>
          </w:p>
        </w:tc>
        <w:tc>
          <w:tcPr>
            <w:tcW w:w="992" w:type="dxa"/>
            <w:noWrap/>
            <w:vAlign w:val="center"/>
          </w:tcPr>
          <w:p w14:paraId="0805A26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0.0119</w:t>
            </w:r>
          </w:p>
        </w:tc>
        <w:tc>
          <w:tcPr>
            <w:tcW w:w="992" w:type="dxa"/>
            <w:noWrap/>
            <w:vAlign w:val="center"/>
          </w:tcPr>
          <w:p w14:paraId="5B33F1A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2.8134</w:t>
            </w:r>
          </w:p>
        </w:tc>
        <w:tc>
          <w:tcPr>
            <w:tcW w:w="1116" w:type="dxa"/>
            <w:noWrap/>
            <w:vAlign w:val="center"/>
          </w:tcPr>
          <w:p w14:paraId="72CA824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0.0394</w:t>
            </w:r>
          </w:p>
        </w:tc>
        <w:tc>
          <w:tcPr>
            <w:tcW w:w="1037" w:type="dxa"/>
            <w:noWrap/>
            <w:vAlign w:val="center"/>
          </w:tcPr>
          <w:p w14:paraId="5DF4221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0.1984</w:t>
            </w:r>
          </w:p>
        </w:tc>
        <w:tc>
          <w:tcPr>
            <w:tcW w:w="1523" w:type="dxa"/>
            <w:vAlign w:val="center"/>
          </w:tcPr>
          <w:p w14:paraId="79CC15B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256A972E"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2A789F39" w14:textId="77777777" w:rsidTr="003F2F3D">
        <w:trPr>
          <w:trHeight w:val="329"/>
        </w:trPr>
        <w:tc>
          <w:tcPr>
            <w:tcW w:w="630" w:type="dxa"/>
            <w:noWrap/>
            <w:vAlign w:val="center"/>
            <w:hideMark/>
          </w:tcPr>
          <w:p w14:paraId="1583436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17</w:t>
            </w:r>
          </w:p>
        </w:tc>
        <w:tc>
          <w:tcPr>
            <w:tcW w:w="1550" w:type="dxa"/>
            <w:noWrap/>
            <w:vAlign w:val="center"/>
            <w:hideMark/>
          </w:tcPr>
          <w:p w14:paraId="67BCEFE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Moseley et al., 2022</w:t>
            </w:r>
          </w:p>
        </w:tc>
        <w:tc>
          <w:tcPr>
            <w:tcW w:w="2895" w:type="dxa"/>
            <w:noWrap/>
            <w:vAlign w:val="center"/>
            <w:hideMark/>
          </w:tcPr>
          <w:p w14:paraId="564B461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GAD-7</w:t>
            </w:r>
          </w:p>
        </w:tc>
        <w:tc>
          <w:tcPr>
            <w:tcW w:w="993" w:type="dxa"/>
            <w:noWrap/>
            <w:vAlign w:val="center"/>
            <w:hideMark/>
          </w:tcPr>
          <w:p w14:paraId="20CC681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0.91</w:t>
            </w:r>
          </w:p>
        </w:tc>
        <w:tc>
          <w:tcPr>
            <w:tcW w:w="850" w:type="dxa"/>
            <w:noWrap/>
            <w:vAlign w:val="center"/>
            <w:hideMark/>
          </w:tcPr>
          <w:p w14:paraId="5CC16F9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w:t>
            </w:r>
          </w:p>
        </w:tc>
        <w:tc>
          <w:tcPr>
            <w:tcW w:w="709" w:type="dxa"/>
            <w:noWrap/>
            <w:vAlign w:val="center"/>
            <w:hideMark/>
          </w:tcPr>
          <w:p w14:paraId="03E24FF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314</w:t>
            </w:r>
          </w:p>
        </w:tc>
        <w:tc>
          <w:tcPr>
            <w:tcW w:w="1134" w:type="dxa"/>
            <w:noWrap/>
            <w:vAlign w:val="center"/>
          </w:tcPr>
          <w:p w14:paraId="1C22905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0.0001</w:t>
            </w:r>
          </w:p>
        </w:tc>
        <w:tc>
          <w:tcPr>
            <w:tcW w:w="992" w:type="dxa"/>
            <w:noWrap/>
            <w:vAlign w:val="center"/>
          </w:tcPr>
          <w:p w14:paraId="7508631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0.0078</w:t>
            </w:r>
          </w:p>
        </w:tc>
        <w:tc>
          <w:tcPr>
            <w:tcW w:w="992" w:type="dxa"/>
            <w:noWrap/>
            <w:vAlign w:val="center"/>
          </w:tcPr>
          <w:p w14:paraId="5DCE9BD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2.4079</w:t>
            </w:r>
          </w:p>
        </w:tc>
        <w:tc>
          <w:tcPr>
            <w:tcW w:w="1116" w:type="dxa"/>
            <w:noWrap/>
            <w:vAlign w:val="center"/>
          </w:tcPr>
          <w:p w14:paraId="5A3D2DF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0.0075</w:t>
            </w:r>
          </w:p>
        </w:tc>
        <w:tc>
          <w:tcPr>
            <w:tcW w:w="1037" w:type="dxa"/>
            <w:noWrap/>
            <w:vAlign w:val="center"/>
          </w:tcPr>
          <w:p w14:paraId="781A4D8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0.0865</w:t>
            </w:r>
          </w:p>
        </w:tc>
        <w:tc>
          <w:tcPr>
            <w:tcW w:w="1523" w:type="dxa"/>
            <w:vAlign w:val="center"/>
          </w:tcPr>
          <w:p w14:paraId="241D0F3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09DE2686"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2BCC2A40" w14:textId="77777777" w:rsidTr="003F2F3D">
        <w:trPr>
          <w:trHeight w:val="329"/>
        </w:trPr>
        <w:tc>
          <w:tcPr>
            <w:tcW w:w="630" w:type="dxa"/>
            <w:noWrap/>
            <w:vAlign w:val="center"/>
            <w:hideMark/>
          </w:tcPr>
          <w:p w14:paraId="70811E8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18</w:t>
            </w:r>
          </w:p>
        </w:tc>
        <w:tc>
          <w:tcPr>
            <w:tcW w:w="1550" w:type="dxa"/>
            <w:noWrap/>
            <w:vAlign w:val="center"/>
            <w:hideMark/>
          </w:tcPr>
          <w:p w14:paraId="247E070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Muniandy et al., 2021</w:t>
            </w:r>
          </w:p>
        </w:tc>
        <w:tc>
          <w:tcPr>
            <w:tcW w:w="2895" w:type="dxa"/>
            <w:noWrap/>
            <w:vAlign w:val="center"/>
            <w:hideMark/>
          </w:tcPr>
          <w:p w14:paraId="11E1531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DSM-5 Generalised Anxiety Disorder Dimensional Scale (DSM-5 GAD-D)</w:t>
            </w:r>
          </w:p>
        </w:tc>
        <w:tc>
          <w:tcPr>
            <w:tcW w:w="993" w:type="dxa"/>
            <w:noWrap/>
            <w:vAlign w:val="center"/>
            <w:hideMark/>
          </w:tcPr>
          <w:p w14:paraId="0C3C88B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0.87</w:t>
            </w:r>
          </w:p>
        </w:tc>
        <w:tc>
          <w:tcPr>
            <w:tcW w:w="850" w:type="dxa"/>
            <w:noWrap/>
            <w:vAlign w:val="center"/>
            <w:hideMark/>
          </w:tcPr>
          <w:p w14:paraId="0956CB8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10</w:t>
            </w:r>
          </w:p>
        </w:tc>
        <w:tc>
          <w:tcPr>
            <w:tcW w:w="709" w:type="dxa"/>
            <w:noWrap/>
            <w:vAlign w:val="center"/>
            <w:hideMark/>
          </w:tcPr>
          <w:p w14:paraId="61C9A53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76</w:t>
            </w:r>
          </w:p>
        </w:tc>
        <w:tc>
          <w:tcPr>
            <w:tcW w:w="1134" w:type="dxa"/>
            <w:noWrap/>
            <w:vAlign w:val="center"/>
          </w:tcPr>
          <w:p w14:paraId="0FD5412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0.0005</w:t>
            </w:r>
          </w:p>
        </w:tc>
        <w:tc>
          <w:tcPr>
            <w:tcW w:w="992" w:type="dxa"/>
            <w:noWrap/>
            <w:vAlign w:val="center"/>
          </w:tcPr>
          <w:p w14:paraId="033016E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0.0225</w:t>
            </w:r>
          </w:p>
        </w:tc>
        <w:tc>
          <w:tcPr>
            <w:tcW w:w="992" w:type="dxa"/>
            <w:noWrap/>
            <w:vAlign w:val="center"/>
          </w:tcPr>
          <w:p w14:paraId="66EC8C0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2.0402</w:t>
            </w:r>
          </w:p>
        </w:tc>
        <w:tc>
          <w:tcPr>
            <w:tcW w:w="1116" w:type="dxa"/>
            <w:noWrap/>
            <w:vAlign w:val="center"/>
          </w:tcPr>
          <w:p w14:paraId="1BC544D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0.0300</w:t>
            </w:r>
          </w:p>
        </w:tc>
        <w:tc>
          <w:tcPr>
            <w:tcW w:w="1037" w:type="dxa"/>
            <w:noWrap/>
            <w:vAlign w:val="center"/>
          </w:tcPr>
          <w:p w14:paraId="79EE911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0.1733</w:t>
            </w:r>
          </w:p>
        </w:tc>
        <w:tc>
          <w:tcPr>
            <w:tcW w:w="1523" w:type="dxa"/>
            <w:vAlign w:val="center"/>
          </w:tcPr>
          <w:p w14:paraId="504221C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1416050B"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247D434B" w14:textId="77777777" w:rsidTr="003F2F3D">
        <w:trPr>
          <w:trHeight w:val="329"/>
        </w:trPr>
        <w:tc>
          <w:tcPr>
            <w:tcW w:w="630" w:type="dxa"/>
            <w:noWrap/>
            <w:vAlign w:val="center"/>
            <w:hideMark/>
          </w:tcPr>
          <w:p w14:paraId="527D960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19</w:t>
            </w:r>
          </w:p>
        </w:tc>
        <w:tc>
          <w:tcPr>
            <w:tcW w:w="1550" w:type="dxa"/>
            <w:noWrap/>
            <w:vAlign w:val="center"/>
            <w:hideMark/>
          </w:tcPr>
          <w:p w14:paraId="36F0FD3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Nah et al., 2018</w:t>
            </w:r>
          </w:p>
        </w:tc>
        <w:tc>
          <w:tcPr>
            <w:tcW w:w="2895" w:type="dxa"/>
            <w:noWrap/>
            <w:vAlign w:val="center"/>
            <w:hideMark/>
          </w:tcPr>
          <w:p w14:paraId="562EA75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Depression Anxiety Stress Scales (DASS-21; Anxiety Subscale)</w:t>
            </w:r>
          </w:p>
        </w:tc>
        <w:tc>
          <w:tcPr>
            <w:tcW w:w="993" w:type="dxa"/>
            <w:noWrap/>
            <w:vAlign w:val="center"/>
            <w:hideMark/>
          </w:tcPr>
          <w:p w14:paraId="56D7246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0.83</w:t>
            </w:r>
          </w:p>
        </w:tc>
        <w:tc>
          <w:tcPr>
            <w:tcW w:w="850" w:type="dxa"/>
            <w:noWrap/>
            <w:vAlign w:val="center"/>
            <w:hideMark/>
          </w:tcPr>
          <w:p w14:paraId="169B5A4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w:t>
            </w:r>
          </w:p>
        </w:tc>
        <w:tc>
          <w:tcPr>
            <w:tcW w:w="709" w:type="dxa"/>
            <w:noWrap/>
            <w:vAlign w:val="center"/>
            <w:hideMark/>
          </w:tcPr>
          <w:p w14:paraId="60E43D9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149</w:t>
            </w:r>
          </w:p>
        </w:tc>
        <w:tc>
          <w:tcPr>
            <w:tcW w:w="1134" w:type="dxa"/>
            <w:noWrap/>
            <w:vAlign w:val="center"/>
          </w:tcPr>
          <w:p w14:paraId="2F1BF99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0.0005</w:t>
            </w:r>
          </w:p>
        </w:tc>
        <w:tc>
          <w:tcPr>
            <w:tcW w:w="992" w:type="dxa"/>
            <w:noWrap/>
            <w:vAlign w:val="center"/>
          </w:tcPr>
          <w:p w14:paraId="5F41E12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0.0214</w:t>
            </w:r>
          </w:p>
        </w:tc>
        <w:tc>
          <w:tcPr>
            <w:tcW w:w="992" w:type="dxa"/>
            <w:noWrap/>
            <w:vAlign w:val="center"/>
          </w:tcPr>
          <w:p w14:paraId="7D66845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1.7720</w:t>
            </w:r>
          </w:p>
        </w:tc>
        <w:tc>
          <w:tcPr>
            <w:tcW w:w="1116" w:type="dxa"/>
            <w:noWrap/>
            <w:vAlign w:val="center"/>
          </w:tcPr>
          <w:p w14:paraId="60EF867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0.0159</w:t>
            </w:r>
          </w:p>
        </w:tc>
        <w:tc>
          <w:tcPr>
            <w:tcW w:w="1037" w:type="dxa"/>
            <w:noWrap/>
            <w:vAlign w:val="center"/>
          </w:tcPr>
          <w:p w14:paraId="6005AE0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0.1260</w:t>
            </w:r>
          </w:p>
        </w:tc>
        <w:tc>
          <w:tcPr>
            <w:tcW w:w="1523" w:type="dxa"/>
            <w:vAlign w:val="center"/>
          </w:tcPr>
          <w:p w14:paraId="54F27B5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7571A96A"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03FBA44B" w14:textId="77777777" w:rsidTr="003F2F3D">
        <w:trPr>
          <w:trHeight w:val="329"/>
        </w:trPr>
        <w:tc>
          <w:tcPr>
            <w:tcW w:w="630" w:type="dxa"/>
            <w:noWrap/>
            <w:vAlign w:val="center"/>
            <w:hideMark/>
          </w:tcPr>
          <w:p w14:paraId="748B4A6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20</w:t>
            </w:r>
          </w:p>
        </w:tc>
        <w:tc>
          <w:tcPr>
            <w:tcW w:w="1550" w:type="dxa"/>
            <w:noWrap/>
            <w:vAlign w:val="center"/>
            <w:hideMark/>
          </w:tcPr>
          <w:p w14:paraId="1EB2D13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Pahnke et al., 2023</w:t>
            </w:r>
          </w:p>
        </w:tc>
        <w:tc>
          <w:tcPr>
            <w:tcW w:w="2895" w:type="dxa"/>
            <w:noWrap/>
            <w:vAlign w:val="center"/>
            <w:hideMark/>
          </w:tcPr>
          <w:p w14:paraId="4D11565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Swedish Beck Anxiety Inventory (BAI)</w:t>
            </w:r>
          </w:p>
        </w:tc>
        <w:tc>
          <w:tcPr>
            <w:tcW w:w="993" w:type="dxa"/>
            <w:noWrap/>
            <w:vAlign w:val="center"/>
            <w:hideMark/>
          </w:tcPr>
          <w:p w14:paraId="2D2A314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0.95</w:t>
            </w:r>
          </w:p>
        </w:tc>
        <w:tc>
          <w:tcPr>
            <w:tcW w:w="850" w:type="dxa"/>
            <w:noWrap/>
            <w:vAlign w:val="center"/>
            <w:hideMark/>
          </w:tcPr>
          <w:p w14:paraId="46B068C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21</w:t>
            </w:r>
          </w:p>
        </w:tc>
        <w:tc>
          <w:tcPr>
            <w:tcW w:w="709" w:type="dxa"/>
            <w:noWrap/>
            <w:vAlign w:val="center"/>
            <w:hideMark/>
          </w:tcPr>
          <w:p w14:paraId="78B1404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16</w:t>
            </w:r>
          </w:p>
        </w:tc>
        <w:tc>
          <w:tcPr>
            <w:tcW w:w="1134" w:type="dxa"/>
            <w:noWrap/>
            <w:vAlign w:val="center"/>
          </w:tcPr>
          <w:p w14:paraId="42FD0D9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0.0004</w:t>
            </w:r>
          </w:p>
        </w:tc>
        <w:tc>
          <w:tcPr>
            <w:tcW w:w="992" w:type="dxa"/>
            <w:noWrap/>
            <w:vAlign w:val="center"/>
          </w:tcPr>
          <w:p w14:paraId="00FFFDB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0.0194</w:t>
            </w:r>
          </w:p>
        </w:tc>
        <w:tc>
          <w:tcPr>
            <w:tcW w:w="992" w:type="dxa"/>
            <w:noWrap/>
            <w:vAlign w:val="center"/>
          </w:tcPr>
          <w:p w14:paraId="77B4A8A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2.9957</w:t>
            </w:r>
          </w:p>
        </w:tc>
        <w:tc>
          <w:tcPr>
            <w:tcW w:w="1116" w:type="dxa"/>
            <w:noWrap/>
            <w:vAlign w:val="center"/>
          </w:tcPr>
          <w:p w14:paraId="68B7B6D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0.1500</w:t>
            </w:r>
          </w:p>
        </w:tc>
        <w:tc>
          <w:tcPr>
            <w:tcW w:w="1037" w:type="dxa"/>
            <w:noWrap/>
            <w:vAlign w:val="center"/>
          </w:tcPr>
          <w:p w14:paraId="6AEEFC5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0.3873</w:t>
            </w:r>
          </w:p>
        </w:tc>
        <w:tc>
          <w:tcPr>
            <w:tcW w:w="1523" w:type="dxa"/>
            <w:vAlign w:val="center"/>
          </w:tcPr>
          <w:p w14:paraId="6D53C7C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422441C3"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5DE95FA8" w14:textId="77777777" w:rsidTr="003F2F3D">
        <w:trPr>
          <w:trHeight w:val="329"/>
        </w:trPr>
        <w:tc>
          <w:tcPr>
            <w:tcW w:w="630" w:type="dxa"/>
            <w:noWrap/>
            <w:vAlign w:val="center"/>
            <w:hideMark/>
          </w:tcPr>
          <w:p w14:paraId="67DA8B8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21</w:t>
            </w:r>
          </w:p>
        </w:tc>
        <w:tc>
          <w:tcPr>
            <w:tcW w:w="1550" w:type="dxa"/>
            <w:noWrap/>
            <w:vAlign w:val="center"/>
            <w:hideMark/>
          </w:tcPr>
          <w:p w14:paraId="4628131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Park et al., 2020</w:t>
            </w:r>
          </w:p>
        </w:tc>
        <w:tc>
          <w:tcPr>
            <w:tcW w:w="2895" w:type="dxa"/>
            <w:noWrap/>
            <w:vAlign w:val="center"/>
            <w:hideMark/>
          </w:tcPr>
          <w:p w14:paraId="0A71FB2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Depression Anxiety Stress Scales (DASS-21; Anxiety Scale)</w:t>
            </w:r>
          </w:p>
        </w:tc>
        <w:tc>
          <w:tcPr>
            <w:tcW w:w="993" w:type="dxa"/>
            <w:noWrap/>
            <w:vAlign w:val="center"/>
            <w:hideMark/>
          </w:tcPr>
          <w:p w14:paraId="51BDDDA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0.84</w:t>
            </w:r>
          </w:p>
        </w:tc>
        <w:tc>
          <w:tcPr>
            <w:tcW w:w="850" w:type="dxa"/>
            <w:noWrap/>
            <w:vAlign w:val="center"/>
            <w:hideMark/>
          </w:tcPr>
          <w:p w14:paraId="7BEDA74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w:t>
            </w:r>
          </w:p>
        </w:tc>
        <w:tc>
          <w:tcPr>
            <w:tcW w:w="709" w:type="dxa"/>
            <w:noWrap/>
            <w:vAlign w:val="center"/>
            <w:hideMark/>
          </w:tcPr>
          <w:p w14:paraId="673878C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123</w:t>
            </w:r>
          </w:p>
        </w:tc>
        <w:tc>
          <w:tcPr>
            <w:tcW w:w="1134" w:type="dxa"/>
            <w:noWrap/>
            <w:vAlign w:val="center"/>
          </w:tcPr>
          <w:p w14:paraId="7C7D9C7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0.0005</w:t>
            </w:r>
          </w:p>
        </w:tc>
        <w:tc>
          <w:tcPr>
            <w:tcW w:w="992" w:type="dxa"/>
            <w:noWrap/>
            <w:vAlign w:val="center"/>
          </w:tcPr>
          <w:p w14:paraId="79E77F7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0.0222</w:t>
            </w:r>
          </w:p>
        </w:tc>
        <w:tc>
          <w:tcPr>
            <w:tcW w:w="992" w:type="dxa"/>
            <w:noWrap/>
            <w:vAlign w:val="center"/>
          </w:tcPr>
          <w:p w14:paraId="41116E4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1.8326</w:t>
            </w:r>
          </w:p>
        </w:tc>
        <w:tc>
          <w:tcPr>
            <w:tcW w:w="1116" w:type="dxa"/>
            <w:noWrap/>
            <w:vAlign w:val="center"/>
          </w:tcPr>
          <w:p w14:paraId="54BFFA8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0.0193</w:t>
            </w:r>
          </w:p>
        </w:tc>
        <w:tc>
          <w:tcPr>
            <w:tcW w:w="1037" w:type="dxa"/>
            <w:noWrap/>
            <w:vAlign w:val="center"/>
          </w:tcPr>
          <w:p w14:paraId="63FBB08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0.1389</w:t>
            </w:r>
          </w:p>
        </w:tc>
        <w:tc>
          <w:tcPr>
            <w:tcW w:w="1523" w:type="dxa"/>
            <w:vAlign w:val="center"/>
          </w:tcPr>
          <w:p w14:paraId="49AF81C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Psychometric and large sample</w:t>
            </w:r>
          </w:p>
        </w:tc>
        <w:tc>
          <w:tcPr>
            <w:tcW w:w="236" w:type="dxa"/>
          </w:tcPr>
          <w:p w14:paraId="6D11C617"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0125134D" w14:textId="77777777" w:rsidTr="003F2F3D">
        <w:trPr>
          <w:trHeight w:val="329"/>
        </w:trPr>
        <w:tc>
          <w:tcPr>
            <w:tcW w:w="630" w:type="dxa"/>
            <w:noWrap/>
            <w:vAlign w:val="center"/>
            <w:hideMark/>
          </w:tcPr>
          <w:p w14:paraId="5D07A13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22A</w:t>
            </w:r>
          </w:p>
        </w:tc>
        <w:tc>
          <w:tcPr>
            <w:tcW w:w="1550" w:type="dxa"/>
            <w:noWrap/>
            <w:vAlign w:val="center"/>
            <w:hideMark/>
          </w:tcPr>
          <w:p w14:paraId="08C1D95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proofErr w:type="spellStart"/>
            <w:r w:rsidRPr="0024482B">
              <w:rPr>
                <w:rFonts w:ascii="Times New Roman" w:eastAsia="Times New Roman" w:hAnsi="Times New Roman" w:cs="Times New Roman"/>
                <w:color w:val="000000" w:themeColor="text1"/>
                <w:kern w:val="0"/>
                <w:sz w:val="24"/>
                <w:szCs w:val="24"/>
                <w:lang w:eastAsia="en-GB"/>
                <w14:ligatures w14:val="none"/>
              </w:rPr>
              <w:t>Riedelbauch</w:t>
            </w:r>
            <w:proofErr w:type="spellEnd"/>
            <w:r w:rsidRPr="0024482B">
              <w:rPr>
                <w:rFonts w:ascii="Times New Roman" w:eastAsia="Times New Roman" w:hAnsi="Times New Roman" w:cs="Times New Roman"/>
                <w:color w:val="000000" w:themeColor="text1"/>
                <w:kern w:val="0"/>
                <w:sz w:val="24"/>
                <w:szCs w:val="24"/>
                <w:lang w:eastAsia="en-GB"/>
                <w14:ligatures w14:val="none"/>
              </w:rPr>
              <w:t xml:space="preserve"> et al., 2024</w:t>
            </w:r>
          </w:p>
        </w:tc>
        <w:tc>
          <w:tcPr>
            <w:tcW w:w="2895" w:type="dxa"/>
            <w:noWrap/>
            <w:vAlign w:val="center"/>
            <w:hideMark/>
          </w:tcPr>
          <w:p w14:paraId="0FBB7DD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German Liebowitz Social Anxiety Scale (LSAS)</w:t>
            </w:r>
          </w:p>
        </w:tc>
        <w:tc>
          <w:tcPr>
            <w:tcW w:w="993" w:type="dxa"/>
            <w:noWrap/>
            <w:vAlign w:val="center"/>
            <w:hideMark/>
          </w:tcPr>
          <w:p w14:paraId="26D7E43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0.96</w:t>
            </w:r>
          </w:p>
        </w:tc>
        <w:tc>
          <w:tcPr>
            <w:tcW w:w="850" w:type="dxa"/>
            <w:noWrap/>
            <w:vAlign w:val="center"/>
            <w:hideMark/>
          </w:tcPr>
          <w:p w14:paraId="435B11E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24</w:t>
            </w:r>
          </w:p>
        </w:tc>
        <w:tc>
          <w:tcPr>
            <w:tcW w:w="709" w:type="dxa"/>
            <w:noWrap/>
            <w:vAlign w:val="center"/>
            <w:hideMark/>
          </w:tcPr>
          <w:p w14:paraId="17C9E74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86</w:t>
            </w:r>
          </w:p>
        </w:tc>
        <w:tc>
          <w:tcPr>
            <w:tcW w:w="1134" w:type="dxa"/>
            <w:noWrap/>
            <w:vAlign w:val="center"/>
          </w:tcPr>
          <w:p w14:paraId="37B9DF3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&lt;0.0001</w:t>
            </w:r>
          </w:p>
        </w:tc>
        <w:tc>
          <w:tcPr>
            <w:tcW w:w="992" w:type="dxa"/>
            <w:noWrap/>
            <w:vAlign w:val="center"/>
          </w:tcPr>
          <w:p w14:paraId="70B50DB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0.0063</w:t>
            </w:r>
          </w:p>
        </w:tc>
        <w:tc>
          <w:tcPr>
            <w:tcW w:w="992" w:type="dxa"/>
            <w:noWrap/>
            <w:vAlign w:val="center"/>
          </w:tcPr>
          <w:p w14:paraId="6CDBB29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3.2189</w:t>
            </w:r>
          </w:p>
        </w:tc>
        <w:tc>
          <w:tcPr>
            <w:tcW w:w="1116" w:type="dxa"/>
            <w:noWrap/>
            <w:vAlign w:val="center"/>
          </w:tcPr>
          <w:p w14:paraId="435F42F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0.0248</w:t>
            </w:r>
          </w:p>
        </w:tc>
        <w:tc>
          <w:tcPr>
            <w:tcW w:w="1037" w:type="dxa"/>
            <w:noWrap/>
            <w:vAlign w:val="center"/>
          </w:tcPr>
          <w:p w14:paraId="3898DE2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0.1576</w:t>
            </w:r>
          </w:p>
        </w:tc>
        <w:tc>
          <w:tcPr>
            <w:tcW w:w="1523" w:type="dxa"/>
            <w:vAlign w:val="center"/>
          </w:tcPr>
          <w:p w14:paraId="5B8FC25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351EFEE3"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25D084D3" w14:textId="77777777" w:rsidTr="003F2F3D">
        <w:trPr>
          <w:trHeight w:val="329"/>
        </w:trPr>
        <w:tc>
          <w:tcPr>
            <w:tcW w:w="630" w:type="dxa"/>
            <w:noWrap/>
            <w:vAlign w:val="center"/>
            <w:hideMark/>
          </w:tcPr>
          <w:p w14:paraId="0662135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22B</w:t>
            </w:r>
          </w:p>
        </w:tc>
        <w:tc>
          <w:tcPr>
            <w:tcW w:w="1550" w:type="dxa"/>
            <w:noWrap/>
            <w:vAlign w:val="center"/>
            <w:hideMark/>
          </w:tcPr>
          <w:p w14:paraId="7B8DBEE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proofErr w:type="spellStart"/>
            <w:r w:rsidRPr="0024482B">
              <w:rPr>
                <w:rFonts w:ascii="Times New Roman" w:eastAsia="Times New Roman" w:hAnsi="Times New Roman" w:cs="Times New Roman"/>
                <w:color w:val="000000" w:themeColor="text1"/>
                <w:kern w:val="0"/>
                <w:sz w:val="24"/>
                <w:szCs w:val="24"/>
                <w:lang w:eastAsia="en-GB"/>
                <w14:ligatures w14:val="none"/>
              </w:rPr>
              <w:t>Riedelbauch</w:t>
            </w:r>
            <w:proofErr w:type="spellEnd"/>
            <w:r w:rsidRPr="0024482B">
              <w:rPr>
                <w:rFonts w:ascii="Times New Roman" w:eastAsia="Times New Roman" w:hAnsi="Times New Roman" w:cs="Times New Roman"/>
                <w:color w:val="000000" w:themeColor="text1"/>
                <w:kern w:val="0"/>
                <w:sz w:val="24"/>
                <w:szCs w:val="24"/>
                <w:lang w:eastAsia="en-GB"/>
                <w14:ligatures w14:val="none"/>
              </w:rPr>
              <w:t xml:space="preserve"> et al., 2024</w:t>
            </w:r>
          </w:p>
        </w:tc>
        <w:tc>
          <w:tcPr>
            <w:tcW w:w="2895" w:type="dxa"/>
            <w:noWrap/>
            <w:vAlign w:val="center"/>
            <w:hideMark/>
          </w:tcPr>
          <w:p w14:paraId="07E2CE9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German Hospital Anxiety and Depression Scale (Anxiety Subscale)</w:t>
            </w:r>
          </w:p>
        </w:tc>
        <w:tc>
          <w:tcPr>
            <w:tcW w:w="993" w:type="dxa"/>
            <w:noWrap/>
            <w:vAlign w:val="center"/>
            <w:hideMark/>
          </w:tcPr>
          <w:p w14:paraId="231C69D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0.8</w:t>
            </w:r>
          </w:p>
        </w:tc>
        <w:tc>
          <w:tcPr>
            <w:tcW w:w="850" w:type="dxa"/>
            <w:noWrap/>
            <w:vAlign w:val="center"/>
            <w:hideMark/>
          </w:tcPr>
          <w:p w14:paraId="141662E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w:t>
            </w:r>
          </w:p>
        </w:tc>
        <w:tc>
          <w:tcPr>
            <w:tcW w:w="709" w:type="dxa"/>
            <w:noWrap/>
            <w:vAlign w:val="center"/>
            <w:hideMark/>
          </w:tcPr>
          <w:p w14:paraId="39DC4DE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86</w:t>
            </w:r>
          </w:p>
        </w:tc>
        <w:tc>
          <w:tcPr>
            <w:tcW w:w="1134" w:type="dxa"/>
            <w:noWrap/>
            <w:vAlign w:val="center"/>
          </w:tcPr>
          <w:p w14:paraId="53A5233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0.0011</w:t>
            </w:r>
          </w:p>
        </w:tc>
        <w:tc>
          <w:tcPr>
            <w:tcW w:w="992" w:type="dxa"/>
            <w:noWrap/>
            <w:vAlign w:val="center"/>
          </w:tcPr>
          <w:p w14:paraId="01447A0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0.0333</w:t>
            </w:r>
          </w:p>
        </w:tc>
        <w:tc>
          <w:tcPr>
            <w:tcW w:w="992" w:type="dxa"/>
            <w:noWrap/>
            <w:vAlign w:val="center"/>
          </w:tcPr>
          <w:p w14:paraId="3B09325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1.6094</w:t>
            </w:r>
          </w:p>
        </w:tc>
        <w:tc>
          <w:tcPr>
            <w:tcW w:w="1116" w:type="dxa"/>
            <w:noWrap/>
            <w:vAlign w:val="center"/>
          </w:tcPr>
          <w:p w14:paraId="6ADDBD8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0.0278</w:t>
            </w:r>
          </w:p>
        </w:tc>
        <w:tc>
          <w:tcPr>
            <w:tcW w:w="1037" w:type="dxa"/>
            <w:noWrap/>
            <w:vAlign w:val="center"/>
          </w:tcPr>
          <w:p w14:paraId="57BCBBA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0.1667</w:t>
            </w:r>
          </w:p>
        </w:tc>
        <w:tc>
          <w:tcPr>
            <w:tcW w:w="1523" w:type="dxa"/>
            <w:vAlign w:val="center"/>
          </w:tcPr>
          <w:p w14:paraId="7E771CB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3A95F478"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303A63D7" w14:textId="77777777" w:rsidTr="003F2F3D">
        <w:trPr>
          <w:trHeight w:val="329"/>
        </w:trPr>
        <w:tc>
          <w:tcPr>
            <w:tcW w:w="630" w:type="dxa"/>
            <w:noWrap/>
            <w:vAlign w:val="center"/>
            <w:hideMark/>
          </w:tcPr>
          <w:p w14:paraId="4B84555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23</w:t>
            </w:r>
          </w:p>
        </w:tc>
        <w:tc>
          <w:tcPr>
            <w:tcW w:w="1550" w:type="dxa"/>
            <w:noWrap/>
            <w:vAlign w:val="center"/>
            <w:hideMark/>
          </w:tcPr>
          <w:p w14:paraId="2ECAB76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Robeson et al., 2024</w:t>
            </w:r>
          </w:p>
        </w:tc>
        <w:tc>
          <w:tcPr>
            <w:tcW w:w="2895" w:type="dxa"/>
            <w:noWrap/>
            <w:vAlign w:val="center"/>
            <w:hideMark/>
          </w:tcPr>
          <w:p w14:paraId="31EAF19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GAD-7</w:t>
            </w:r>
          </w:p>
        </w:tc>
        <w:tc>
          <w:tcPr>
            <w:tcW w:w="993" w:type="dxa"/>
            <w:noWrap/>
            <w:vAlign w:val="center"/>
            <w:hideMark/>
          </w:tcPr>
          <w:p w14:paraId="1D42FB6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0.91</w:t>
            </w:r>
          </w:p>
        </w:tc>
        <w:tc>
          <w:tcPr>
            <w:tcW w:w="850" w:type="dxa"/>
            <w:noWrap/>
            <w:vAlign w:val="center"/>
            <w:hideMark/>
          </w:tcPr>
          <w:p w14:paraId="2DB39E8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w:t>
            </w:r>
          </w:p>
        </w:tc>
        <w:tc>
          <w:tcPr>
            <w:tcW w:w="709" w:type="dxa"/>
            <w:noWrap/>
            <w:vAlign w:val="center"/>
            <w:hideMark/>
          </w:tcPr>
          <w:p w14:paraId="5ED62B9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477</w:t>
            </w:r>
          </w:p>
        </w:tc>
        <w:tc>
          <w:tcPr>
            <w:tcW w:w="1134" w:type="dxa"/>
            <w:noWrap/>
            <w:vAlign w:val="center"/>
          </w:tcPr>
          <w:p w14:paraId="595210D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0.0000</w:t>
            </w:r>
          </w:p>
        </w:tc>
        <w:tc>
          <w:tcPr>
            <w:tcW w:w="992" w:type="dxa"/>
            <w:noWrap/>
            <w:vAlign w:val="center"/>
          </w:tcPr>
          <w:p w14:paraId="3C5C3C8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0.0063</w:t>
            </w:r>
          </w:p>
        </w:tc>
        <w:tc>
          <w:tcPr>
            <w:tcW w:w="992" w:type="dxa"/>
            <w:noWrap/>
            <w:vAlign w:val="center"/>
          </w:tcPr>
          <w:p w14:paraId="3989F02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2.4079</w:t>
            </w:r>
          </w:p>
        </w:tc>
        <w:tc>
          <w:tcPr>
            <w:tcW w:w="1116" w:type="dxa"/>
            <w:noWrap/>
            <w:vAlign w:val="center"/>
          </w:tcPr>
          <w:p w14:paraId="7BCE4F4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0.0049</w:t>
            </w:r>
          </w:p>
        </w:tc>
        <w:tc>
          <w:tcPr>
            <w:tcW w:w="1037" w:type="dxa"/>
            <w:noWrap/>
            <w:vAlign w:val="center"/>
          </w:tcPr>
          <w:p w14:paraId="34C4F59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0.0701</w:t>
            </w:r>
          </w:p>
        </w:tc>
        <w:tc>
          <w:tcPr>
            <w:tcW w:w="1523" w:type="dxa"/>
            <w:vAlign w:val="center"/>
          </w:tcPr>
          <w:p w14:paraId="030F948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Psychometric and large sample</w:t>
            </w:r>
          </w:p>
        </w:tc>
        <w:tc>
          <w:tcPr>
            <w:tcW w:w="236" w:type="dxa"/>
          </w:tcPr>
          <w:p w14:paraId="07C1C8A0"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1EDAAF4C" w14:textId="77777777" w:rsidTr="003F2F3D">
        <w:trPr>
          <w:trHeight w:val="329"/>
        </w:trPr>
        <w:tc>
          <w:tcPr>
            <w:tcW w:w="630" w:type="dxa"/>
            <w:noWrap/>
            <w:vAlign w:val="center"/>
            <w:hideMark/>
          </w:tcPr>
          <w:p w14:paraId="4B15050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24A</w:t>
            </w:r>
          </w:p>
        </w:tc>
        <w:tc>
          <w:tcPr>
            <w:tcW w:w="1550" w:type="dxa"/>
            <w:noWrap/>
            <w:vAlign w:val="center"/>
            <w:hideMark/>
          </w:tcPr>
          <w:p w14:paraId="006F285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Rodgers et al., 2020</w:t>
            </w:r>
          </w:p>
        </w:tc>
        <w:tc>
          <w:tcPr>
            <w:tcW w:w="2895" w:type="dxa"/>
            <w:noWrap/>
            <w:vAlign w:val="center"/>
            <w:hideMark/>
          </w:tcPr>
          <w:p w14:paraId="436B495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Anxiety Scale for Autism-Adults (ASA; General Scale)</w:t>
            </w:r>
          </w:p>
        </w:tc>
        <w:tc>
          <w:tcPr>
            <w:tcW w:w="993" w:type="dxa"/>
            <w:noWrap/>
            <w:vAlign w:val="center"/>
            <w:hideMark/>
          </w:tcPr>
          <w:p w14:paraId="05E9E0E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0.899</w:t>
            </w:r>
          </w:p>
        </w:tc>
        <w:tc>
          <w:tcPr>
            <w:tcW w:w="850" w:type="dxa"/>
            <w:noWrap/>
            <w:vAlign w:val="center"/>
            <w:hideMark/>
          </w:tcPr>
          <w:p w14:paraId="7866EA9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20</w:t>
            </w:r>
          </w:p>
        </w:tc>
        <w:tc>
          <w:tcPr>
            <w:tcW w:w="709" w:type="dxa"/>
            <w:noWrap/>
            <w:vAlign w:val="center"/>
            <w:hideMark/>
          </w:tcPr>
          <w:p w14:paraId="1F42A4C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505</w:t>
            </w:r>
          </w:p>
        </w:tc>
        <w:tc>
          <w:tcPr>
            <w:tcW w:w="1134" w:type="dxa"/>
            <w:noWrap/>
            <w:vAlign w:val="center"/>
          </w:tcPr>
          <w:p w14:paraId="5AB8654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&lt;0.0001</w:t>
            </w:r>
          </w:p>
        </w:tc>
        <w:tc>
          <w:tcPr>
            <w:tcW w:w="992" w:type="dxa"/>
            <w:noWrap/>
            <w:vAlign w:val="center"/>
          </w:tcPr>
          <w:p w14:paraId="6F12E9E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0.0065</w:t>
            </w:r>
          </w:p>
        </w:tc>
        <w:tc>
          <w:tcPr>
            <w:tcW w:w="992" w:type="dxa"/>
            <w:noWrap/>
            <w:vAlign w:val="center"/>
          </w:tcPr>
          <w:p w14:paraId="43A32B5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2.3026</w:t>
            </w:r>
          </w:p>
        </w:tc>
        <w:tc>
          <w:tcPr>
            <w:tcW w:w="1116" w:type="dxa"/>
            <w:noWrap/>
            <w:vAlign w:val="center"/>
          </w:tcPr>
          <w:p w14:paraId="65C270E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0.0042</w:t>
            </w:r>
          </w:p>
        </w:tc>
        <w:tc>
          <w:tcPr>
            <w:tcW w:w="1037" w:type="dxa"/>
            <w:noWrap/>
            <w:vAlign w:val="center"/>
          </w:tcPr>
          <w:p w14:paraId="6F727F5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0.0647</w:t>
            </w:r>
          </w:p>
        </w:tc>
        <w:tc>
          <w:tcPr>
            <w:tcW w:w="1523" w:type="dxa"/>
            <w:vAlign w:val="center"/>
          </w:tcPr>
          <w:p w14:paraId="168C57F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Psychometric and large sample</w:t>
            </w:r>
          </w:p>
        </w:tc>
        <w:tc>
          <w:tcPr>
            <w:tcW w:w="236" w:type="dxa"/>
          </w:tcPr>
          <w:p w14:paraId="21178875"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2ECFC4AD" w14:textId="77777777" w:rsidTr="003F2F3D">
        <w:trPr>
          <w:trHeight w:val="329"/>
        </w:trPr>
        <w:tc>
          <w:tcPr>
            <w:tcW w:w="630" w:type="dxa"/>
            <w:noWrap/>
            <w:vAlign w:val="center"/>
            <w:hideMark/>
          </w:tcPr>
          <w:p w14:paraId="4683B25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lastRenderedPageBreak/>
              <w:t>24B</w:t>
            </w:r>
          </w:p>
        </w:tc>
        <w:tc>
          <w:tcPr>
            <w:tcW w:w="1550" w:type="dxa"/>
            <w:noWrap/>
            <w:vAlign w:val="center"/>
            <w:hideMark/>
          </w:tcPr>
          <w:p w14:paraId="455D117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Rodgers et al., 2020</w:t>
            </w:r>
          </w:p>
        </w:tc>
        <w:tc>
          <w:tcPr>
            <w:tcW w:w="2895" w:type="dxa"/>
            <w:noWrap/>
            <w:vAlign w:val="center"/>
            <w:hideMark/>
          </w:tcPr>
          <w:p w14:paraId="1E72D61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Hospital Anxiety and Depression Scale (HADS; Anxiety Subscale)</w:t>
            </w:r>
          </w:p>
        </w:tc>
        <w:tc>
          <w:tcPr>
            <w:tcW w:w="993" w:type="dxa"/>
            <w:noWrap/>
            <w:vAlign w:val="center"/>
            <w:hideMark/>
          </w:tcPr>
          <w:p w14:paraId="368D345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0.819</w:t>
            </w:r>
          </w:p>
        </w:tc>
        <w:tc>
          <w:tcPr>
            <w:tcW w:w="850" w:type="dxa"/>
            <w:noWrap/>
            <w:vAlign w:val="center"/>
            <w:hideMark/>
          </w:tcPr>
          <w:p w14:paraId="621D8F3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w:t>
            </w:r>
          </w:p>
        </w:tc>
        <w:tc>
          <w:tcPr>
            <w:tcW w:w="709" w:type="dxa"/>
            <w:noWrap/>
            <w:vAlign w:val="center"/>
            <w:hideMark/>
          </w:tcPr>
          <w:p w14:paraId="230D531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505</w:t>
            </w:r>
          </w:p>
        </w:tc>
        <w:tc>
          <w:tcPr>
            <w:tcW w:w="1134" w:type="dxa"/>
            <w:noWrap/>
            <w:vAlign w:val="center"/>
          </w:tcPr>
          <w:p w14:paraId="5139156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0.0002</w:t>
            </w:r>
          </w:p>
        </w:tc>
        <w:tc>
          <w:tcPr>
            <w:tcW w:w="992" w:type="dxa"/>
            <w:noWrap/>
            <w:vAlign w:val="center"/>
          </w:tcPr>
          <w:p w14:paraId="15F638C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0.0123</w:t>
            </w:r>
          </w:p>
        </w:tc>
        <w:tc>
          <w:tcPr>
            <w:tcW w:w="992" w:type="dxa"/>
            <w:noWrap/>
            <w:vAlign w:val="center"/>
          </w:tcPr>
          <w:p w14:paraId="21EC0A0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1.7148</w:t>
            </w:r>
          </w:p>
        </w:tc>
        <w:tc>
          <w:tcPr>
            <w:tcW w:w="1116" w:type="dxa"/>
            <w:noWrap/>
            <w:vAlign w:val="center"/>
          </w:tcPr>
          <w:p w14:paraId="77494DB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0.0046</w:t>
            </w:r>
          </w:p>
        </w:tc>
        <w:tc>
          <w:tcPr>
            <w:tcW w:w="1037" w:type="dxa"/>
            <w:noWrap/>
            <w:vAlign w:val="center"/>
          </w:tcPr>
          <w:p w14:paraId="52372E8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0.0681</w:t>
            </w:r>
          </w:p>
        </w:tc>
        <w:tc>
          <w:tcPr>
            <w:tcW w:w="1523" w:type="dxa"/>
            <w:vAlign w:val="center"/>
          </w:tcPr>
          <w:p w14:paraId="2A011B8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Psychometric and large sample</w:t>
            </w:r>
          </w:p>
        </w:tc>
        <w:tc>
          <w:tcPr>
            <w:tcW w:w="236" w:type="dxa"/>
          </w:tcPr>
          <w:p w14:paraId="0789069F"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3EAE6347" w14:textId="77777777" w:rsidTr="003F2F3D">
        <w:trPr>
          <w:trHeight w:val="329"/>
        </w:trPr>
        <w:tc>
          <w:tcPr>
            <w:tcW w:w="630" w:type="dxa"/>
            <w:noWrap/>
            <w:vAlign w:val="center"/>
            <w:hideMark/>
          </w:tcPr>
          <w:p w14:paraId="73B8DC3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25</w:t>
            </w:r>
          </w:p>
        </w:tc>
        <w:tc>
          <w:tcPr>
            <w:tcW w:w="1550" w:type="dxa"/>
            <w:noWrap/>
            <w:vAlign w:val="center"/>
            <w:hideMark/>
          </w:tcPr>
          <w:p w14:paraId="15E4183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Rumball et al., 2021</w:t>
            </w:r>
          </w:p>
        </w:tc>
        <w:tc>
          <w:tcPr>
            <w:tcW w:w="2895" w:type="dxa"/>
            <w:noWrap/>
            <w:vAlign w:val="center"/>
            <w:hideMark/>
          </w:tcPr>
          <w:p w14:paraId="6A82F7A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Hospital Anxiety and Depression Scale (Anxiety Scale; HADS-A)</w:t>
            </w:r>
          </w:p>
        </w:tc>
        <w:tc>
          <w:tcPr>
            <w:tcW w:w="993" w:type="dxa"/>
            <w:noWrap/>
            <w:vAlign w:val="center"/>
            <w:hideMark/>
          </w:tcPr>
          <w:p w14:paraId="3D62FE6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0.87</w:t>
            </w:r>
          </w:p>
        </w:tc>
        <w:tc>
          <w:tcPr>
            <w:tcW w:w="850" w:type="dxa"/>
            <w:noWrap/>
            <w:vAlign w:val="center"/>
            <w:hideMark/>
          </w:tcPr>
          <w:p w14:paraId="19C5CB1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7</w:t>
            </w:r>
          </w:p>
        </w:tc>
        <w:tc>
          <w:tcPr>
            <w:tcW w:w="709" w:type="dxa"/>
            <w:noWrap/>
            <w:vAlign w:val="center"/>
            <w:hideMark/>
          </w:tcPr>
          <w:p w14:paraId="540D3B3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59</w:t>
            </w:r>
          </w:p>
        </w:tc>
        <w:tc>
          <w:tcPr>
            <w:tcW w:w="1134" w:type="dxa"/>
            <w:noWrap/>
            <w:vAlign w:val="center"/>
          </w:tcPr>
          <w:p w14:paraId="1AA5DBF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0.0007</w:t>
            </w:r>
          </w:p>
        </w:tc>
        <w:tc>
          <w:tcPr>
            <w:tcW w:w="992" w:type="dxa"/>
            <w:noWrap/>
            <w:vAlign w:val="center"/>
          </w:tcPr>
          <w:p w14:paraId="67F3650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0.0263</w:t>
            </w:r>
          </w:p>
        </w:tc>
        <w:tc>
          <w:tcPr>
            <w:tcW w:w="992" w:type="dxa"/>
            <w:noWrap/>
            <w:vAlign w:val="center"/>
          </w:tcPr>
          <w:p w14:paraId="7F78558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2.0402</w:t>
            </w:r>
          </w:p>
        </w:tc>
        <w:tc>
          <w:tcPr>
            <w:tcW w:w="1116" w:type="dxa"/>
            <w:noWrap/>
            <w:vAlign w:val="center"/>
          </w:tcPr>
          <w:p w14:paraId="4676D40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0.0409</w:t>
            </w:r>
          </w:p>
        </w:tc>
        <w:tc>
          <w:tcPr>
            <w:tcW w:w="1037" w:type="dxa"/>
            <w:noWrap/>
            <w:vAlign w:val="center"/>
          </w:tcPr>
          <w:p w14:paraId="57B1915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0.2023</w:t>
            </w:r>
          </w:p>
        </w:tc>
        <w:tc>
          <w:tcPr>
            <w:tcW w:w="1523" w:type="dxa"/>
            <w:vAlign w:val="center"/>
          </w:tcPr>
          <w:p w14:paraId="5220E32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52B68237"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12B2CE23" w14:textId="77777777" w:rsidTr="003F2F3D">
        <w:trPr>
          <w:trHeight w:val="329"/>
        </w:trPr>
        <w:tc>
          <w:tcPr>
            <w:tcW w:w="630" w:type="dxa"/>
            <w:noWrap/>
            <w:vAlign w:val="center"/>
            <w:hideMark/>
          </w:tcPr>
          <w:p w14:paraId="432378D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26A</w:t>
            </w:r>
          </w:p>
        </w:tc>
        <w:tc>
          <w:tcPr>
            <w:tcW w:w="1550" w:type="dxa"/>
            <w:noWrap/>
            <w:vAlign w:val="center"/>
            <w:hideMark/>
          </w:tcPr>
          <w:p w14:paraId="42DF354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Schiltz et al., 2021</w:t>
            </w:r>
          </w:p>
        </w:tc>
        <w:tc>
          <w:tcPr>
            <w:tcW w:w="2895" w:type="dxa"/>
            <w:noWrap/>
            <w:vAlign w:val="center"/>
            <w:hideMark/>
          </w:tcPr>
          <w:p w14:paraId="080BE3F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SPIN (Social Phobia Inventory)</w:t>
            </w:r>
          </w:p>
        </w:tc>
        <w:tc>
          <w:tcPr>
            <w:tcW w:w="993" w:type="dxa"/>
            <w:noWrap/>
            <w:vAlign w:val="center"/>
            <w:hideMark/>
          </w:tcPr>
          <w:p w14:paraId="4B349E1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0.93</w:t>
            </w:r>
          </w:p>
        </w:tc>
        <w:tc>
          <w:tcPr>
            <w:tcW w:w="850" w:type="dxa"/>
            <w:noWrap/>
            <w:vAlign w:val="center"/>
            <w:hideMark/>
          </w:tcPr>
          <w:p w14:paraId="3CA2D19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17</w:t>
            </w:r>
          </w:p>
        </w:tc>
        <w:tc>
          <w:tcPr>
            <w:tcW w:w="709" w:type="dxa"/>
            <w:noWrap/>
            <w:vAlign w:val="center"/>
            <w:hideMark/>
          </w:tcPr>
          <w:p w14:paraId="4D5089BE"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69</w:t>
            </w:r>
          </w:p>
        </w:tc>
        <w:tc>
          <w:tcPr>
            <w:tcW w:w="1134" w:type="dxa"/>
            <w:noWrap/>
            <w:vAlign w:val="center"/>
          </w:tcPr>
          <w:p w14:paraId="25C114B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0.0002</w:t>
            </w:r>
          </w:p>
        </w:tc>
        <w:tc>
          <w:tcPr>
            <w:tcW w:w="992" w:type="dxa"/>
            <w:noWrap/>
            <w:vAlign w:val="center"/>
          </w:tcPr>
          <w:p w14:paraId="7B44906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0.0125</w:t>
            </w:r>
          </w:p>
        </w:tc>
        <w:tc>
          <w:tcPr>
            <w:tcW w:w="992" w:type="dxa"/>
            <w:noWrap/>
            <w:vAlign w:val="center"/>
          </w:tcPr>
          <w:p w14:paraId="106412F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2.6593</w:t>
            </w:r>
          </w:p>
        </w:tc>
        <w:tc>
          <w:tcPr>
            <w:tcW w:w="1116" w:type="dxa"/>
            <w:noWrap/>
            <w:vAlign w:val="center"/>
          </w:tcPr>
          <w:p w14:paraId="6A39327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0.0317</w:t>
            </w:r>
          </w:p>
        </w:tc>
        <w:tc>
          <w:tcPr>
            <w:tcW w:w="1037" w:type="dxa"/>
            <w:noWrap/>
            <w:vAlign w:val="center"/>
          </w:tcPr>
          <w:p w14:paraId="2F523F7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0.1781</w:t>
            </w:r>
          </w:p>
        </w:tc>
        <w:tc>
          <w:tcPr>
            <w:tcW w:w="1523" w:type="dxa"/>
            <w:vAlign w:val="center"/>
          </w:tcPr>
          <w:p w14:paraId="015AC86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12C7B68C"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3D8DC751" w14:textId="77777777" w:rsidTr="003F2F3D">
        <w:trPr>
          <w:trHeight w:val="329"/>
        </w:trPr>
        <w:tc>
          <w:tcPr>
            <w:tcW w:w="630" w:type="dxa"/>
            <w:noWrap/>
            <w:vAlign w:val="center"/>
            <w:hideMark/>
          </w:tcPr>
          <w:p w14:paraId="709AD94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26B</w:t>
            </w:r>
          </w:p>
        </w:tc>
        <w:tc>
          <w:tcPr>
            <w:tcW w:w="1550" w:type="dxa"/>
            <w:noWrap/>
            <w:vAlign w:val="center"/>
            <w:hideMark/>
          </w:tcPr>
          <w:p w14:paraId="7F8FA3E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Schiltz et al., 2021</w:t>
            </w:r>
          </w:p>
        </w:tc>
        <w:tc>
          <w:tcPr>
            <w:tcW w:w="2895" w:type="dxa"/>
            <w:noWrap/>
            <w:vAlign w:val="center"/>
            <w:hideMark/>
          </w:tcPr>
          <w:p w14:paraId="44906C7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Liebowitz Social Anxiety Scale (LSAS)</w:t>
            </w:r>
          </w:p>
        </w:tc>
        <w:tc>
          <w:tcPr>
            <w:tcW w:w="993" w:type="dxa"/>
            <w:noWrap/>
            <w:vAlign w:val="center"/>
            <w:hideMark/>
          </w:tcPr>
          <w:p w14:paraId="739E52C4"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0.96</w:t>
            </w:r>
          </w:p>
        </w:tc>
        <w:tc>
          <w:tcPr>
            <w:tcW w:w="850" w:type="dxa"/>
            <w:noWrap/>
            <w:vAlign w:val="center"/>
            <w:hideMark/>
          </w:tcPr>
          <w:p w14:paraId="1BDA303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24</w:t>
            </w:r>
          </w:p>
        </w:tc>
        <w:tc>
          <w:tcPr>
            <w:tcW w:w="709" w:type="dxa"/>
            <w:noWrap/>
            <w:vAlign w:val="center"/>
            <w:hideMark/>
          </w:tcPr>
          <w:p w14:paraId="1C78E0D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69</w:t>
            </w:r>
          </w:p>
        </w:tc>
        <w:tc>
          <w:tcPr>
            <w:tcW w:w="1134" w:type="dxa"/>
            <w:noWrap/>
            <w:vAlign w:val="center"/>
          </w:tcPr>
          <w:p w14:paraId="64563B5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&lt;0.0001</w:t>
            </w:r>
          </w:p>
        </w:tc>
        <w:tc>
          <w:tcPr>
            <w:tcW w:w="992" w:type="dxa"/>
            <w:noWrap/>
            <w:vAlign w:val="center"/>
          </w:tcPr>
          <w:p w14:paraId="5B2EA0D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0.0071</w:t>
            </w:r>
          </w:p>
        </w:tc>
        <w:tc>
          <w:tcPr>
            <w:tcW w:w="992" w:type="dxa"/>
            <w:noWrap/>
            <w:vAlign w:val="center"/>
          </w:tcPr>
          <w:p w14:paraId="26DE239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3.2189</w:t>
            </w:r>
          </w:p>
        </w:tc>
        <w:tc>
          <w:tcPr>
            <w:tcW w:w="1116" w:type="dxa"/>
            <w:noWrap/>
            <w:vAlign w:val="center"/>
          </w:tcPr>
          <w:p w14:paraId="3308218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0.0311</w:t>
            </w:r>
          </w:p>
        </w:tc>
        <w:tc>
          <w:tcPr>
            <w:tcW w:w="1037" w:type="dxa"/>
            <w:noWrap/>
            <w:vAlign w:val="center"/>
          </w:tcPr>
          <w:p w14:paraId="59FA674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0.1765</w:t>
            </w:r>
          </w:p>
        </w:tc>
        <w:tc>
          <w:tcPr>
            <w:tcW w:w="1523" w:type="dxa"/>
            <w:vAlign w:val="center"/>
          </w:tcPr>
          <w:p w14:paraId="7658A33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417B9848"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6C1FD9CC" w14:textId="77777777" w:rsidTr="003F2F3D">
        <w:trPr>
          <w:trHeight w:val="329"/>
        </w:trPr>
        <w:tc>
          <w:tcPr>
            <w:tcW w:w="630" w:type="dxa"/>
            <w:noWrap/>
            <w:vAlign w:val="center"/>
            <w:hideMark/>
          </w:tcPr>
          <w:p w14:paraId="03243B0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27A</w:t>
            </w:r>
          </w:p>
        </w:tc>
        <w:tc>
          <w:tcPr>
            <w:tcW w:w="1550" w:type="dxa"/>
            <w:noWrap/>
            <w:vAlign w:val="center"/>
            <w:hideMark/>
          </w:tcPr>
          <w:p w14:paraId="1FF8614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Spain et al., 2016</w:t>
            </w:r>
          </w:p>
        </w:tc>
        <w:tc>
          <w:tcPr>
            <w:tcW w:w="2895" w:type="dxa"/>
            <w:noWrap/>
            <w:vAlign w:val="center"/>
            <w:hideMark/>
          </w:tcPr>
          <w:p w14:paraId="16B8479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Liebowitz Social Anxiety Scale (LSAS)</w:t>
            </w:r>
          </w:p>
        </w:tc>
        <w:tc>
          <w:tcPr>
            <w:tcW w:w="993" w:type="dxa"/>
            <w:noWrap/>
            <w:vAlign w:val="center"/>
            <w:hideMark/>
          </w:tcPr>
          <w:p w14:paraId="36A0680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0.96</w:t>
            </w:r>
          </w:p>
        </w:tc>
        <w:tc>
          <w:tcPr>
            <w:tcW w:w="850" w:type="dxa"/>
            <w:noWrap/>
            <w:vAlign w:val="center"/>
            <w:hideMark/>
          </w:tcPr>
          <w:p w14:paraId="42C43A3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24</w:t>
            </w:r>
          </w:p>
        </w:tc>
        <w:tc>
          <w:tcPr>
            <w:tcW w:w="709" w:type="dxa"/>
            <w:noWrap/>
            <w:vAlign w:val="center"/>
            <w:hideMark/>
          </w:tcPr>
          <w:p w14:paraId="7CF985F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50</w:t>
            </w:r>
          </w:p>
        </w:tc>
        <w:tc>
          <w:tcPr>
            <w:tcW w:w="1134" w:type="dxa"/>
            <w:noWrap/>
            <w:vAlign w:val="center"/>
          </w:tcPr>
          <w:p w14:paraId="0B94A9C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0.0001</w:t>
            </w:r>
          </w:p>
        </w:tc>
        <w:tc>
          <w:tcPr>
            <w:tcW w:w="992" w:type="dxa"/>
            <w:noWrap/>
            <w:vAlign w:val="center"/>
          </w:tcPr>
          <w:p w14:paraId="6142CDF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0.0083</w:t>
            </w:r>
          </w:p>
        </w:tc>
        <w:tc>
          <w:tcPr>
            <w:tcW w:w="992" w:type="dxa"/>
            <w:noWrap/>
            <w:vAlign w:val="center"/>
          </w:tcPr>
          <w:p w14:paraId="5AE3D11F"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3.2189</w:t>
            </w:r>
          </w:p>
        </w:tc>
        <w:tc>
          <w:tcPr>
            <w:tcW w:w="1116" w:type="dxa"/>
            <w:noWrap/>
            <w:vAlign w:val="center"/>
          </w:tcPr>
          <w:p w14:paraId="70DA770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0.0426</w:t>
            </w:r>
          </w:p>
        </w:tc>
        <w:tc>
          <w:tcPr>
            <w:tcW w:w="1037" w:type="dxa"/>
            <w:noWrap/>
            <w:vAlign w:val="center"/>
          </w:tcPr>
          <w:p w14:paraId="0815A03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0.2064</w:t>
            </w:r>
          </w:p>
        </w:tc>
        <w:tc>
          <w:tcPr>
            <w:tcW w:w="1523" w:type="dxa"/>
            <w:vAlign w:val="center"/>
          </w:tcPr>
          <w:p w14:paraId="40B1035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61D965B6"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1E5F5AE2" w14:textId="77777777" w:rsidTr="003F2F3D">
        <w:trPr>
          <w:trHeight w:val="329"/>
        </w:trPr>
        <w:tc>
          <w:tcPr>
            <w:tcW w:w="630" w:type="dxa"/>
            <w:noWrap/>
            <w:vAlign w:val="center"/>
            <w:hideMark/>
          </w:tcPr>
          <w:p w14:paraId="1CF3496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27B</w:t>
            </w:r>
          </w:p>
        </w:tc>
        <w:tc>
          <w:tcPr>
            <w:tcW w:w="1550" w:type="dxa"/>
            <w:noWrap/>
            <w:vAlign w:val="center"/>
            <w:hideMark/>
          </w:tcPr>
          <w:p w14:paraId="3C544D5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Spain et al., 2016</w:t>
            </w:r>
          </w:p>
        </w:tc>
        <w:tc>
          <w:tcPr>
            <w:tcW w:w="2895" w:type="dxa"/>
            <w:noWrap/>
            <w:vAlign w:val="center"/>
            <w:hideMark/>
          </w:tcPr>
          <w:p w14:paraId="0927B05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Brief Fear of Negative Evaluation Scale (BFNE)</w:t>
            </w:r>
          </w:p>
        </w:tc>
        <w:tc>
          <w:tcPr>
            <w:tcW w:w="993" w:type="dxa"/>
            <w:noWrap/>
            <w:vAlign w:val="center"/>
            <w:hideMark/>
          </w:tcPr>
          <w:p w14:paraId="52A3BF42"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w:t>
            </w:r>
          </w:p>
        </w:tc>
        <w:tc>
          <w:tcPr>
            <w:tcW w:w="850" w:type="dxa"/>
            <w:noWrap/>
            <w:vAlign w:val="center"/>
            <w:hideMark/>
          </w:tcPr>
          <w:p w14:paraId="6EED2AC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12</w:t>
            </w:r>
          </w:p>
        </w:tc>
        <w:tc>
          <w:tcPr>
            <w:tcW w:w="709" w:type="dxa"/>
            <w:noWrap/>
            <w:vAlign w:val="center"/>
            <w:hideMark/>
          </w:tcPr>
          <w:p w14:paraId="1B8F1266"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50</w:t>
            </w:r>
          </w:p>
        </w:tc>
        <w:tc>
          <w:tcPr>
            <w:tcW w:w="1134" w:type="dxa"/>
            <w:noWrap/>
            <w:vAlign w:val="center"/>
          </w:tcPr>
          <w:p w14:paraId="5AC1A18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0.0004</w:t>
            </w:r>
          </w:p>
        </w:tc>
        <w:tc>
          <w:tcPr>
            <w:tcW w:w="992" w:type="dxa"/>
            <w:noWrap/>
            <w:vAlign w:val="center"/>
          </w:tcPr>
          <w:p w14:paraId="515DB28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0.0211</w:t>
            </w:r>
          </w:p>
        </w:tc>
        <w:tc>
          <w:tcPr>
            <w:tcW w:w="992" w:type="dxa"/>
            <w:noWrap/>
            <w:vAlign w:val="center"/>
          </w:tcPr>
          <w:p w14:paraId="12967E4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2.3026</w:t>
            </w:r>
          </w:p>
        </w:tc>
        <w:tc>
          <w:tcPr>
            <w:tcW w:w="1116" w:type="dxa"/>
            <w:noWrap/>
            <w:vAlign w:val="center"/>
          </w:tcPr>
          <w:p w14:paraId="3277E54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0.0445</w:t>
            </w:r>
          </w:p>
        </w:tc>
        <w:tc>
          <w:tcPr>
            <w:tcW w:w="1037" w:type="dxa"/>
            <w:noWrap/>
            <w:vAlign w:val="center"/>
          </w:tcPr>
          <w:p w14:paraId="3CA2B89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0.2110</w:t>
            </w:r>
          </w:p>
        </w:tc>
        <w:tc>
          <w:tcPr>
            <w:tcW w:w="1523" w:type="dxa"/>
            <w:vAlign w:val="center"/>
          </w:tcPr>
          <w:p w14:paraId="498F773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1FDDE322"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5746040A" w14:textId="77777777" w:rsidTr="003F2F3D">
        <w:trPr>
          <w:trHeight w:val="329"/>
        </w:trPr>
        <w:tc>
          <w:tcPr>
            <w:tcW w:w="630" w:type="dxa"/>
            <w:noWrap/>
            <w:vAlign w:val="center"/>
            <w:hideMark/>
          </w:tcPr>
          <w:p w14:paraId="4B2E472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27C</w:t>
            </w:r>
          </w:p>
        </w:tc>
        <w:tc>
          <w:tcPr>
            <w:tcW w:w="1550" w:type="dxa"/>
            <w:noWrap/>
            <w:vAlign w:val="center"/>
            <w:hideMark/>
          </w:tcPr>
          <w:p w14:paraId="496D503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Spain et al., 2016</w:t>
            </w:r>
          </w:p>
        </w:tc>
        <w:tc>
          <w:tcPr>
            <w:tcW w:w="2895" w:type="dxa"/>
            <w:noWrap/>
            <w:vAlign w:val="center"/>
            <w:hideMark/>
          </w:tcPr>
          <w:p w14:paraId="01ABBAD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Social Phobia Scale (SPS)</w:t>
            </w:r>
          </w:p>
        </w:tc>
        <w:tc>
          <w:tcPr>
            <w:tcW w:w="993" w:type="dxa"/>
            <w:noWrap/>
            <w:vAlign w:val="center"/>
            <w:hideMark/>
          </w:tcPr>
          <w:p w14:paraId="342B373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0.93</w:t>
            </w:r>
          </w:p>
        </w:tc>
        <w:tc>
          <w:tcPr>
            <w:tcW w:w="850" w:type="dxa"/>
            <w:noWrap/>
            <w:vAlign w:val="center"/>
            <w:hideMark/>
          </w:tcPr>
          <w:p w14:paraId="78F2683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20</w:t>
            </w:r>
          </w:p>
        </w:tc>
        <w:tc>
          <w:tcPr>
            <w:tcW w:w="709" w:type="dxa"/>
            <w:noWrap/>
            <w:vAlign w:val="center"/>
            <w:hideMark/>
          </w:tcPr>
          <w:p w14:paraId="0695D78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50</w:t>
            </w:r>
          </w:p>
        </w:tc>
        <w:tc>
          <w:tcPr>
            <w:tcW w:w="1134" w:type="dxa"/>
            <w:noWrap/>
            <w:vAlign w:val="center"/>
          </w:tcPr>
          <w:p w14:paraId="3D7A617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0.0002</w:t>
            </w:r>
          </w:p>
        </w:tc>
        <w:tc>
          <w:tcPr>
            <w:tcW w:w="992" w:type="dxa"/>
            <w:noWrap/>
            <w:vAlign w:val="center"/>
          </w:tcPr>
          <w:p w14:paraId="1AFAAD2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0.0145</w:t>
            </w:r>
          </w:p>
        </w:tc>
        <w:tc>
          <w:tcPr>
            <w:tcW w:w="992" w:type="dxa"/>
            <w:noWrap/>
            <w:vAlign w:val="center"/>
          </w:tcPr>
          <w:p w14:paraId="1DD1D2F1"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2.6593</w:t>
            </w:r>
          </w:p>
        </w:tc>
        <w:tc>
          <w:tcPr>
            <w:tcW w:w="1116" w:type="dxa"/>
            <w:noWrap/>
            <w:vAlign w:val="center"/>
          </w:tcPr>
          <w:p w14:paraId="1596214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0.0430</w:t>
            </w:r>
          </w:p>
        </w:tc>
        <w:tc>
          <w:tcPr>
            <w:tcW w:w="1037" w:type="dxa"/>
            <w:noWrap/>
            <w:vAlign w:val="center"/>
          </w:tcPr>
          <w:p w14:paraId="3B86427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0.2073</w:t>
            </w:r>
          </w:p>
        </w:tc>
        <w:tc>
          <w:tcPr>
            <w:tcW w:w="1523" w:type="dxa"/>
            <w:vAlign w:val="center"/>
          </w:tcPr>
          <w:p w14:paraId="28B1454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33BC3B91"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r w:rsidR="0024482B" w:rsidRPr="0024482B" w14:paraId="021C7343" w14:textId="77777777" w:rsidTr="003F2F3D">
        <w:trPr>
          <w:trHeight w:val="329"/>
        </w:trPr>
        <w:tc>
          <w:tcPr>
            <w:tcW w:w="630" w:type="dxa"/>
            <w:noWrap/>
            <w:vAlign w:val="center"/>
            <w:hideMark/>
          </w:tcPr>
          <w:p w14:paraId="3415CFB9"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27D</w:t>
            </w:r>
          </w:p>
        </w:tc>
        <w:tc>
          <w:tcPr>
            <w:tcW w:w="1550" w:type="dxa"/>
            <w:noWrap/>
            <w:vAlign w:val="center"/>
            <w:hideMark/>
          </w:tcPr>
          <w:p w14:paraId="43CEA8C0"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Spain et al., 2016</w:t>
            </w:r>
          </w:p>
        </w:tc>
        <w:tc>
          <w:tcPr>
            <w:tcW w:w="2895" w:type="dxa"/>
            <w:noWrap/>
            <w:vAlign w:val="center"/>
            <w:hideMark/>
          </w:tcPr>
          <w:p w14:paraId="6A2C9E98"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Social Interaction Anxiety Scale (SIAS)</w:t>
            </w:r>
          </w:p>
        </w:tc>
        <w:tc>
          <w:tcPr>
            <w:tcW w:w="993" w:type="dxa"/>
            <w:noWrap/>
            <w:vAlign w:val="center"/>
            <w:hideMark/>
          </w:tcPr>
          <w:p w14:paraId="4CCD2D0C"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0.92</w:t>
            </w:r>
          </w:p>
        </w:tc>
        <w:tc>
          <w:tcPr>
            <w:tcW w:w="850" w:type="dxa"/>
            <w:noWrap/>
            <w:vAlign w:val="center"/>
            <w:hideMark/>
          </w:tcPr>
          <w:p w14:paraId="7645FA8D"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20</w:t>
            </w:r>
          </w:p>
        </w:tc>
        <w:tc>
          <w:tcPr>
            <w:tcW w:w="709" w:type="dxa"/>
            <w:noWrap/>
            <w:vAlign w:val="center"/>
            <w:hideMark/>
          </w:tcPr>
          <w:p w14:paraId="75A9E137"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eastAsia="Times New Roman" w:hAnsi="Times New Roman" w:cs="Times New Roman"/>
                <w:color w:val="000000" w:themeColor="text1"/>
                <w:kern w:val="0"/>
                <w:sz w:val="24"/>
                <w:szCs w:val="24"/>
                <w:lang w:eastAsia="en-GB"/>
                <w14:ligatures w14:val="none"/>
              </w:rPr>
              <w:t>50</w:t>
            </w:r>
          </w:p>
        </w:tc>
        <w:tc>
          <w:tcPr>
            <w:tcW w:w="1134" w:type="dxa"/>
            <w:noWrap/>
            <w:vAlign w:val="center"/>
          </w:tcPr>
          <w:p w14:paraId="1131EDB3"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0.0003</w:t>
            </w:r>
          </w:p>
        </w:tc>
        <w:tc>
          <w:tcPr>
            <w:tcW w:w="992" w:type="dxa"/>
            <w:noWrap/>
            <w:vAlign w:val="center"/>
          </w:tcPr>
          <w:p w14:paraId="4378A31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0.0166</w:t>
            </w:r>
          </w:p>
        </w:tc>
        <w:tc>
          <w:tcPr>
            <w:tcW w:w="992" w:type="dxa"/>
            <w:noWrap/>
            <w:vAlign w:val="center"/>
          </w:tcPr>
          <w:p w14:paraId="0615E355"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2.5257</w:t>
            </w:r>
          </w:p>
        </w:tc>
        <w:tc>
          <w:tcPr>
            <w:tcW w:w="1116" w:type="dxa"/>
            <w:noWrap/>
            <w:vAlign w:val="center"/>
          </w:tcPr>
          <w:p w14:paraId="10BEE0E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0.0430</w:t>
            </w:r>
          </w:p>
        </w:tc>
        <w:tc>
          <w:tcPr>
            <w:tcW w:w="1037" w:type="dxa"/>
            <w:noWrap/>
            <w:vAlign w:val="center"/>
          </w:tcPr>
          <w:p w14:paraId="05C72ADB"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0.2073</w:t>
            </w:r>
          </w:p>
        </w:tc>
        <w:tc>
          <w:tcPr>
            <w:tcW w:w="1523" w:type="dxa"/>
            <w:vAlign w:val="center"/>
          </w:tcPr>
          <w:p w14:paraId="44C3CFBA" w14:textId="77777777" w:rsidR="00AE72C4" w:rsidRPr="0024482B" w:rsidRDefault="00AE72C4" w:rsidP="003F2F3D">
            <w:pPr>
              <w:spacing w:after="0" w:line="240" w:lineRule="auto"/>
              <w:jc w:val="center"/>
              <w:rPr>
                <w:rFonts w:ascii="Times New Roman" w:eastAsia="Times New Roman" w:hAnsi="Times New Roman" w:cs="Times New Roman"/>
                <w:color w:val="000000" w:themeColor="text1"/>
                <w:kern w:val="0"/>
                <w:sz w:val="24"/>
                <w:szCs w:val="24"/>
                <w:lang w:eastAsia="en-GB"/>
                <w14:ligatures w14:val="none"/>
              </w:rPr>
            </w:pPr>
            <w:r w:rsidRPr="0024482B">
              <w:rPr>
                <w:rFonts w:ascii="Times New Roman" w:hAnsi="Times New Roman" w:cs="Times New Roman"/>
                <w:color w:val="000000" w:themeColor="text1"/>
                <w:sz w:val="24"/>
                <w:szCs w:val="24"/>
              </w:rPr>
              <w:t>Experimental</w:t>
            </w:r>
          </w:p>
        </w:tc>
        <w:tc>
          <w:tcPr>
            <w:tcW w:w="236" w:type="dxa"/>
          </w:tcPr>
          <w:p w14:paraId="2704E6F1" w14:textId="77777777" w:rsidR="00AE72C4" w:rsidRPr="0024482B" w:rsidRDefault="00AE72C4" w:rsidP="003F2F3D">
            <w:pPr>
              <w:spacing w:after="0" w:line="480" w:lineRule="auto"/>
              <w:jc w:val="center"/>
              <w:rPr>
                <w:rFonts w:ascii="Times New Roman" w:eastAsia="Times New Roman" w:hAnsi="Times New Roman" w:cs="Times New Roman"/>
                <w:color w:val="000000" w:themeColor="text1"/>
                <w:kern w:val="0"/>
                <w:sz w:val="24"/>
                <w:szCs w:val="24"/>
                <w:lang w:eastAsia="en-GB"/>
                <w14:ligatures w14:val="none"/>
              </w:rPr>
            </w:pPr>
          </w:p>
        </w:tc>
      </w:tr>
    </w:tbl>
    <w:p w14:paraId="187E7E4D" w14:textId="77777777" w:rsidR="00AE72C4" w:rsidRPr="0024482B" w:rsidRDefault="00AE72C4" w:rsidP="00AE72C4">
      <w:pPr>
        <w:spacing w:line="48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Supplementary Materials A. Table showing the data extracted from each of the included studies.</w:t>
      </w:r>
    </w:p>
    <w:p w14:paraId="47C002DA" w14:textId="77777777" w:rsidR="00AE72C4" w:rsidRPr="0024482B" w:rsidRDefault="00AE72C4" w:rsidP="00AE72C4">
      <w:pPr>
        <w:spacing w:line="480" w:lineRule="auto"/>
        <w:rPr>
          <w:rFonts w:ascii="Times New Roman" w:hAnsi="Times New Roman" w:cs="Times New Roman"/>
          <w:color w:val="000000" w:themeColor="text1"/>
          <w:sz w:val="24"/>
          <w:szCs w:val="24"/>
        </w:rPr>
      </w:pPr>
    </w:p>
    <w:p w14:paraId="2C3A3C7D" w14:textId="77777777" w:rsidR="00AE72C4" w:rsidRPr="0024482B" w:rsidRDefault="00AE72C4" w:rsidP="00AE72C4">
      <w:pPr>
        <w:spacing w:line="480" w:lineRule="auto"/>
        <w:rPr>
          <w:rFonts w:ascii="Times New Roman" w:hAnsi="Times New Roman" w:cs="Times New Roman"/>
          <w:color w:val="000000" w:themeColor="text1"/>
          <w:sz w:val="24"/>
          <w:szCs w:val="24"/>
        </w:rPr>
      </w:pPr>
    </w:p>
    <w:p w14:paraId="512F5256" w14:textId="77777777" w:rsidR="00AE72C4" w:rsidRPr="0024482B" w:rsidRDefault="00AE72C4" w:rsidP="00AE72C4">
      <w:pPr>
        <w:spacing w:line="480" w:lineRule="auto"/>
        <w:rPr>
          <w:rFonts w:ascii="Times New Roman" w:hAnsi="Times New Roman" w:cs="Times New Roman"/>
          <w:color w:val="000000" w:themeColor="text1"/>
          <w:sz w:val="24"/>
          <w:szCs w:val="24"/>
        </w:rPr>
      </w:pPr>
    </w:p>
    <w:p w14:paraId="1F769FA9" w14:textId="77777777" w:rsidR="00AE72C4" w:rsidRPr="0024482B" w:rsidRDefault="00AE72C4" w:rsidP="00AE72C4">
      <w:pPr>
        <w:spacing w:line="480" w:lineRule="auto"/>
        <w:rPr>
          <w:rFonts w:ascii="Times New Roman" w:hAnsi="Times New Roman" w:cs="Times New Roman"/>
          <w:color w:val="000000" w:themeColor="text1"/>
          <w:sz w:val="24"/>
          <w:szCs w:val="24"/>
        </w:rPr>
        <w:sectPr w:rsidR="00AE72C4" w:rsidRPr="0024482B" w:rsidSect="0024482B">
          <w:type w:val="continuous"/>
          <w:pgSz w:w="16838" w:h="11906" w:orient="landscape"/>
          <w:pgMar w:top="1440" w:right="1440" w:bottom="1440" w:left="1440" w:header="708" w:footer="708" w:gutter="0"/>
          <w:cols w:space="708"/>
          <w:docGrid w:linePitch="360"/>
        </w:sectPr>
      </w:pPr>
    </w:p>
    <w:p w14:paraId="24D7D7E2" w14:textId="77777777" w:rsidR="00AE72C4" w:rsidRPr="0024482B" w:rsidRDefault="00AE72C4" w:rsidP="00AE72C4">
      <w:pPr>
        <w:pStyle w:val="Heading1"/>
        <w:spacing w:line="480" w:lineRule="auto"/>
        <w:rPr>
          <w:rFonts w:ascii="Times New Roman" w:hAnsi="Times New Roman" w:cs="Times New Roman"/>
          <w:b/>
          <w:bCs/>
          <w:color w:val="000000" w:themeColor="text1"/>
          <w:sz w:val="24"/>
          <w:szCs w:val="24"/>
        </w:rPr>
      </w:pPr>
      <w:bookmarkStart w:id="2" w:name="_Toc197433670"/>
      <w:r w:rsidRPr="0024482B">
        <w:rPr>
          <w:rFonts w:ascii="Times New Roman" w:hAnsi="Times New Roman" w:cs="Times New Roman"/>
          <w:b/>
          <w:bCs/>
          <w:color w:val="000000" w:themeColor="text1"/>
          <w:sz w:val="24"/>
          <w:szCs w:val="24"/>
        </w:rPr>
        <w:lastRenderedPageBreak/>
        <w:t xml:space="preserve">C.  </w:t>
      </w:r>
      <w:r w:rsidRPr="0024482B">
        <w:rPr>
          <w:rFonts w:ascii="Times New Roman" w:hAnsi="Times New Roman" w:cs="Times New Roman"/>
          <w:b/>
          <w:bCs/>
          <w:color w:val="000000" w:themeColor="text1"/>
          <w:sz w:val="24"/>
          <w:szCs w:val="24"/>
          <w:u w:val="single"/>
        </w:rPr>
        <w:t>QQ Plots for Individual Measures</w:t>
      </w:r>
    </w:p>
    <w:p w14:paraId="0781C981" w14:textId="77777777" w:rsidR="00AE72C4" w:rsidRPr="0024482B" w:rsidRDefault="00AE72C4" w:rsidP="00AE72C4">
      <w:pPr>
        <w:spacing w:line="480" w:lineRule="auto"/>
        <w:rPr>
          <w:rFonts w:ascii="Times New Roman" w:hAnsi="Times New Roman" w:cs="Times New Roman"/>
          <w:color w:val="000000" w:themeColor="text1"/>
          <w:sz w:val="24"/>
          <w:szCs w:val="24"/>
        </w:rPr>
      </w:pPr>
      <w:r w:rsidRPr="0024482B">
        <w:rPr>
          <w:rFonts w:ascii="Times New Roman" w:hAnsi="Times New Roman" w:cs="Times New Roman"/>
          <w:noProof/>
          <w:color w:val="000000" w:themeColor="text1"/>
          <w:sz w:val="24"/>
          <w:szCs w:val="24"/>
          <w:lang w:val="en-IN" w:eastAsia="en-IN"/>
        </w:rPr>
        <w:drawing>
          <wp:anchor distT="0" distB="0" distL="114300" distR="114300" simplePos="0" relativeHeight="251662336" behindDoc="0" locked="0" layoutInCell="1" allowOverlap="1" wp14:anchorId="27F9616F" wp14:editId="251BA8E8">
            <wp:simplePos x="0" y="0"/>
            <wp:positionH relativeFrom="margin">
              <wp:posOffset>3181350</wp:posOffset>
            </wp:positionH>
            <wp:positionV relativeFrom="paragraph">
              <wp:posOffset>247650</wp:posOffset>
            </wp:positionV>
            <wp:extent cx="2941320" cy="1428115"/>
            <wp:effectExtent l="0" t="0" r="0" b="635"/>
            <wp:wrapTopAndBottom/>
            <wp:docPr id="1082912530" name="Picture 1"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t object"/>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941320" cy="1428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482B">
        <w:rPr>
          <w:rFonts w:ascii="Times New Roman" w:hAnsi="Times New Roman" w:cs="Times New Roman"/>
          <w:noProof/>
          <w:color w:val="000000" w:themeColor="text1"/>
          <w:sz w:val="24"/>
          <w:szCs w:val="24"/>
          <w:lang w:val="en-IN" w:eastAsia="en-IN"/>
        </w:rPr>
        <w:drawing>
          <wp:anchor distT="0" distB="0" distL="114300" distR="114300" simplePos="0" relativeHeight="251663360" behindDoc="0" locked="0" layoutInCell="1" allowOverlap="1" wp14:anchorId="312B8DFF" wp14:editId="6EF32E93">
            <wp:simplePos x="0" y="0"/>
            <wp:positionH relativeFrom="margin">
              <wp:align>left</wp:align>
            </wp:positionH>
            <wp:positionV relativeFrom="paragraph">
              <wp:posOffset>245745</wp:posOffset>
            </wp:positionV>
            <wp:extent cx="2965450" cy="1440180"/>
            <wp:effectExtent l="0" t="0" r="6350" b="7620"/>
            <wp:wrapTopAndBottom/>
            <wp:docPr id="1353567083" name="Picture 2"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ot object"/>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65450" cy="14401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482B">
        <w:rPr>
          <w:rFonts w:ascii="Times New Roman" w:hAnsi="Times New Roman" w:cs="Times New Roman"/>
          <w:color w:val="000000" w:themeColor="text1"/>
          <w:sz w:val="24"/>
          <w:szCs w:val="24"/>
        </w:rPr>
        <w:t>GAD-7</w:t>
      </w:r>
    </w:p>
    <w:p w14:paraId="191C0985" w14:textId="77777777" w:rsidR="00AE72C4" w:rsidRPr="0024482B" w:rsidRDefault="00AE72C4" w:rsidP="00AE72C4">
      <w:pPr>
        <w:spacing w:line="240" w:lineRule="auto"/>
        <w:rPr>
          <w:rFonts w:ascii="Times New Roman" w:hAnsi="Times New Roman" w:cs="Times New Roman"/>
          <w:color w:val="000000" w:themeColor="text1"/>
          <w:sz w:val="24"/>
          <w:szCs w:val="24"/>
        </w:rPr>
      </w:pPr>
      <w:r w:rsidRPr="0024482B">
        <w:rPr>
          <w:rFonts w:ascii="Times New Roman" w:hAnsi="Times New Roman" w:cs="Times New Roman"/>
          <w:noProof/>
          <w:color w:val="000000" w:themeColor="text1"/>
          <w:sz w:val="24"/>
          <w:szCs w:val="24"/>
          <w:lang w:val="en-IN" w:eastAsia="en-IN"/>
        </w:rPr>
        <w:drawing>
          <wp:anchor distT="0" distB="0" distL="114300" distR="114300" simplePos="0" relativeHeight="251664384" behindDoc="1" locked="0" layoutInCell="1" allowOverlap="1" wp14:anchorId="024EAD6D" wp14:editId="1F5FD0FE">
            <wp:simplePos x="0" y="0"/>
            <wp:positionH relativeFrom="column">
              <wp:posOffset>3072130</wp:posOffset>
            </wp:positionH>
            <wp:positionV relativeFrom="paragraph">
              <wp:posOffset>1517015</wp:posOffset>
            </wp:positionV>
            <wp:extent cx="3217545" cy="1560830"/>
            <wp:effectExtent l="0" t="0" r="1905" b="1270"/>
            <wp:wrapTight wrapText="bothSides">
              <wp:wrapPolygon edited="0">
                <wp:start x="0" y="0"/>
                <wp:lineTo x="0" y="21354"/>
                <wp:lineTo x="21485" y="21354"/>
                <wp:lineTo x="21485" y="0"/>
                <wp:lineTo x="0" y="0"/>
              </wp:wrapPolygon>
            </wp:wrapTight>
            <wp:docPr id="1927792337" name="Picture 8"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Plot obj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17545" cy="15608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482B">
        <w:rPr>
          <w:rFonts w:ascii="Times New Roman" w:hAnsi="Times New Roman" w:cs="Times New Roman"/>
          <w:color w:val="000000" w:themeColor="text1"/>
          <w:sz w:val="24"/>
          <w:szCs w:val="24"/>
        </w:rPr>
        <w:br/>
        <w:t xml:space="preserve">LSAS </w:t>
      </w:r>
      <w:r w:rsidRPr="0024482B">
        <w:rPr>
          <w:rFonts w:ascii="Times New Roman" w:hAnsi="Times New Roman" w:cs="Times New Roman"/>
          <w:noProof/>
          <w:color w:val="000000" w:themeColor="text1"/>
          <w:sz w:val="24"/>
          <w:szCs w:val="24"/>
          <w:lang w:val="en-IN" w:eastAsia="en-IN"/>
        </w:rPr>
        <w:drawing>
          <wp:inline distT="0" distB="0" distL="0" distR="0" wp14:anchorId="39E16210" wp14:editId="167BDCBA">
            <wp:extent cx="2903220" cy="1408830"/>
            <wp:effectExtent l="0" t="0" r="0" b="1270"/>
            <wp:docPr id="787722774" name="Picture 7"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Plot obj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3586" cy="1413860"/>
                    </a:xfrm>
                    <a:prstGeom prst="rect">
                      <a:avLst/>
                    </a:prstGeom>
                    <a:noFill/>
                    <a:ln>
                      <a:noFill/>
                    </a:ln>
                  </pic:spPr>
                </pic:pic>
              </a:graphicData>
            </a:graphic>
          </wp:inline>
        </w:drawing>
      </w:r>
    </w:p>
    <w:p w14:paraId="63A5FADF" w14:textId="77777777" w:rsidR="00AE72C4" w:rsidRPr="0024482B" w:rsidRDefault="00AE72C4" w:rsidP="00AE72C4">
      <w:pPr>
        <w:spacing w:line="480" w:lineRule="auto"/>
        <w:rPr>
          <w:rFonts w:ascii="Times New Roman" w:hAnsi="Times New Roman" w:cs="Times New Roman"/>
          <w:color w:val="000000" w:themeColor="text1"/>
          <w:sz w:val="24"/>
          <w:szCs w:val="24"/>
        </w:rPr>
      </w:pPr>
      <w:r w:rsidRPr="0024482B">
        <w:rPr>
          <w:rFonts w:ascii="Times New Roman" w:hAnsi="Times New Roman" w:cs="Times New Roman"/>
          <w:noProof/>
          <w:color w:val="000000" w:themeColor="text1"/>
          <w:sz w:val="24"/>
          <w:szCs w:val="24"/>
          <w:lang w:val="en-IN" w:eastAsia="en-IN"/>
        </w:rPr>
        <w:drawing>
          <wp:anchor distT="0" distB="0" distL="114300" distR="114300" simplePos="0" relativeHeight="251665408" behindDoc="1" locked="0" layoutInCell="1" allowOverlap="1" wp14:anchorId="28CF880A" wp14:editId="3CA2B183">
            <wp:simplePos x="0" y="0"/>
            <wp:positionH relativeFrom="column">
              <wp:posOffset>3022600</wp:posOffset>
            </wp:positionH>
            <wp:positionV relativeFrom="paragraph">
              <wp:posOffset>238760</wp:posOffset>
            </wp:positionV>
            <wp:extent cx="3091815" cy="1500505"/>
            <wp:effectExtent l="0" t="0" r="0" b="4445"/>
            <wp:wrapTight wrapText="bothSides">
              <wp:wrapPolygon edited="0">
                <wp:start x="0" y="0"/>
                <wp:lineTo x="0" y="21390"/>
                <wp:lineTo x="21427" y="21390"/>
                <wp:lineTo x="21427" y="0"/>
                <wp:lineTo x="0" y="0"/>
              </wp:wrapPolygon>
            </wp:wrapTight>
            <wp:docPr id="1625530380" name="Picture 12"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Plot objec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91815" cy="15005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4482B">
        <w:rPr>
          <w:rFonts w:ascii="Times New Roman" w:hAnsi="Times New Roman" w:cs="Times New Roman"/>
          <w:color w:val="000000" w:themeColor="text1"/>
          <w:sz w:val="24"/>
          <w:szCs w:val="24"/>
        </w:rPr>
        <w:t xml:space="preserve">DASS-21 </w:t>
      </w:r>
      <w:r w:rsidRPr="0024482B">
        <w:rPr>
          <w:rFonts w:ascii="Times New Roman" w:hAnsi="Times New Roman" w:cs="Times New Roman"/>
          <w:noProof/>
          <w:color w:val="000000" w:themeColor="text1"/>
          <w:sz w:val="24"/>
          <w:szCs w:val="24"/>
          <w:lang w:val="en-IN" w:eastAsia="en-IN"/>
        </w:rPr>
        <w:drawing>
          <wp:inline distT="0" distB="0" distL="0" distR="0" wp14:anchorId="4880CC2D" wp14:editId="1025AF2B">
            <wp:extent cx="2849880" cy="1382946"/>
            <wp:effectExtent l="0" t="0" r="7620" b="8255"/>
            <wp:docPr id="1022841304" name="Picture 11"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Plot objec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60687" cy="1388190"/>
                    </a:xfrm>
                    <a:prstGeom prst="rect">
                      <a:avLst/>
                    </a:prstGeom>
                    <a:noFill/>
                    <a:ln>
                      <a:noFill/>
                    </a:ln>
                  </pic:spPr>
                </pic:pic>
              </a:graphicData>
            </a:graphic>
          </wp:inline>
        </w:drawing>
      </w:r>
    </w:p>
    <w:p w14:paraId="719628C2" w14:textId="77777777" w:rsidR="00AE72C4" w:rsidRPr="0024482B" w:rsidRDefault="00AE72C4" w:rsidP="00AE72C4">
      <w:pPr>
        <w:spacing w:line="240" w:lineRule="auto"/>
        <w:rPr>
          <w:rFonts w:ascii="Times New Roman" w:hAnsi="Times New Roman" w:cs="Times New Roman"/>
          <w:color w:val="000000" w:themeColor="text1"/>
          <w:sz w:val="24"/>
          <w:szCs w:val="24"/>
        </w:rPr>
      </w:pPr>
    </w:p>
    <w:p w14:paraId="28A67BF6" w14:textId="77777777" w:rsidR="00AE72C4" w:rsidRPr="0024482B" w:rsidRDefault="00AE72C4" w:rsidP="00AE72C4">
      <w:pPr>
        <w:spacing w:line="360" w:lineRule="auto"/>
        <w:rPr>
          <w:rFonts w:ascii="Times New Roman" w:hAnsi="Times New Roman" w:cs="Times New Roman"/>
          <w:b/>
          <w:bCs/>
          <w:color w:val="000000" w:themeColor="text1"/>
          <w:sz w:val="24"/>
          <w:szCs w:val="24"/>
        </w:rPr>
      </w:pPr>
    </w:p>
    <w:p w14:paraId="15EE4BFC" w14:textId="77777777" w:rsidR="00AE72C4" w:rsidRPr="0024482B" w:rsidRDefault="00AE72C4" w:rsidP="00AE72C4">
      <w:pPr>
        <w:spacing w:line="360" w:lineRule="auto"/>
        <w:rPr>
          <w:rFonts w:ascii="Times New Roman" w:hAnsi="Times New Roman" w:cs="Times New Roman"/>
          <w:b/>
          <w:bCs/>
          <w:color w:val="000000" w:themeColor="text1"/>
          <w:sz w:val="24"/>
          <w:szCs w:val="24"/>
        </w:rPr>
      </w:pPr>
    </w:p>
    <w:p w14:paraId="71E5BE30" w14:textId="77777777" w:rsidR="00AE72C4" w:rsidRPr="0024482B" w:rsidRDefault="00AE72C4" w:rsidP="00AE72C4">
      <w:pPr>
        <w:pStyle w:val="Heading1"/>
        <w:spacing w:line="480" w:lineRule="auto"/>
        <w:rPr>
          <w:rFonts w:ascii="Times New Roman" w:hAnsi="Times New Roman" w:cs="Times New Roman"/>
          <w:b/>
          <w:bCs/>
          <w:color w:val="000000" w:themeColor="text1"/>
          <w:sz w:val="24"/>
          <w:szCs w:val="24"/>
        </w:rPr>
      </w:pPr>
      <w:r w:rsidRPr="0024482B">
        <w:rPr>
          <w:rFonts w:ascii="Times New Roman" w:hAnsi="Times New Roman" w:cs="Times New Roman"/>
          <w:b/>
          <w:bCs/>
          <w:color w:val="000000" w:themeColor="text1"/>
          <w:sz w:val="24"/>
          <w:szCs w:val="24"/>
        </w:rPr>
        <w:t xml:space="preserve"> </w:t>
      </w:r>
    </w:p>
    <w:p w14:paraId="15BE27C2" w14:textId="77777777" w:rsidR="00AE72C4" w:rsidRPr="0024482B" w:rsidRDefault="00AE72C4" w:rsidP="00AE72C4">
      <w:pPr>
        <w:rPr>
          <w:color w:val="000000" w:themeColor="text1"/>
        </w:rPr>
      </w:pPr>
    </w:p>
    <w:p w14:paraId="3B07FBBE" w14:textId="77777777" w:rsidR="00AE72C4" w:rsidRPr="0024482B" w:rsidRDefault="00AE72C4" w:rsidP="00AE72C4">
      <w:pPr>
        <w:rPr>
          <w:color w:val="000000" w:themeColor="text1"/>
        </w:rPr>
      </w:pPr>
    </w:p>
    <w:p w14:paraId="3C517FB1" w14:textId="77777777" w:rsidR="00AE72C4" w:rsidRPr="0024482B" w:rsidRDefault="00AE72C4" w:rsidP="00AE72C4">
      <w:pPr>
        <w:pStyle w:val="Heading1"/>
        <w:spacing w:line="480" w:lineRule="auto"/>
        <w:rPr>
          <w:rFonts w:ascii="Times New Roman" w:hAnsi="Times New Roman" w:cs="Times New Roman"/>
          <w:b/>
          <w:bCs/>
          <w:color w:val="000000" w:themeColor="text1"/>
          <w:sz w:val="24"/>
          <w:szCs w:val="24"/>
        </w:rPr>
      </w:pPr>
      <w:r w:rsidRPr="0024482B">
        <w:rPr>
          <w:rFonts w:ascii="Times New Roman" w:hAnsi="Times New Roman" w:cs="Times New Roman"/>
          <w:b/>
          <w:bCs/>
          <w:color w:val="000000" w:themeColor="text1"/>
          <w:sz w:val="24"/>
          <w:szCs w:val="24"/>
        </w:rPr>
        <w:lastRenderedPageBreak/>
        <w:t xml:space="preserve">D.   </w:t>
      </w:r>
      <w:r w:rsidRPr="0024482B">
        <w:rPr>
          <w:rFonts w:ascii="Times New Roman" w:hAnsi="Times New Roman" w:cs="Times New Roman"/>
          <w:b/>
          <w:bCs/>
          <w:color w:val="000000" w:themeColor="text1"/>
          <w:sz w:val="24"/>
          <w:szCs w:val="24"/>
          <w:u w:val="single"/>
        </w:rPr>
        <w:t>Study Level Effects for GAD-7, LSAS, and DASS-21</w:t>
      </w:r>
      <w:bookmarkEnd w:id="2"/>
    </w:p>
    <w:tbl>
      <w:tblPr>
        <w:tblStyle w:val="TableGrid"/>
        <w:tblW w:w="9067"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3"/>
        <w:gridCol w:w="2004"/>
        <w:gridCol w:w="1701"/>
        <w:gridCol w:w="1985"/>
        <w:gridCol w:w="1984"/>
      </w:tblGrid>
      <w:tr w:rsidR="0024482B" w:rsidRPr="0024482B" w14:paraId="6BC38259" w14:textId="77777777" w:rsidTr="003F2F3D">
        <w:tc>
          <w:tcPr>
            <w:tcW w:w="1393" w:type="dxa"/>
            <w:tcBorders>
              <w:top w:val="single" w:sz="4" w:space="0" w:color="auto"/>
              <w:bottom w:val="single" w:sz="4" w:space="0" w:color="auto"/>
            </w:tcBorders>
            <w:vAlign w:val="center"/>
          </w:tcPr>
          <w:p w14:paraId="1D9C70B6"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Measure</w:t>
            </w:r>
          </w:p>
        </w:tc>
        <w:tc>
          <w:tcPr>
            <w:tcW w:w="2004" w:type="dxa"/>
            <w:tcBorders>
              <w:top w:val="single" w:sz="4" w:space="0" w:color="auto"/>
              <w:bottom w:val="single" w:sz="4" w:space="0" w:color="auto"/>
            </w:tcBorders>
            <w:vAlign w:val="center"/>
          </w:tcPr>
          <w:p w14:paraId="159CAD91"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Study</w:t>
            </w:r>
          </w:p>
        </w:tc>
        <w:tc>
          <w:tcPr>
            <w:tcW w:w="1701" w:type="dxa"/>
            <w:tcBorders>
              <w:top w:val="single" w:sz="4" w:space="0" w:color="auto"/>
              <w:bottom w:val="single" w:sz="4" w:space="0" w:color="auto"/>
            </w:tcBorders>
            <w:vAlign w:val="center"/>
          </w:tcPr>
          <w:p w14:paraId="36BB570A"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Effect</w:t>
            </w:r>
          </w:p>
        </w:tc>
        <w:tc>
          <w:tcPr>
            <w:tcW w:w="1985" w:type="dxa"/>
            <w:tcBorders>
              <w:top w:val="single" w:sz="4" w:space="0" w:color="auto"/>
              <w:bottom w:val="single" w:sz="4" w:space="0" w:color="auto"/>
            </w:tcBorders>
            <w:vAlign w:val="center"/>
          </w:tcPr>
          <w:p w14:paraId="4C06D96C"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proofErr w:type="spellStart"/>
            <w:r w:rsidRPr="0024482B">
              <w:rPr>
                <w:rFonts w:ascii="Times New Roman" w:hAnsi="Times New Roman" w:cs="Times New Roman"/>
                <w:color w:val="000000" w:themeColor="text1"/>
                <w:sz w:val="24"/>
                <w:szCs w:val="24"/>
              </w:rPr>
              <w:t>Std.Er</w:t>
            </w:r>
            <w:proofErr w:type="spellEnd"/>
          </w:p>
        </w:tc>
        <w:tc>
          <w:tcPr>
            <w:tcW w:w="1984" w:type="dxa"/>
            <w:tcBorders>
              <w:top w:val="single" w:sz="4" w:space="0" w:color="auto"/>
              <w:bottom w:val="single" w:sz="4" w:space="0" w:color="auto"/>
            </w:tcBorders>
            <w:vAlign w:val="center"/>
          </w:tcPr>
          <w:p w14:paraId="3DCFE651"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CI</w:t>
            </w:r>
          </w:p>
        </w:tc>
      </w:tr>
      <w:tr w:rsidR="0024482B" w:rsidRPr="0024482B" w14:paraId="6D6266DF" w14:textId="77777777" w:rsidTr="003F2F3D">
        <w:tc>
          <w:tcPr>
            <w:tcW w:w="1393" w:type="dxa"/>
            <w:vMerge w:val="restart"/>
            <w:tcBorders>
              <w:top w:val="single" w:sz="4" w:space="0" w:color="auto"/>
              <w:bottom w:val="nil"/>
            </w:tcBorders>
            <w:vAlign w:val="center"/>
          </w:tcPr>
          <w:p w14:paraId="466C70C4"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GAD-7</w:t>
            </w:r>
          </w:p>
        </w:tc>
        <w:tc>
          <w:tcPr>
            <w:tcW w:w="2004" w:type="dxa"/>
            <w:tcBorders>
              <w:top w:val="single" w:sz="4" w:space="0" w:color="auto"/>
              <w:bottom w:val="nil"/>
            </w:tcBorders>
            <w:vAlign w:val="center"/>
          </w:tcPr>
          <w:p w14:paraId="492EE05A" w14:textId="77777777" w:rsidR="00AE72C4" w:rsidRPr="0024482B" w:rsidRDefault="00AE72C4" w:rsidP="003F2F3D">
            <w:pPr>
              <w:spacing w:line="360" w:lineRule="auto"/>
              <w:rPr>
                <w:rFonts w:ascii="Times New Roman" w:hAnsi="Times New Roman" w:cs="Times New Roman"/>
                <w:color w:val="000000" w:themeColor="text1"/>
                <w:sz w:val="24"/>
                <w:szCs w:val="24"/>
              </w:rPr>
            </w:pPr>
            <w:proofErr w:type="spellStart"/>
            <w:r w:rsidRPr="0024482B">
              <w:rPr>
                <w:rFonts w:ascii="Times New Roman" w:hAnsi="Times New Roman" w:cs="Times New Roman"/>
                <w:color w:val="000000" w:themeColor="text1"/>
                <w:sz w:val="24"/>
                <w:szCs w:val="24"/>
              </w:rPr>
              <w:t>Bowri</w:t>
            </w:r>
            <w:proofErr w:type="spellEnd"/>
            <w:r w:rsidRPr="0024482B">
              <w:rPr>
                <w:rFonts w:ascii="Times New Roman" w:hAnsi="Times New Roman" w:cs="Times New Roman"/>
                <w:color w:val="000000" w:themeColor="text1"/>
                <w:sz w:val="24"/>
                <w:szCs w:val="24"/>
              </w:rPr>
              <w:t xml:space="preserve"> (2021).A</w:t>
            </w:r>
          </w:p>
        </w:tc>
        <w:tc>
          <w:tcPr>
            <w:tcW w:w="1701" w:type="dxa"/>
            <w:tcBorders>
              <w:top w:val="single" w:sz="4" w:space="0" w:color="auto"/>
              <w:bottom w:val="nil"/>
            </w:tcBorders>
            <w:vAlign w:val="center"/>
          </w:tcPr>
          <w:p w14:paraId="2661ABAC"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0.92</w:t>
            </w:r>
          </w:p>
        </w:tc>
        <w:tc>
          <w:tcPr>
            <w:tcW w:w="1985" w:type="dxa"/>
            <w:tcBorders>
              <w:top w:val="single" w:sz="4" w:space="0" w:color="auto"/>
              <w:bottom w:val="nil"/>
            </w:tcBorders>
            <w:vAlign w:val="center"/>
          </w:tcPr>
          <w:p w14:paraId="0C03AA32"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0.01</w:t>
            </w:r>
          </w:p>
        </w:tc>
        <w:tc>
          <w:tcPr>
            <w:tcW w:w="1984" w:type="dxa"/>
            <w:tcBorders>
              <w:top w:val="single" w:sz="4" w:space="0" w:color="auto"/>
              <w:bottom w:val="nil"/>
            </w:tcBorders>
            <w:vAlign w:val="center"/>
          </w:tcPr>
          <w:p w14:paraId="03A5094C"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0.91-0.93</w:t>
            </w:r>
          </w:p>
        </w:tc>
      </w:tr>
      <w:tr w:rsidR="0024482B" w:rsidRPr="0024482B" w14:paraId="72F3DBFC" w14:textId="77777777" w:rsidTr="003F2F3D">
        <w:tc>
          <w:tcPr>
            <w:tcW w:w="1393" w:type="dxa"/>
            <w:vMerge/>
            <w:tcBorders>
              <w:top w:val="nil"/>
              <w:bottom w:val="nil"/>
            </w:tcBorders>
            <w:vAlign w:val="center"/>
          </w:tcPr>
          <w:p w14:paraId="7311770A"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p>
        </w:tc>
        <w:tc>
          <w:tcPr>
            <w:tcW w:w="2004" w:type="dxa"/>
            <w:tcBorders>
              <w:top w:val="nil"/>
              <w:bottom w:val="nil"/>
            </w:tcBorders>
            <w:vAlign w:val="center"/>
          </w:tcPr>
          <w:p w14:paraId="0010A88F" w14:textId="77777777" w:rsidR="00AE72C4" w:rsidRPr="0024482B" w:rsidRDefault="00AE72C4" w:rsidP="003F2F3D">
            <w:pPr>
              <w:spacing w:line="36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Bush (2021).A</w:t>
            </w:r>
          </w:p>
        </w:tc>
        <w:tc>
          <w:tcPr>
            <w:tcW w:w="1701" w:type="dxa"/>
            <w:tcBorders>
              <w:top w:val="nil"/>
              <w:bottom w:val="nil"/>
            </w:tcBorders>
            <w:vAlign w:val="center"/>
          </w:tcPr>
          <w:p w14:paraId="1A1F150C"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0.91</w:t>
            </w:r>
          </w:p>
        </w:tc>
        <w:tc>
          <w:tcPr>
            <w:tcW w:w="1985" w:type="dxa"/>
            <w:tcBorders>
              <w:top w:val="nil"/>
              <w:bottom w:val="nil"/>
            </w:tcBorders>
            <w:vAlign w:val="center"/>
          </w:tcPr>
          <w:p w14:paraId="35772F73"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0.01</w:t>
            </w:r>
          </w:p>
        </w:tc>
        <w:tc>
          <w:tcPr>
            <w:tcW w:w="1984" w:type="dxa"/>
            <w:tcBorders>
              <w:top w:val="nil"/>
              <w:bottom w:val="nil"/>
            </w:tcBorders>
            <w:vAlign w:val="center"/>
          </w:tcPr>
          <w:p w14:paraId="386417DA"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0.89-0.93</w:t>
            </w:r>
          </w:p>
        </w:tc>
      </w:tr>
      <w:tr w:rsidR="0024482B" w:rsidRPr="0024482B" w14:paraId="25FA90A8" w14:textId="77777777" w:rsidTr="003F2F3D">
        <w:tc>
          <w:tcPr>
            <w:tcW w:w="1393" w:type="dxa"/>
            <w:vMerge/>
            <w:tcBorders>
              <w:top w:val="nil"/>
              <w:bottom w:val="nil"/>
            </w:tcBorders>
            <w:vAlign w:val="center"/>
          </w:tcPr>
          <w:p w14:paraId="104B51EE"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p>
        </w:tc>
        <w:tc>
          <w:tcPr>
            <w:tcW w:w="2004" w:type="dxa"/>
            <w:tcBorders>
              <w:top w:val="nil"/>
              <w:bottom w:val="nil"/>
            </w:tcBorders>
            <w:vAlign w:val="center"/>
          </w:tcPr>
          <w:p w14:paraId="3492C2D8" w14:textId="77777777" w:rsidR="00AE72C4" w:rsidRPr="0024482B" w:rsidRDefault="00AE72C4" w:rsidP="003F2F3D">
            <w:pPr>
              <w:spacing w:line="360" w:lineRule="auto"/>
              <w:rPr>
                <w:rFonts w:ascii="Times New Roman" w:hAnsi="Times New Roman" w:cs="Times New Roman"/>
                <w:color w:val="000000" w:themeColor="text1"/>
                <w:sz w:val="24"/>
                <w:szCs w:val="24"/>
              </w:rPr>
            </w:pPr>
            <w:proofErr w:type="spellStart"/>
            <w:r w:rsidRPr="0024482B">
              <w:rPr>
                <w:rFonts w:ascii="Times New Roman" w:hAnsi="Times New Roman" w:cs="Times New Roman"/>
                <w:color w:val="000000" w:themeColor="text1"/>
                <w:sz w:val="24"/>
                <w:szCs w:val="24"/>
              </w:rPr>
              <w:t>Gaigg</w:t>
            </w:r>
            <w:proofErr w:type="spellEnd"/>
            <w:r w:rsidRPr="0024482B">
              <w:rPr>
                <w:rFonts w:ascii="Times New Roman" w:hAnsi="Times New Roman" w:cs="Times New Roman"/>
                <w:color w:val="000000" w:themeColor="text1"/>
                <w:sz w:val="24"/>
                <w:szCs w:val="24"/>
              </w:rPr>
              <w:t xml:space="preserve"> (2020).C</w:t>
            </w:r>
          </w:p>
        </w:tc>
        <w:tc>
          <w:tcPr>
            <w:tcW w:w="1701" w:type="dxa"/>
            <w:tcBorders>
              <w:top w:val="nil"/>
              <w:bottom w:val="nil"/>
            </w:tcBorders>
            <w:vAlign w:val="center"/>
          </w:tcPr>
          <w:p w14:paraId="7D49B8D3"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0.93</w:t>
            </w:r>
          </w:p>
        </w:tc>
        <w:tc>
          <w:tcPr>
            <w:tcW w:w="1985" w:type="dxa"/>
            <w:tcBorders>
              <w:top w:val="nil"/>
              <w:bottom w:val="nil"/>
            </w:tcBorders>
            <w:vAlign w:val="center"/>
          </w:tcPr>
          <w:p w14:paraId="1044671F"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0.02</w:t>
            </w:r>
          </w:p>
        </w:tc>
        <w:tc>
          <w:tcPr>
            <w:tcW w:w="1984" w:type="dxa"/>
            <w:tcBorders>
              <w:top w:val="nil"/>
              <w:bottom w:val="nil"/>
            </w:tcBorders>
            <w:vAlign w:val="center"/>
          </w:tcPr>
          <w:p w14:paraId="2B34DC77"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0.90-0.96</w:t>
            </w:r>
          </w:p>
        </w:tc>
      </w:tr>
      <w:tr w:rsidR="0024482B" w:rsidRPr="0024482B" w14:paraId="1360779D" w14:textId="77777777" w:rsidTr="003F2F3D">
        <w:tc>
          <w:tcPr>
            <w:tcW w:w="1393" w:type="dxa"/>
            <w:vMerge/>
            <w:tcBorders>
              <w:top w:val="nil"/>
              <w:bottom w:val="nil"/>
            </w:tcBorders>
            <w:vAlign w:val="center"/>
          </w:tcPr>
          <w:p w14:paraId="188C4531"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p>
        </w:tc>
        <w:tc>
          <w:tcPr>
            <w:tcW w:w="2004" w:type="dxa"/>
            <w:tcBorders>
              <w:top w:val="nil"/>
              <w:bottom w:val="nil"/>
            </w:tcBorders>
            <w:vAlign w:val="center"/>
          </w:tcPr>
          <w:p w14:paraId="58471934" w14:textId="77777777" w:rsidR="00AE72C4" w:rsidRPr="0024482B" w:rsidRDefault="00AE72C4" w:rsidP="003F2F3D">
            <w:pPr>
              <w:spacing w:line="36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Hull (2019).A</w:t>
            </w:r>
          </w:p>
        </w:tc>
        <w:tc>
          <w:tcPr>
            <w:tcW w:w="1701" w:type="dxa"/>
            <w:tcBorders>
              <w:top w:val="nil"/>
              <w:bottom w:val="nil"/>
            </w:tcBorders>
            <w:vAlign w:val="center"/>
          </w:tcPr>
          <w:p w14:paraId="3A9EC6C5"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0.92</w:t>
            </w:r>
          </w:p>
        </w:tc>
        <w:tc>
          <w:tcPr>
            <w:tcW w:w="1985" w:type="dxa"/>
            <w:tcBorders>
              <w:top w:val="nil"/>
              <w:bottom w:val="nil"/>
            </w:tcBorders>
            <w:vAlign w:val="center"/>
          </w:tcPr>
          <w:p w14:paraId="783C361A"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0.01</w:t>
            </w:r>
          </w:p>
        </w:tc>
        <w:tc>
          <w:tcPr>
            <w:tcW w:w="1984" w:type="dxa"/>
            <w:tcBorders>
              <w:top w:val="nil"/>
              <w:bottom w:val="nil"/>
            </w:tcBorders>
            <w:vAlign w:val="center"/>
          </w:tcPr>
          <w:p w14:paraId="38F468AD"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0.91-0.93</w:t>
            </w:r>
          </w:p>
        </w:tc>
      </w:tr>
      <w:tr w:rsidR="0024482B" w:rsidRPr="0024482B" w14:paraId="53F51810" w14:textId="77777777" w:rsidTr="003F2F3D">
        <w:tc>
          <w:tcPr>
            <w:tcW w:w="1393" w:type="dxa"/>
            <w:vMerge/>
            <w:tcBorders>
              <w:top w:val="nil"/>
              <w:bottom w:val="nil"/>
            </w:tcBorders>
            <w:vAlign w:val="center"/>
          </w:tcPr>
          <w:p w14:paraId="76D96F70"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p>
        </w:tc>
        <w:tc>
          <w:tcPr>
            <w:tcW w:w="2004" w:type="dxa"/>
            <w:tcBorders>
              <w:top w:val="nil"/>
              <w:bottom w:val="nil"/>
            </w:tcBorders>
            <w:vAlign w:val="center"/>
          </w:tcPr>
          <w:p w14:paraId="0E951EBE" w14:textId="77777777" w:rsidR="00AE72C4" w:rsidRPr="0024482B" w:rsidRDefault="00AE72C4" w:rsidP="003F2F3D">
            <w:pPr>
              <w:spacing w:line="36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Mazurek (2013)</w:t>
            </w:r>
          </w:p>
        </w:tc>
        <w:tc>
          <w:tcPr>
            <w:tcW w:w="1701" w:type="dxa"/>
            <w:tcBorders>
              <w:top w:val="nil"/>
              <w:bottom w:val="nil"/>
            </w:tcBorders>
            <w:vAlign w:val="center"/>
          </w:tcPr>
          <w:p w14:paraId="09C906AA"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0.88</w:t>
            </w:r>
          </w:p>
        </w:tc>
        <w:tc>
          <w:tcPr>
            <w:tcW w:w="1985" w:type="dxa"/>
            <w:tcBorders>
              <w:top w:val="nil"/>
              <w:bottom w:val="nil"/>
            </w:tcBorders>
            <w:vAlign w:val="center"/>
          </w:tcPr>
          <w:p w14:paraId="00115E9C"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0.02</w:t>
            </w:r>
          </w:p>
        </w:tc>
        <w:tc>
          <w:tcPr>
            <w:tcW w:w="1984" w:type="dxa"/>
            <w:tcBorders>
              <w:top w:val="nil"/>
              <w:bottom w:val="nil"/>
            </w:tcBorders>
            <w:vAlign w:val="center"/>
          </w:tcPr>
          <w:p w14:paraId="356738A6"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0.85-0.91</w:t>
            </w:r>
          </w:p>
        </w:tc>
      </w:tr>
      <w:tr w:rsidR="0024482B" w:rsidRPr="0024482B" w14:paraId="4FB2C57B" w14:textId="77777777" w:rsidTr="003F2F3D">
        <w:tc>
          <w:tcPr>
            <w:tcW w:w="1393" w:type="dxa"/>
            <w:vMerge/>
            <w:tcBorders>
              <w:top w:val="nil"/>
              <w:bottom w:val="nil"/>
            </w:tcBorders>
            <w:vAlign w:val="center"/>
          </w:tcPr>
          <w:p w14:paraId="7CA90A88"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p>
        </w:tc>
        <w:tc>
          <w:tcPr>
            <w:tcW w:w="2004" w:type="dxa"/>
            <w:tcBorders>
              <w:top w:val="nil"/>
              <w:bottom w:val="nil"/>
            </w:tcBorders>
            <w:vAlign w:val="center"/>
          </w:tcPr>
          <w:p w14:paraId="7C05F2BF" w14:textId="77777777" w:rsidR="00AE72C4" w:rsidRPr="0024482B" w:rsidRDefault="00AE72C4" w:rsidP="003F2F3D">
            <w:pPr>
              <w:spacing w:line="36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Moseley (2022)</w:t>
            </w:r>
          </w:p>
        </w:tc>
        <w:tc>
          <w:tcPr>
            <w:tcW w:w="1701" w:type="dxa"/>
            <w:tcBorders>
              <w:top w:val="nil"/>
              <w:bottom w:val="nil"/>
            </w:tcBorders>
            <w:vAlign w:val="center"/>
          </w:tcPr>
          <w:p w14:paraId="0B3E8698"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0.91</w:t>
            </w:r>
          </w:p>
        </w:tc>
        <w:tc>
          <w:tcPr>
            <w:tcW w:w="1985" w:type="dxa"/>
            <w:tcBorders>
              <w:top w:val="nil"/>
              <w:bottom w:val="nil"/>
            </w:tcBorders>
            <w:vAlign w:val="center"/>
          </w:tcPr>
          <w:p w14:paraId="78BE3CC6"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0.01</w:t>
            </w:r>
          </w:p>
        </w:tc>
        <w:tc>
          <w:tcPr>
            <w:tcW w:w="1984" w:type="dxa"/>
            <w:tcBorders>
              <w:top w:val="nil"/>
              <w:bottom w:val="nil"/>
            </w:tcBorders>
            <w:vAlign w:val="center"/>
          </w:tcPr>
          <w:p w14:paraId="352E63AD"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0.89-0.93</w:t>
            </w:r>
          </w:p>
        </w:tc>
      </w:tr>
      <w:tr w:rsidR="0024482B" w:rsidRPr="0024482B" w14:paraId="7B477E5D" w14:textId="77777777" w:rsidTr="003F2F3D">
        <w:tc>
          <w:tcPr>
            <w:tcW w:w="1393" w:type="dxa"/>
            <w:vMerge/>
            <w:tcBorders>
              <w:top w:val="nil"/>
              <w:bottom w:val="single" w:sz="4" w:space="0" w:color="auto"/>
            </w:tcBorders>
            <w:vAlign w:val="center"/>
          </w:tcPr>
          <w:p w14:paraId="184ECD2A"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p>
        </w:tc>
        <w:tc>
          <w:tcPr>
            <w:tcW w:w="2004" w:type="dxa"/>
            <w:tcBorders>
              <w:top w:val="nil"/>
              <w:bottom w:val="single" w:sz="4" w:space="0" w:color="auto"/>
            </w:tcBorders>
            <w:vAlign w:val="center"/>
          </w:tcPr>
          <w:p w14:paraId="222170B1" w14:textId="77777777" w:rsidR="00AE72C4" w:rsidRPr="0024482B" w:rsidRDefault="00AE72C4" w:rsidP="003F2F3D">
            <w:pPr>
              <w:spacing w:line="36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Robeson (2024)</w:t>
            </w:r>
          </w:p>
        </w:tc>
        <w:tc>
          <w:tcPr>
            <w:tcW w:w="1701" w:type="dxa"/>
            <w:tcBorders>
              <w:top w:val="nil"/>
              <w:bottom w:val="single" w:sz="4" w:space="0" w:color="auto"/>
            </w:tcBorders>
            <w:vAlign w:val="center"/>
          </w:tcPr>
          <w:p w14:paraId="77ED051F"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0.91</w:t>
            </w:r>
          </w:p>
        </w:tc>
        <w:tc>
          <w:tcPr>
            <w:tcW w:w="1985" w:type="dxa"/>
            <w:tcBorders>
              <w:top w:val="nil"/>
              <w:bottom w:val="single" w:sz="4" w:space="0" w:color="auto"/>
            </w:tcBorders>
            <w:vAlign w:val="center"/>
          </w:tcPr>
          <w:p w14:paraId="5AEA79C2"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0.01</w:t>
            </w:r>
          </w:p>
        </w:tc>
        <w:tc>
          <w:tcPr>
            <w:tcW w:w="1984" w:type="dxa"/>
            <w:tcBorders>
              <w:top w:val="nil"/>
              <w:bottom w:val="single" w:sz="4" w:space="0" w:color="auto"/>
            </w:tcBorders>
            <w:vAlign w:val="center"/>
          </w:tcPr>
          <w:p w14:paraId="704DFF49"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0.9-0.92</w:t>
            </w:r>
          </w:p>
        </w:tc>
      </w:tr>
      <w:tr w:rsidR="0024482B" w:rsidRPr="0024482B" w14:paraId="398124A0" w14:textId="77777777" w:rsidTr="003F2F3D">
        <w:tc>
          <w:tcPr>
            <w:tcW w:w="1393" w:type="dxa"/>
            <w:vMerge w:val="restart"/>
            <w:tcBorders>
              <w:top w:val="single" w:sz="4" w:space="0" w:color="auto"/>
              <w:bottom w:val="nil"/>
            </w:tcBorders>
            <w:vAlign w:val="center"/>
          </w:tcPr>
          <w:p w14:paraId="00C7B6E4"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LSAS</w:t>
            </w:r>
          </w:p>
        </w:tc>
        <w:tc>
          <w:tcPr>
            <w:tcW w:w="2004" w:type="dxa"/>
            <w:tcBorders>
              <w:top w:val="single" w:sz="4" w:space="0" w:color="auto"/>
              <w:bottom w:val="nil"/>
            </w:tcBorders>
            <w:vAlign w:val="center"/>
          </w:tcPr>
          <w:p w14:paraId="08BFFB1C" w14:textId="77777777" w:rsidR="00AE72C4" w:rsidRPr="0024482B" w:rsidRDefault="00AE72C4" w:rsidP="003F2F3D">
            <w:pPr>
              <w:spacing w:line="360" w:lineRule="auto"/>
              <w:rPr>
                <w:rFonts w:ascii="Times New Roman" w:hAnsi="Times New Roman" w:cs="Times New Roman"/>
                <w:color w:val="000000" w:themeColor="text1"/>
                <w:sz w:val="24"/>
                <w:szCs w:val="24"/>
              </w:rPr>
            </w:pPr>
            <w:proofErr w:type="spellStart"/>
            <w:r w:rsidRPr="0024482B">
              <w:rPr>
                <w:rFonts w:ascii="Times New Roman" w:hAnsi="Times New Roman" w:cs="Times New Roman"/>
                <w:color w:val="000000" w:themeColor="text1"/>
                <w:sz w:val="24"/>
                <w:szCs w:val="24"/>
              </w:rPr>
              <w:t>Bemmer</w:t>
            </w:r>
            <w:proofErr w:type="spellEnd"/>
            <w:r w:rsidRPr="0024482B">
              <w:rPr>
                <w:rFonts w:ascii="Times New Roman" w:hAnsi="Times New Roman" w:cs="Times New Roman"/>
                <w:color w:val="000000" w:themeColor="text1"/>
                <w:sz w:val="24"/>
                <w:szCs w:val="24"/>
              </w:rPr>
              <w:t xml:space="preserve"> (2021).A</w:t>
            </w:r>
          </w:p>
        </w:tc>
        <w:tc>
          <w:tcPr>
            <w:tcW w:w="1701" w:type="dxa"/>
            <w:tcBorders>
              <w:top w:val="single" w:sz="4" w:space="0" w:color="auto"/>
              <w:bottom w:val="nil"/>
            </w:tcBorders>
            <w:vAlign w:val="center"/>
          </w:tcPr>
          <w:p w14:paraId="48111014"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0.96</w:t>
            </w:r>
          </w:p>
        </w:tc>
        <w:tc>
          <w:tcPr>
            <w:tcW w:w="1985" w:type="dxa"/>
            <w:tcBorders>
              <w:top w:val="single" w:sz="4" w:space="0" w:color="auto"/>
              <w:bottom w:val="nil"/>
            </w:tcBorders>
            <w:vAlign w:val="center"/>
          </w:tcPr>
          <w:p w14:paraId="51A2A95E"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0.01</w:t>
            </w:r>
          </w:p>
        </w:tc>
        <w:tc>
          <w:tcPr>
            <w:tcW w:w="1984" w:type="dxa"/>
            <w:tcBorders>
              <w:top w:val="single" w:sz="4" w:space="0" w:color="auto"/>
              <w:bottom w:val="nil"/>
            </w:tcBorders>
            <w:vAlign w:val="center"/>
          </w:tcPr>
          <w:p w14:paraId="68485210"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0.95-0.97</w:t>
            </w:r>
          </w:p>
        </w:tc>
      </w:tr>
      <w:tr w:rsidR="0024482B" w:rsidRPr="0024482B" w14:paraId="4E35E129" w14:textId="77777777" w:rsidTr="003F2F3D">
        <w:tc>
          <w:tcPr>
            <w:tcW w:w="1393" w:type="dxa"/>
            <w:vMerge/>
            <w:tcBorders>
              <w:top w:val="nil"/>
              <w:bottom w:val="nil"/>
            </w:tcBorders>
            <w:vAlign w:val="center"/>
          </w:tcPr>
          <w:p w14:paraId="2A66EEC9"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p>
        </w:tc>
        <w:tc>
          <w:tcPr>
            <w:tcW w:w="2004" w:type="dxa"/>
            <w:tcBorders>
              <w:top w:val="nil"/>
              <w:bottom w:val="nil"/>
            </w:tcBorders>
            <w:vAlign w:val="center"/>
          </w:tcPr>
          <w:p w14:paraId="49E354A2" w14:textId="77777777" w:rsidR="00AE72C4" w:rsidRPr="0024482B" w:rsidRDefault="00AE72C4" w:rsidP="003F2F3D">
            <w:pPr>
              <w:spacing w:line="360" w:lineRule="auto"/>
              <w:rPr>
                <w:rFonts w:ascii="Times New Roman" w:hAnsi="Times New Roman" w:cs="Times New Roman"/>
                <w:color w:val="000000" w:themeColor="text1"/>
                <w:sz w:val="24"/>
                <w:szCs w:val="24"/>
              </w:rPr>
            </w:pPr>
            <w:proofErr w:type="spellStart"/>
            <w:r w:rsidRPr="0024482B">
              <w:rPr>
                <w:rFonts w:ascii="Times New Roman" w:hAnsi="Times New Roman" w:cs="Times New Roman"/>
                <w:color w:val="000000" w:themeColor="text1"/>
                <w:sz w:val="24"/>
                <w:szCs w:val="24"/>
              </w:rPr>
              <w:t>Bowri</w:t>
            </w:r>
            <w:proofErr w:type="spellEnd"/>
            <w:r w:rsidRPr="0024482B">
              <w:rPr>
                <w:rFonts w:ascii="Times New Roman" w:hAnsi="Times New Roman" w:cs="Times New Roman"/>
                <w:color w:val="000000" w:themeColor="text1"/>
                <w:sz w:val="24"/>
                <w:szCs w:val="24"/>
              </w:rPr>
              <w:t xml:space="preserve"> (2021).B</w:t>
            </w:r>
          </w:p>
        </w:tc>
        <w:tc>
          <w:tcPr>
            <w:tcW w:w="1701" w:type="dxa"/>
            <w:tcBorders>
              <w:top w:val="nil"/>
              <w:bottom w:val="nil"/>
            </w:tcBorders>
            <w:vAlign w:val="center"/>
          </w:tcPr>
          <w:p w14:paraId="3132ACDC"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0.96</w:t>
            </w:r>
          </w:p>
        </w:tc>
        <w:tc>
          <w:tcPr>
            <w:tcW w:w="1985" w:type="dxa"/>
            <w:tcBorders>
              <w:top w:val="nil"/>
              <w:bottom w:val="nil"/>
            </w:tcBorders>
            <w:vAlign w:val="center"/>
          </w:tcPr>
          <w:p w14:paraId="001E3DE1"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0.01</w:t>
            </w:r>
          </w:p>
        </w:tc>
        <w:tc>
          <w:tcPr>
            <w:tcW w:w="1984" w:type="dxa"/>
            <w:tcBorders>
              <w:top w:val="nil"/>
              <w:bottom w:val="nil"/>
            </w:tcBorders>
            <w:vAlign w:val="center"/>
          </w:tcPr>
          <w:p w14:paraId="23389EEE"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0.95-0.97</w:t>
            </w:r>
          </w:p>
        </w:tc>
      </w:tr>
      <w:tr w:rsidR="0024482B" w:rsidRPr="0024482B" w14:paraId="584514F5" w14:textId="77777777" w:rsidTr="003F2F3D">
        <w:tc>
          <w:tcPr>
            <w:tcW w:w="1393" w:type="dxa"/>
            <w:vMerge/>
            <w:tcBorders>
              <w:top w:val="nil"/>
              <w:bottom w:val="nil"/>
            </w:tcBorders>
            <w:vAlign w:val="center"/>
          </w:tcPr>
          <w:p w14:paraId="040BBBD0"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p>
        </w:tc>
        <w:tc>
          <w:tcPr>
            <w:tcW w:w="2004" w:type="dxa"/>
            <w:tcBorders>
              <w:top w:val="nil"/>
              <w:bottom w:val="nil"/>
            </w:tcBorders>
            <w:vAlign w:val="center"/>
          </w:tcPr>
          <w:p w14:paraId="5130CCD7" w14:textId="77777777" w:rsidR="00AE72C4" w:rsidRPr="0024482B" w:rsidRDefault="00AE72C4" w:rsidP="003F2F3D">
            <w:pPr>
              <w:spacing w:line="360" w:lineRule="auto"/>
              <w:rPr>
                <w:rFonts w:ascii="Times New Roman" w:hAnsi="Times New Roman" w:cs="Times New Roman"/>
                <w:color w:val="000000" w:themeColor="text1"/>
                <w:sz w:val="24"/>
                <w:szCs w:val="24"/>
              </w:rPr>
            </w:pPr>
            <w:proofErr w:type="spellStart"/>
            <w:r w:rsidRPr="0024482B">
              <w:rPr>
                <w:rFonts w:ascii="Times New Roman" w:hAnsi="Times New Roman" w:cs="Times New Roman"/>
                <w:color w:val="000000" w:themeColor="text1"/>
                <w:sz w:val="24"/>
                <w:szCs w:val="24"/>
              </w:rPr>
              <w:t>Gaigg</w:t>
            </w:r>
            <w:proofErr w:type="spellEnd"/>
            <w:r w:rsidRPr="0024482B">
              <w:rPr>
                <w:rFonts w:ascii="Times New Roman" w:hAnsi="Times New Roman" w:cs="Times New Roman"/>
                <w:color w:val="000000" w:themeColor="text1"/>
                <w:sz w:val="24"/>
                <w:szCs w:val="24"/>
              </w:rPr>
              <w:t xml:space="preserve"> (2020).B</w:t>
            </w:r>
          </w:p>
        </w:tc>
        <w:tc>
          <w:tcPr>
            <w:tcW w:w="1701" w:type="dxa"/>
            <w:tcBorders>
              <w:top w:val="nil"/>
              <w:bottom w:val="nil"/>
            </w:tcBorders>
            <w:vAlign w:val="center"/>
          </w:tcPr>
          <w:p w14:paraId="582F295F"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0.97</w:t>
            </w:r>
          </w:p>
        </w:tc>
        <w:tc>
          <w:tcPr>
            <w:tcW w:w="1985" w:type="dxa"/>
            <w:tcBorders>
              <w:top w:val="nil"/>
              <w:bottom w:val="nil"/>
            </w:tcBorders>
            <w:vAlign w:val="center"/>
          </w:tcPr>
          <w:p w14:paraId="2453167A"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0.01</w:t>
            </w:r>
          </w:p>
        </w:tc>
        <w:tc>
          <w:tcPr>
            <w:tcW w:w="1984" w:type="dxa"/>
            <w:tcBorders>
              <w:top w:val="nil"/>
              <w:bottom w:val="nil"/>
            </w:tcBorders>
            <w:vAlign w:val="center"/>
          </w:tcPr>
          <w:p w14:paraId="22920E8E"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0.96-0.98</w:t>
            </w:r>
          </w:p>
        </w:tc>
      </w:tr>
      <w:tr w:rsidR="0024482B" w:rsidRPr="0024482B" w14:paraId="094216A9" w14:textId="77777777" w:rsidTr="003F2F3D">
        <w:tc>
          <w:tcPr>
            <w:tcW w:w="1393" w:type="dxa"/>
            <w:vMerge/>
            <w:tcBorders>
              <w:top w:val="nil"/>
              <w:bottom w:val="nil"/>
            </w:tcBorders>
            <w:vAlign w:val="center"/>
          </w:tcPr>
          <w:p w14:paraId="6D41DDC2"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p>
        </w:tc>
        <w:tc>
          <w:tcPr>
            <w:tcW w:w="2004" w:type="dxa"/>
            <w:tcBorders>
              <w:top w:val="nil"/>
              <w:bottom w:val="nil"/>
            </w:tcBorders>
            <w:vAlign w:val="center"/>
          </w:tcPr>
          <w:p w14:paraId="12E544C1" w14:textId="77777777" w:rsidR="00AE72C4" w:rsidRPr="0024482B" w:rsidRDefault="00AE72C4" w:rsidP="003F2F3D">
            <w:pPr>
              <w:spacing w:line="36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Hull (2019).B</w:t>
            </w:r>
          </w:p>
        </w:tc>
        <w:tc>
          <w:tcPr>
            <w:tcW w:w="1701" w:type="dxa"/>
            <w:tcBorders>
              <w:top w:val="nil"/>
              <w:bottom w:val="nil"/>
            </w:tcBorders>
            <w:vAlign w:val="center"/>
          </w:tcPr>
          <w:p w14:paraId="008B5B89"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0.97</w:t>
            </w:r>
          </w:p>
        </w:tc>
        <w:tc>
          <w:tcPr>
            <w:tcW w:w="1985" w:type="dxa"/>
            <w:tcBorders>
              <w:top w:val="nil"/>
              <w:bottom w:val="nil"/>
            </w:tcBorders>
            <w:vAlign w:val="center"/>
          </w:tcPr>
          <w:p w14:paraId="7D434BD1"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&lt;0.01</w:t>
            </w:r>
          </w:p>
        </w:tc>
        <w:tc>
          <w:tcPr>
            <w:tcW w:w="1984" w:type="dxa"/>
            <w:tcBorders>
              <w:top w:val="nil"/>
              <w:bottom w:val="nil"/>
            </w:tcBorders>
            <w:vAlign w:val="center"/>
          </w:tcPr>
          <w:p w14:paraId="19C081D9"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0.97-0.97</w:t>
            </w:r>
          </w:p>
        </w:tc>
      </w:tr>
      <w:tr w:rsidR="0024482B" w:rsidRPr="0024482B" w14:paraId="7217CFBD" w14:textId="77777777" w:rsidTr="003F2F3D">
        <w:tc>
          <w:tcPr>
            <w:tcW w:w="1393" w:type="dxa"/>
            <w:vMerge/>
            <w:tcBorders>
              <w:top w:val="nil"/>
              <w:bottom w:val="nil"/>
            </w:tcBorders>
            <w:vAlign w:val="center"/>
          </w:tcPr>
          <w:p w14:paraId="476C070B"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p>
        </w:tc>
        <w:tc>
          <w:tcPr>
            <w:tcW w:w="2004" w:type="dxa"/>
            <w:tcBorders>
              <w:top w:val="nil"/>
              <w:bottom w:val="nil"/>
            </w:tcBorders>
            <w:vAlign w:val="center"/>
          </w:tcPr>
          <w:p w14:paraId="16570CF0" w14:textId="77777777" w:rsidR="00AE72C4" w:rsidRPr="0024482B" w:rsidRDefault="00AE72C4" w:rsidP="003F2F3D">
            <w:pPr>
              <w:spacing w:line="36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McVey (2016).A</w:t>
            </w:r>
          </w:p>
        </w:tc>
        <w:tc>
          <w:tcPr>
            <w:tcW w:w="1701" w:type="dxa"/>
            <w:tcBorders>
              <w:top w:val="nil"/>
              <w:bottom w:val="nil"/>
            </w:tcBorders>
            <w:vAlign w:val="center"/>
          </w:tcPr>
          <w:p w14:paraId="249801CB"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0.97</w:t>
            </w:r>
          </w:p>
        </w:tc>
        <w:tc>
          <w:tcPr>
            <w:tcW w:w="1985" w:type="dxa"/>
            <w:tcBorders>
              <w:top w:val="nil"/>
              <w:bottom w:val="nil"/>
            </w:tcBorders>
            <w:vAlign w:val="center"/>
          </w:tcPr>
          <w:p w14:paraId="7689A1D5"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0.01</w:t>
            </w:r>
          </w:p>
        </w:tc>
        <w:tc>
          <w:tcPr>
            <w:tcW w:w="1984" w:type="dxa"/>
            <w:tcBorders>
              <w:top w:val="nil"/>
              <w:bottom w:val="nil"/>
            </w:tcBorders>
            <w:vAlign w:val="center"/>
          </w:tcPr>
          <w:p w14:paraId="19126776"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0.96-0.98</w:t>
            </w:r>
          </w:p>
        </w:tc>
      </w:tr>
      <w:tr w:rsidR="0024482B" w:rsidRPr="0024482B" w14:paraId="65922963" w14:textId="77777777" w:rsidTr="003F2F3D">
        <w:tc>
          <w:tcPr>
            <w:tcW w:w="1393" w:type="dxa"/>
            <w:vMerge/>
            <w:tcBorders>
              <w:top w:val="nil"/>
              <w:bottom w:val="nil"/>
            </w:tcBorders>
            <w:vAlign w:val="center"/>
          </w:tcPr>
          <w:p w14:paraId="16897681"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p>
        </w:tc>
        <w:tc>
          <w:tcPr>
            <w:tcW w:w="2004" w:type="dxa"/>
            <w:tcBorders>
              <w:top w:val="nil"/>
              <w:bottom w:val="nil"/>
            </w:tcBorders>
            <w:vAlign w:val="center"/>
          </w:tcPr>
          <w:p w14:paraId="3293FB9F" w14:textId="77777777" w:rsidR="00AE72C4" w:rsidRPr="0024482B" w:rsidRDefault="00AE72C4" w:rsidP="003F2F3D">
            <w:pPr>
              <w:spacing w:line="36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Schiltz (2021).B</w:t>
            </w:r>
          </w:p>
        </w:tc>
        <w:tc>
          <w:tcPr>
            <w:tcW w:w="1701" w:type="dxa"/>
            <w:tcBorders>
              <w:top w:val="nil"/>
              <w:bottom w:val="nil"/>
            </w:tcBorders>
            <w:vAlign w:val="center"/>
          </w:tcPr>
          <w:p w14:paraId="7228C48C"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0.96</w:t>
            </w:r>
          </w:p>
        </w:tc>
        <w:tc>
          <w:tcPr>
            <w:tcW w:w="1985" w:type="dxa"/>
            <w:tcBorders>
              <w:top w:val="nil"/>
              <w:bottom w:val="nil"/>
            </w:tcBorders>
            <w:vAlign w:val="center"/>
          </w:tcPr>
          <w:p w14:paraId="21091B22"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0.01</w:t>
            </w:r>
          </w:p>
        </w:tc>
        <w:tc>
          <w:tcPr>
            <w:tcW w:w="1984" w:type="dxa"/>
            <w:tcBorders>
              <w:top w:val="nil"/>
              <w:bottom w:val="nil"/>
            </w:tcBorders>
            <w:vAlign w:val="center"/>
          </w:tcPr>
          <w:p w14:paraId="7562ACF5"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0.95-0.97</w:t>
            </w:r>
          </w:p>
        </w:tc>
      </w:tr>
      <w:tr w:rsidR="0024482B" w:rsidRPr="0024482B" w14:paraId="3B9FC443" w14:textId="77777777" w:rsidTr="003F2F3D">
        <w:tc>
          <w:tcPr>
            <w:tcW w:w="1393" w:type="dxa"/>
            <w:vMerge/>
            <w:tcBorders>
              <w:top w:val="nil"/>
              <w:bottom w:val="single" w:sz="4" w:space="0" w:color="auto"/>
            </w:tcBorders>
            <w:vAlign w:val="center"/>
          </w:tcPr>
          <w:p w14:paraId="334ABADE"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p>
        </w:tc>
        <w:tc>
          <w:tcPr>
            <w:tcW w:w="2004" w:type="dxa"/>
            <w:tcBorders>
              <w:top w:val="nil"/>
              <w:bottom w:val="single" w:sz="4" w:space="0" w:color="auto"/>
            </w:tcBorders>
            <w:vAlign w:val="center"/>
          </w:tcPr>
          <w:p w14:paraId="54EFB2CF" w14:textId="77777777" w:rsidR="00AE72C4" w:rsidRPr="0024482B" w:rsidRDefault="00AE72C4" w:rsidP="003F2F3D">
            <w:pPr>
              <w:spacing w:line="36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Spain (2016).A</w:t>
            </w:r>
          </w:p>
        </w:tc>
        <w:tc>
          <w:tcPr>
            <w:tcW w:w="1701" w:type="dxa"/>
            <w:tcBorders>
              <w:top w:val="nil"/>
              <w:bottom w:val="single" w:sz="4" w:space="0" w:color="auto"/>
            </w:tcBorders>
            <w:vAlign w:val="center"/>
          </w:tcPr>
          <w:p w14:paraId="0AAB9914"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0.96</w:t>
            </w:r>
          </w:p>
        </w:tc>
        <w:tc>
          <w:tcPr>
            <w:tcW w:w="1985" w:type="dxa"/>
            <w:tcBorders>
              <w:top w:val="nil"/>
              <w:bottom w:val="single" w:sz="4" w:space="0" w:color="auto"/>
            </w:tcBorders>
            <w:vAlign w:val="center"/>
          </w:tcPr>
          <w:p w14:paraId="741C3AA0"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0.01</w:t>
            </w:r>
          </w:p>
        </w:tc>
        <w:tc>
          <w:tcPr>
            <w:tcW w:w="1984" w:type="dxa"/>
            <w:tcBorders>
              <w:top w:val="nil"/>
              <w:bottom w:val="single" w:sz="4" w:space="0" w:color="auto"/>
            </w:tcBorders>
            <w:vAlign w:val="center"/>
          </w:tcPr>
          <w:p w14:paraId="7A020C53"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0.94-0.98</w:t>
            </w:r>
          </w:p>
        </w:tc>
      </w:tr>
      <w:tr w:rsidR="0024482B" w:rsidRPr="0024482B" w14:paraId="65FCBFC3" w14:textId="77777777" w:rsidTr="003F2F3D">
        <w:tc>
          <w:tcPr>
            <w:tcW w:w="1393" w:type="dxa"/>
            <w:vMerge w:val="restart"/>
            <w:tcBorders>
              <w:top w:val="single" w:sz="4" w:space="0" w:color="auto"/>
            </w:tcBorders>
            <w:vAlign w:val="center"/>
          </w:tcPr>
          <w:p w14:paraId="7B391EC5"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DASS-21</w:t>
            </w:r>
          </w:p>
        </w:tc>
        <w:tc>
          <w:tcPr>
            <w:tcW w:w="2004" w:type="dxa"/>
            <w:tcBorders>
              <w:top w:val="single" w:sz="4" w:space="0" w:color="auto"/>
            </w:tcBorders>
            <w:vAlign w:val="center"/>
          </w:tcPr>
          <w:p w14:paraId="595E6300" w14:textId="77777777" w:rsidR="00AE72C4" w:rsidRPr="0024482B" w:rsidRDefault="00AE72C4" w:rsidP="003F2F3D">
            <w:pPr>
              <w:spacing w:line="36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Aller (2022)</w:t>
            </w:r>
          </w:p>
        </w:tc>
        <w:tc>
          <w:tcPr>
            <w:tcW w:w="1701" w:type="dxa"/>
            <w:tcBorders>
              <w:top w:val="single" w:sz="4" w:space="0" w:color="auto"/>
            </w:tcBorders>
            <w:vAlign w:val="center"/>
          </w:tcPr>
          <w:p w14:paraId="1508E586"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0.8</w:t>
            </w:r>
          </w:p>
        </w:tc>
        <w:tc>
          <w:tcPr>
            <w:tcW w:w="1985" w:type="dxa"/>
            <w:tcBorders>
              <w:top w:val="single" w:sz="4" w:space="0" w:color="auto"/>
            </w:tcBorders>
            <w:vAlign w:val="center"/>
          </w:tcPr>
          <w:p w14:paraId="1159F616"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0.01</w:t>
            </w:r>
          </w:p>
        </w:tc>
        <w:tc>
          <w:tcPr>
            <w:tcW w:w="1984" w:type="dxa"/>
            <w:tcBorders>
              <w:top w:val="single" w:sz="4" w:space="0" w:color="auto"/>
            </w:tcBorders>
            <w:vAlign w:val="center"/>
          </w:tcPr>
          <w:p w14:paraId="43426A81"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0.78-0.83</w:t>
            </w:r>
          </w:p>
        </w:tc>
      </w:tr>
      <w:tr w:rsidR="0024482B" w:rsidRPr="0024482B" w14:paraId="51E168DE" w14:textId="77777777" w:rsidTr="003F2F3D">
        <w:tc>
          <w:tcPr>
            <w:tcW w:w="1393" w:type="dxa"/>
            <w:vMerge/>
            <w:vAlign w:val="center"/>
          </w:tcPr>
          <w:p w14:paraId="2C558112"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p>
        </w:tc>
        <w:tc>
          <w:tcPr>
            <w:tcW w:w="2004" w:type="dxa"/>
            <w:vAlign w:val="center"/>
          </w:tcPr>
          <w:p w14:paraId="67455239" w14:textId="77777777" w:rsidR="00AE72C4" w:rsidRPr="0024482B" w:rsidRDefault="00AE72C4" w:rsidP="003F2F3D">
            <w:pPr>
              <w:spacing w:line="360" w:lineRule="auto"/>
              <w:rPr>
                <w:rFonts w:ascii="Times New Roman" w:hAnsi="Times New Roman" w:cs="Times New Roman"/>
                <w:color w:val="000000" w:themeColor="text1"/>
                <w:sz w:val="24"/>
                <w:szCs w:val="24"/>
              </w:rPr>
            </w:pPr>
            <w:proofErr w:type="spellStart"/>
            <w:r w:rsidRPr="0024482B">
              <w:rPr>
                <w:rFonts w:ascii="Times New Roman" w:hAnsi="Times New Roman" w:cs="Times New Roman"/>
                <w:color w:val="000000" w:themeColor="text1"/>
                <w:sz w:val="24"/>
                <w:szCs w:val="24"/>
              </w:rPr>
              <w:t>Bemmer</w:t>
            </w:r>
            <w:proofErr w:type="spellEnd"/>
            <w:r w:rsidRPr="0024482B">
              <w:rPr>
                <w:rFonts w:ascii="Times New Roman" w:hAnsi="Times New Roman" w:cs="Times New Roman"/>
                <w:color w:val="000000" w:themeColor="text1"/>
                <w:sz w:val="24"/>
                <w:szCs w:val="24"/>
              </w:rPr>
              <w:t xml:space="preserve"> (2021).B</w:t>
            </w:r>
          </w:p>
        </w:tc>
        <w:tc>
          <w:tcPr>
            <w:tcW w:w="1701" w:type="dxa"/>
            <w:vAlign w:val="center"/>
          </w:tcPr>
          <w:p w14:paraId="697047DF"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0.95</w:t>
            </w:r>
          </w:p>
        </w:tc>
        <w:tc>
          <w:tcPr>
            <w:tcW w:w="1985" w:type="dxa"/>
            <w:vAlign w:val="center"/>
          </w:tcPr>
          <w:p w14:paraId="138216D2"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0.01</w:t>
            </w:r>
          </w:p>
        </w:tc>
        <w:tc>
          <w:tcPr>
            <w:tcW w:w="1984" w:type="dxa"/>
            <w:vAlign w:val="center"/>
          </w:tcPr>
          <w:p w14:paraId="00B243D8"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0.93-0.97</w:t>
            </w:r>
          </w:p>
        </w:tc>
      </w:tr>
      <w:tr w:rsidR="0024482B" w:rsidRPr="0024482B" w14:paraId="28E0DF2F" w14:textId="77777777" w:rsidTr="003F2F3D">
        <w:tc>
          <w:tcPr>
            <w:tcW w:w="1393" w:type="dxa"/>
            <w:vMerge/>
            <w:vAlign w:val="center"/>
          </w:tcPr>
          <w:p w14:paraId="4F80FDB7"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p>
        </w:tc>
        <w:tc>
          <w:tcPr>
            <w:tcW w:w="2004" w:type="dxa"/>
            <w:vAlign w:val="center"/>
          </w:tcPr>
          <w:p w14:paraId="22923E75" w14:textId="77777777" w:rsidR="00AE72C4" w:rsidRPr="0024482B" w:rsidRDefault="00AE72C4" w:rsidP="003F2F3D">
            <w:pPr>
              <w:spacing w:line="36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McKernan (2023)</w:t>
            </w:r>
          </w:p>
        </w:tc>
        <w:tc>
          <w:tcPr>
            <w:tcW w:w="1701" w:type="dxa"/>
            <w:vAlign w:val="center"/>
          </w:tcPr>
          <w:p w14:paraId="5F72D456"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0.89</w:t>
            </w:r>
          </w:p>
        </w:tc>
        <w:tc>
          <w:tcPr>
            <w:tcW w:w="1985" w:type="dxa"/>
            <w:vAlign w:val="center"/>
          </w:tcPr>
          <w:p w14:paraId="5348CC2B"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0.01</w:t>
            </w:r>
          </w:p>
        </w:tc>
        <w:tc>
          <w:tcPr>
            <w:tcW w:w="1984" w:type="dxa"/>
            <w:vAlign w:val="center"/>
          </w:tcPr>
          <w:p w14:paraId="2ACD812A"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0.87-0.91</w:t>
            </w:r>
          </w:p>
        </w:tc>
      </w:tr>
      <w:tr w:rsidR="0024482B" w:rsidRPr="0024482B" w14:paraId="72B7C4B5" w14:textId="77777777" w:rsidTr="003F2F3D">
        <w:tc>
          <w:tcPr>
            <w:tcW w:w="1393" w:type="dxa"/>
            <w:vMerge/>
            <w:vAlign w:val="center"/>
          </w:tcPr>
          <w:p w14:paraId="55DEC705"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p>
        </w:tc>
        <w:tc>
          <w:tcPr>
            <w:tcW w:w="2004" w:type="dxa"/>
            <w:vAlign w:val="center"/>
          </w:tcPr>
          <w:p w14:paraId="5E85E674" w14:textId="77777777" w:rsidR="00AE72C4" w:rsidRPr="0024482B" w:rsidRDefault="00AE72C4" w:rsidP="003F2F3D">
            <w:pPr>
              <w:spacing w:line="36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Nah (2018)</w:t>
            </w:r>
          </w:p>
        </w:tc>
        <w:tc>
          <w:tcPr>
            <w:tcW w:w="1701" w:type="dxa"/>
            <w:vAlign w:val="center"/>
          </w:tcPr>
          <w:p w14:paraId="51E6CF99"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0.83</w:t>
            </w:r>
          </w:p>
        </w:tc>
        <w:tc>
          <w:tcPr>
            <w:tcW w:w="1985" w:type="dxa"/>
            <w:vAlign w:val="center"/>
          </w:tcPr>
          <w:p w14:paraId="1EB70A29"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0.02</w:t>
            </w:r>
          </w:p>
        </w:tc>
        <w:tc>
          <w:tcPr>
            <w:tcW w:w="1984" w:type="dxa"/>
            <w:vAlign w:val="center"/>
          </w:tcPr>
          <w:p w14:paraId="6F0D77BF"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0.79-0.87</w:t>
            </w:r>
          </w:p>
        </w:tc>
      </w:tr>
      <w:tr w:rsidR="0024482B" w:rsidRPr="0024482B" w14:paraId="1130FE2B" w14:textId="77777777" w:rsidTr="003F2F3D">
        <w:tc>
          <w:tcPr>
            <w:tcW w:w="1393" w:type="dxa"/>
            <w:vMerge/>
            <w:vAlign w:val="center"/>
          </w:tcPr>
          <w:p w14:paraId="0F024A5E"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p>
        </w:tc>
        <w:tc>
          <w:tcPr>
            <w:tcW w:w="2004" w:type="dxa"/>
            <w:vAlign w:val="center"/>
          </w:tcPr>
          <w:p w14:paraId="65EBC04D" w14:textId="77777777" w:rsidR="00AE72C4" w:rsidRPr="0024482B" w:rsidRDefault="00AE72C4" w:rsidP="003F2F3D">
            <w:pPr>
              <w:spacing w:line="36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Park (2020)</w:t>
            </w:r>
          </w:p>
        </w:tc>
        <w:tc>
          <w:tcPr>
            <w:tcW w:w="1701" w:type="dxa"/>
            <w:vAlign w:val="center"/>
          </w:tcPr>
          <w:p w14:paraId="203D471B"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0.84</w:t>
            </w:r>
          </w:p>
        </w:tc>
        <w:tc>
          <w:tcPr>
            <w:tcW w:w="1985" w:type="dxa"/>
            <w:vAlign w:val="center"/>
          </w:tcPr>
          <w:p w14:paraId="69DD9752"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0.02</w:t>
            </w:r>
          </w:p>
        </w:tc>
        <w:tc>
          <w:tcPr>
            <w:tcW w:w="1984" w:type="dxa"/>
            <w:vAlign w:val="center"/>
          </w:tcPr>
          <w:p w14:paraId="75030DB0" w14:textId="77777777" w:rsidR="00AE72C4" w:rsidRPr="0024482B" w:rsidRDefault="00AE72C4" w:rsidP="003F2F3D">
            <w:pPr>
              <w:spacing w:line="360" w:lineRule="auto"/>
              <w:jc w:val="center"/>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0.8-0.88</w:t>
            </w:r>
          </w:p>
        </w:tc>
      </w:tr>
    </w:tbl>
    <w:p w14:paraId="1F937A62" w14:textId="77777777" w:rsidR="00AE72C4" w:rsidRPr="0024482B" w:rsidRDefault="00AE72C4" w:rsidP="00AE72C4">
      <w:pPr>
        <w:spacing w:line="48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Supplementary Materials C. Table of Study Level Effects for the GAD-7, LSAS, and DASS-21.</w:t>
      </w:r>
    </w:p>
    <w:p w14:paraId="77CAD55E" w14:textId="77777777" w:rsidR="00AE72C4" w:rsidRPr="0024482B" w:rsidRDefault="00AE72C4" w:rsidP="00AE72C4">
      <w:pPr>
        <w:spacing w:line="240" w:lineRule="auto"/>
        <w:rPr>
          <w:rFonts w:ascii="Times New Roman" w:hAnsi="Times New Roman" w:cs="Times New Roman"/>
          <w:color w:val="000000" w:themeColor="text1"/>
          <w:sz w:val="24"/>
          <w:szCs w:val="24"/>
        </w:rPr>
      </w:pPr>
    </w:p>
    <w:p w14:paraId="3B687A33" w14:textId="77777777" w:rsidR="00AE72C4" w:rsidRPr="0024482B" w:rsidRDefault="00AE72C4" w:rsidP="00AE72C4">
      <w:pPr>
        <w:spacing w:line="240" w:lineRule="auto"/>
        <w:rPr>
          <w:rFonts w:ascii="Times New Roman" w:hAnsi="Times New Roman" w:cs="Times New Roman"/>
          <w:color w:val="000000" w:themeColor="text1"/>
          <w:sz w:val="24"/>
          <w:szCs w:val="24"/>
        </w:rPr>
      </w:pPr>
    </w:p>
    <w:p w14:paraId="3224C487" w14:textId="77777777" w:rsidR="00AE72C4" w:rsidRPr="0024482B" w:rsidRDefault="00AE72C4" w:rsidP="00AE72C4">
      <w:pPr>
        <w:spacing w:line="240" w:lineRule="auto"/>
        <w:rPr>
          <w:rFonts w:ascii="Times New Roman" w:hAnsi="Times New Roman" w:cs="Times New Roman"/>
          <w:color w:val="000000" w:themeColor="text1"/>
          <w:sz w:val="24"/>
          <w:szCs w:val="24"/>
        </w:rPr>
      </w:pPr>
    </w:p>
    <w:p w14:paraId="47944C41" w14:textId="77777777" w:rsidR="00AE72C4" w:rsidRPr="0024482B" w:rsidRDefault="00AE72C4" w:rsidP="00AE72C4">
      <w:pPr>
        <w:spacing w:line="240" w:lineRule="auto"/>
        <w:rPr>
          <w:rFonts w:ascii="Times New Roman" w:hAnsi="Times New Roman" w:cs="Times New Roman"/>
          <w:color w:val="000000" w:themeColor="text1"/>
          <w:sz w:val="24"/>
          <w:szCs w:val="24"/>
        </w:rPr>
      </w:pPr>
    </w:p>
    <w:p w14:paraId="1F3E31F5" w14:textId="77777777" w:rsidR="00AE72C4" w:rsidRPr="0024482B" w:rsidRDefault="00AE72C4" w:rsidP="00AE72C4">
      <w:pPr>
        <w:spacing w:line="240" w:lineRule="auto"/>
        <w:rPr>
          <w:rFonts w:ascii="Times New Roman" w:hAnsi="Times New Roman" w:cs="Times New Roman"/>
          <w:color w:val="000000" w:themeColor="text1"/>
          <w:sz w:val="24"/>
          <w:szCs w:val="24"/>
        </w:rPr>
      </w:pPr>
    </w:p>
    <w:p w14:paraId="300F3D66" w14:textId="77777777" w:rsidR="00AE72C4" w:rsidRPr="0024482B" w:rsidRDefault="00AE72C4" w:rsidP="00AE72C4">
      <w:pPr>
        <w:spacing w:line="240" w:lineRule="auto"/>
        <w:rPr>
          <w:rFonts w:ascii="Times New Roman" w:hAnsi="Times New Roman" w:cs="Times New Roman"/>
          <w:color w:val="000000" w:themeColor="text1"/>
          <w:sz w:val="24"/>
          <w:szCs w:val="24"/>
        </w:rPr>
      </w:pPr>
    </w:p>
    <w:p w14:paraId="53B35123" w14:textId="77777777" w:rsidR="00AE72C4" w:rsidRPr="0024482B" w:rsidRDefault="00AE72C4" w:rsidP="00AE72C4">
      <w:pPr>
        <w:spacing w:line="240" w:lineRule="auto"/>
        <w:rPr>
          <w:rFonts w:ascii="Times New Roman" w:hAnsi="Times New Roman" w:cs="Times New Roman"/>
          <w:color w:val="000000" w:themeColor="text1"/>
          <w:sz w:val="24"/>
          <w:szCs w:val="24"/>
        </w:rPr>
      </w:pPr>
    </w:p>
    <w:p w14:paraId="213C98D0" w14:textId="77777777" w:rsidR="00AE72C4" w:rsidRPr="0024482B" w:rsidRDefault="00AE72C4" w:rsidP="00AE72C4">
      <w:pPr>
        <w:spacing w:line="240" w:lineRule="auto"/>
        <w:rPr>
          <w:rFonts w:ascii="Times New Roman" w:hAnsi="Times New Roman" w:cs="Times New Roman"/>
          <w:color w:val="000000" w:themeColor="text1"/>
          <w:sz w:val="24"/>
          <w:szCs w:val="24"/>
        </w:rPr>
      </w:pPr>
    </w:p>
    <w:p w14:paraId="2CBF2906" w14:textId="77777777" w:rsidR="00AE72C4" w:rsidRPr="0024482B" w:rsidRDefault="00AE72C4" w:rsidP="00AE72C4">
      <w:pPr>
        <w:spacing w:line="480" w:lineRule="auto"/>
        <w:rPr>
          <w:rFonts w:ascii="Times New Roman" w:hAnsi="Times New Roman" w:cs="Times New Roman"/>
          <w:color w:val="000000" w:themeColor="text1"/>
          <w:sz w:val="24"/>
          <w:szCs w:val="24"/>
        </w:rPr>
      </w:pPr>
    </w:p>
    <w:p w14:paraId="3C958D44" w14:textId="77777777" w:rsidR="00AE72C4" w:rsidRPr="0024482B" w:rsidRDefault="00AE72C4" w:rsidP="00AE72C4">
      <w:pPr>
        <w:pStyle w:val="Heading1"/>
        <w:spacing w:line="480" w:lineRule="auto"/>
        <w:rPr>
          <w:rFonts w:ascii="Times New Roman" w:hAnsi="Times New Roman" w:cs="Times New Roman"/>
          <w:b/>
          <w:bCs/>
          <w:color w:val="000000" w:themeColor="text1"/>
          <w:sz w:val="24"/>
          <w:szCs w:val="24"/>
        </w:rPr>
      </w:pPr>
      <w:bookmarkStart w:id="3" w:name="_Toc197433671"/>
      <w:r w:rsidRPr="0024482B">
        <w:rPr>
          <w:rFonts w:ascii="Times New Roman" w:hAnsi="Times New Roman" w:cs="Times New Roman"/>
          <w:b/>
          <w:bCs/>
          <w:color w:val="000000" w:themeColor="text1"/>
          <w:sz w:val="24"/>
          <w:szCs w:val="24"/>
        </w:rPr>
        <w:t xml:space="preserve">E.  </w:t>
      </w:r>
      <w:r w:rsidRPr="0024482B">
        <w:rPr>
          <w:rFonts w:ascii="Times New Roman" w:hAnsi="Times New Roman" w:cs="Times New Roman"/>
          <w:b/>
          <w:bCs/>
          <w:color w:val="000000" w:themeColor="text1"/>
          <w:sz w:val="24"/>
          <w:szCs w:val="24"/>
          <w:u w:val="single"/>
        </w:rPr>
        <w:t>Supplementary Analysis for GAD-7 and LSAS</w:t>
      </w:r>
      <w:bookmarkEnd w:id="3"/>
    </w:p>
    <w:p w14:paraId="50594B7C" w14:textId="77777777" w:rsidR="00AE72C4" w:rsidRPr="0024482B" w:rsidRDefault="00AE72C4" w:rsidP="00AE72C4">
      <w:pPr>
        <w:spacing w:line="48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GAD-7</w:t>
      </w:r>
    </w:p>
    <w:p w14:paraId="0CB1AF76" w14:textId="77777777" w:rsidR="00AE72C4" w:rsidRPr="0024482B" w:rsidRDefault="00AE72C4" w:rsidP="00AE72C4">
      <w:pPr>
        <w:spacing w:line="48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 xml:space="preserve">The ‘leave-one-out’ analysis showed that one study was disproportionately influential and discrepant with the rest of the literature: Mazurek (2013; see Figure 9). </w:t>
      </w:r>
    </w:p>
    <w:p w14:paraId="17A50C6C" w14:textId="77777777" w:rsidR="00AE72C4" w:rsidRPr="0024482B" w:rsidRDefault="00AE72C4" w:rsidP="00AE72C4">
      <w:pPr>
        <w:spacing w:line="480" w:lineRule="auto"/>
        <w:rPr>
          <w:rFonts w:ascii="Times New Roman" w:hAnsi="Times New Roman" w:cs="Times New Roman"/>
          <w:color w:val="000000" w:themeColor="text1"/>
          <w:sz w:val="24"/>
          <w:szCs w:val="24"/>
        </w:rPr>
      </w:pPr>
      <w:r w:rsidRPr="0024482B">
        <w:rPr>
          <w:rFonts w:ascii="Times New Roman" w:hAnsi="Times New Roman" w:cs="Times New Roman"/>
          <w:noProof/>
          <w:color w:val="000000" w:themeColor="text1"/>
          <w:sz w:val="24"/>
          <w:szCs w:val="24"/>
          <w:lang w:val="en-IN" w:eastAsia="en-IN"/>
        </w:rPr>
        <mc:AlternateContent>
          <mc:Choice Requires="wpg">
            <w:drawing>
              <wp:anchor distT="0" distB="0" distL="114300" distR="114300" simplePos="0" relativeHeight="251659264" behindDoc="0" locked="0" layoutInCell="1" allowOverlap="1" wp14:anchorId="10BDCFC7" wp14:editId="5CD8BFE3">
                <wp:simplePos x="0" y="0"/>
                <wp:positionH relativeFrom="margin">
                  <wp:align>right</wp:align>
                </wp:positionH>
                <wp:positionV relativeFrom="paragraph">
                  <wp:posOffset>14605</wp:posOffset>
                </wp:positionV>
                <wp:extent cx="5731510" cy="3479165"/>
                <wp:effectExtent l="0" t="0" r="2540" b="6985"/>
                <wp:wrapNone/>
                <wp:docPr id="476003805" name="Group 30"/>
                <wp:cNvGraphicFramePr/>
                <a:graphic xmlns:a="http://schemas.openxmlformats.org/drawingml/2006/main">
                  <a:graphicData uri="http://schemas.microsoft.com/office/word/2010/wordprocessingGroup">
                    <wpg:wgp>
                      <wpg:cNvGrpSpPr/>
                      <wpg:grpSpPr>
                        <a:xfrm>
                          <a:off x="0" y="0"/>
                          <a:ext cx="5731510" cy="3479165"/>
                          <a:chOff x="0" y="0"/>
                          <a:chExt cx="5731510" cy="3479165"/>
                        </a:xfrm>
                      </wpg:grpSpPr>
                      <pic:pic xmlns:pic="http://schemas.openxmlformats.org/drawingml/2006/picture">
                        <pic:nvPicPr>
                          <pic:cNvPr id="68019276" name="Picture 24" descr="Plot object"/>
                          <pic:cNvPicPr>
                            <a:picLocks noChangeAspect="1"/>
                          </pic:cNvPicPr>
                        </pic:nvPicPr>
                        <pic:blipFill rotWithShape="1">
                          <a:blip r:embed="rId10">
                            <a:extLst>
                              <a:ext uri="{28A0092B-C50C-407E-A947-70E740481C1C}">
                                <a14:useLocalDpi xmlns:a14="http://schemas.microsoft.com/office/drawing/2010/main" val="0"/>
                              </a:ext>
                            </a:extLst>
                          </a:blip>
                          <a:srcRect t="11443"/>
                          <a:stretch/>
                        </pic:blipFill>
                        <pic:spPr bwMode="auto">
                          <a:xfrm>
                            <a:off x="0" y="0"/>
                            <a:ext cx="5731510" cy="3479165"/>
                          </a:xfrm>
                          <a:prstGeom prst="rect">
                            <a:avLst/>
                          </a:prstGeom>
                          <a:noFill/>
                          <a:ln>
                            <a:noFill/>
                          </a:ln>
                          <a:extLst>
                            <a:ext uri="{53640926-AAD7-44D8-BBD7-CCE9431645EC}">
                              <a14:shadowObscured xmlns:a14="http://schemas.microsoft.com/office/drawing/2010/main"/>
                            </a:ext>
                          </a:extLst>
                        </pic:spPr>
                      </pic:pic>
                      <wps:wsp>
                        <wps:cNvPr id="561708682" name="Rectangle 25"/>
                        <wps:cNvSpPr/>
                        <wps:spPr>
                          <a:xfrm>
                            <a:off x="4876800" y="1152525"/>
                            <a:ext cx="594360" cy="746760"/>
                          </a:xfrm>
                          <a:prstGeom prst="rect">
                            <a:avLst/>
                          </a:prstGeom>
                          <a:solidFill>
                            <a:srgbClr val="4E95D9">
                              <a:alpha val="50196"/>
                            </a:srgbClr>
                          </a:solid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0E4232EB" id="Group 30" o:spid="_x0000_s1026" style="position:absolute;margin-left:400.1pt;margin-top:1.15pt;width:451.3pt;height:273.95pt;z-index:251659264;mso-position-horizontal:right;mso-position-horizontal-relative:margin" coordsize="57315,3479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&#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4" o:spid="_x0000_s1027" type="#_x0000_t75" alt="Plot object" style="position:absolute;width:57315;height:34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">
                  <v:imagedata r:id="rId11" o:title="Plot object" croptop="7499f"/>
                </v:shape>
                <v:rect id="Rectangle 25" o:spid="_x0000_s1028" style="position:absolute;left:48768;top:11525;width:5943;height:746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" fillcolor="#4e95d9" strokecolor="#4e95d9 [1631]" strokeweight="1pt">
                  <v:fill opacity="32896f"/>
                </v:rect>
                <w10:wrap anchorx="margin"/>
              </v:group>
            </w:pict>
          </mc:Fallback>
        </mc:AlternateContent>
      </w:r>
    </w:p>
    <w:p w14:paraId="31DA5ACF" w14:textId="77777777" w:rsidR="00AE72C4" w:rsidRPr="0024482B" w:rsidRDefault="00AE72C4" w:rsidP="00AE72C4">
      <w:pPr>
        <w:spacing w:line="480" w:lineRule="auto"/>
        <w:rPr>
          <w:rFonts w:ascii="Times New Roman" w:hAnsi="Times New Roman" w:cs="Times New Roman"/>
          <w:color w:val="000000" w:themeColor="text1"/>
          <w:sz w:val="24"/>
          <w:szCs w:val="24"/>
        </w:rPr>
      </w:pPr>
    </w:p>
    <w:p w14:paraId="20DA8D4B" w14:textId="77777777" w:rsidR="00AE72C4" w:rsidRPr="0024482B" w:rsidRDefault="00AE72C4" w:rsidP="00AE72C4">
      <w:pPr>
        <w:spacing w:line="480" w:lineRule="auto"/>
        <w:rPr>
          <w:rFonts w:ascii="Times New Roman" w:hAnsi="Times New Roman" w:cs="Times New Roman"/>
          <w:color w:val="000000" w:themeColor="text1"/>
          <w:sz w:val="24"/>
          <w:szCs w:val="24"/>
        </w:rPr>
      </w:pPr>
    </w:p>
    <w:p w14:paraId="7B6B44C5" w14:textId="77777777" w:rsidR="00AE72C4" w:rsidRPr="0024482B" w:rsidRDefault="00AE72C4" w:rsidP="00AE72C4">
      <w:pPr>
        <w:spacing w:line="480" w:lineRule="auto"/>
        <w:rPr>
          <w:rFonts w:ascii="Times New Roman" w:hAnsi="Times New Roman" w:cs="Times New Roman"/>
          <w:color w:val="000000" w:themeColor="text1"/>
          <w:sz w:val="24"/>
          <w:szCs w:val="24"/>
        </w:rPr>
      </w:pPr>
    </w:p>
    <w:p w14:paraId="5D3A2131" w14:textId="77777777" w:rsidR="00AE72C4" w:rsidRPr="0024482B" w:rsidRDefault="00AE72C4" w:rsidP="00AE72C4">
      <w:pPr>
        <w:spacing w:line="480" w:lineRule="auto"/>
        <w:rPr>
          <w:rFonts w:ascii="Times New Roman" w:hAnsi="Times New Roman" w:cs="Times New Roman"/>
          <w:color w:val="000000" w:themeColor="text1"/>
          <w:sz w:val="24"/>
          <w:szCs w:val="24"/>
        </w:rPr>
      </w:pPr>
    </w:p>
    <w:p w14:paraId="1A1836BC" w14:textId="77777777" w:rsidR="00AE72C4" w:rsidRPr="0024482B" w:rsidRDefault="00AE72C4" w:rsidP="00AE72C4">
      <w:pPr>
        <w:spacing w:line="480" w:lineRule="auto"/>
        <w:rPr>
          <w:rFonts w:ascii="Times New Roman" w:hAnsi="Times New Roman" w:cs="Times New Roman"/>
          <w:color w:val="000000" w:themeColor="text1"/>
          <w:sz w:val="24"/>
          <w:szCs w:val="24"/>
        </w:rPr>
      </w:pPr>
    </w:p>
    <w:p w14:paraId="2DF88D49" w14:textId="77777777" w:rsidR="00AE72C4" w:rsidRPr="0024482B" w:rsidRDefault="00AE72C4" w:rsidP="00AE72C4">
      <w:pPr>
        <w:spacing w:line="480" w:lineRule="auto"/>
        <w:rPr>
          <w:rFonts w:ascii="Times New Roman" w:hAnsi="Times New Roman" w:cs="Times New Roman"/>
          <w:color w:val="000000" w:themeColor="text1"/>
          <w:sz w:val="24"/>
          <w:szCs w:val="24"/>
        </w:rPr>
      </w:pPr>
    </w:p>
    <w:p w14:paraId="3350EBD5" w14:textId="77777777" w:rsidR="00AE72C4" w:rsidRPr="0024482B" w:rsidRDefault="00AE72C4" w:rsidP="00AE72C4">
      <w:pPr>
        <w:spacing w:line="480" w:lineRule="auto"/>
        <w:rPr>
          <w:rFonts w:ascii="Times New Roman" w:hAnsi="Times New Roman" w:cs="Times New Roman"/>
          <w:color w:val="000000" w:themeColor="text1"/>
          <w:sz w:val="24"/>
          <w:szCs w:val="24"/>
        </w:rPr>
      </w:pPr>
    </w:p>
    <w:p w14:paraId="42741AB4" w14:textId="77777777" w:rsidR="00AE72C4" w:rsidRPr="0024482B" w:rsidRDefault="00AE72C4" w:rsidP="00AE72C4">
      <w:pPr>
        <w:spacing w:line="48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The random effects model was recalculated with the study showing disproportionate influence removed. A corrected random effects model showed minimal to no differences, with a reported synthesis of α = .92 (95% CI 0.91-0.92), a 1% increase from the original calculation (see Figure 10).</w:t>
      </w:r>
    </w:p>
    <w:p w14:paraId="7B313A70" w14:textId="77777777" w:rsidR="00AE72C4" w:rsidRPr="0024482B" w:rsidRDefault="00AE72C4" w:rsidP="00AE72C4">
      <w:pPr>
        <w:spacing w:line="480" w:lineRule="auto"/>
        <w:rPr>
          <w:rFonts w:ascii="Times New Roman" w:hAnsi="Times New Roman" w:cs="Times New Roman"/>
          <w:color w:val="000000" w:themeColor="text1"/>
          <w:sz w:val="24"/>
          <w:szCs w:val="24"/>
        </w:rPr>
      </w:pPr>
      <w:r w:rsidRPr="0024482B">
        <w:rPr>
          <w:rFonts w:ascii="Times New Roman" w:hAnsi="Times New Roman" w:cs="Times New Roman"/>
          <w:noProof/>
          <w:color w:val="000000" w:themeColor="text1"/>
          <w:sz w:val="24"/>
          <w:szCs w:val="24"/>
          <w:lang w:val="en-IN" w:eastAsia="en-IN"/>
        </w:rPr>
        <w:lastRenderedPageBreak/>
        <w:drawing>
          <wp:anchor distT="0" distB="0" distL="114300" distR="114300" simplePos="0" relativeHeight="251661312" behindDoc="1" locked="0" layoutInCell="1" allowOverlap="1" wp14:anchorId="024642F5" wp14:editId="5C835C29">
            <wp:simplePos x="0" y="0"/>
            <wp:positionH relativeFrom="column">
              <wp:posOffset>0</wp:posOffset>
            </wp:positionH>
            <wp:positionV relativeFrom="paragraph">
              <wp:posOffset>0</wp:posOffset>
            </wp:positionV>
            <wp:extent cx="5752817" cy="3531870"/>
            <wp:effectExtent l="0" t="0" r="635" b="0"/>
            <wp:wrapTight wrapText="bothSides">
              <wp:wrapPolygon edited="0">
                <wp:start x="0" y="0"/>
                <wp:lineTo x="0" y="21437"/>
                <wp:lineTo x="21531" y="21437"/>
                <wp:lineTo x="21531" y="0"/>
                <wp:lineTo x="0" y="0"/>
              </wp:wrapPolygon>
            </wp:wrapTight>
            <wp:docPr id="1404412753" name="Picture 29"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lot object"/>
                    <pic:cNvPicPr>
                      <a:picLocks noChangeAspect="1" noChangeArrowheads="1"/>
                    </pic:cNvPicPr>
                  </pic:nvPicPr>
                  <pic:blipFill rotWithShape="1">
                    <a:blip r:embed="rId12">
                      <a:extLst>
                        <a:ext uri="{28A0092B-C50C-407E-A947-70E740481C1C}">
                          <a14:useLocalDpi xmlns:a14="http://schemas.microsoft.com/office/drawing/2010/main" val="0"/>
                        </a:ext>
                      </a:extLst>
                    </a:blip>
                    <a:srcRect t="10434"/>
                    <a:stretch/>
                  </pic:blipFill>
                  <pic:spPr bwMode="auto">
                    <a:xfrm>
                      <a:off x="0" y="0"/>
                      <a:ext cx="5752817" cy="3531870"/>
                    </a:xfrm>
                    <a:prstGeom prst="rect">
                      <a:avLst/>
                    </a:prstGeom>
                    <a:noFill/>
                    <a:ln>
                      <a:noFill/>
                    </a:ln>
                    <a:extLst>
                      <a:ext uri="{53640926-AAD7-44D8-BBD7-CCE9431645EC}">
                        <a14:shadowObscured xmlns:a14="http://schemas.microsoft.com/office/drawing/2010/main"/>
                      </a:ext>
                    </a:extLst>
                  </pic:spPr>
                </pic:pic>
              </a:graphicData>
            </a:graphic>
          </wp:anchor>
        </w:drawing>
      </w:r>
      <w:r w:rsidRPr="0024482B">
        <w:rPr>
          <w:rFonts w:ascii="Times New Roman" w:hAnsi="Times New Roman" w:cs="Times New Roman"/>
          <w:color w:val="000000" w:themeColor="text1"/>
          <w:sz w:val="24"/>
          <w:szCs w:val="24"/>
        </w:rPr>
        <w:t>LSAS</w:t>
      </w:r>
    </w:p>
    <w:p w14:paraId="2A9BCCBB" w14:textId="77777777" w:rsidR="00AE72C4" w:rsidRPr="0024482B" w:rsidRDefault="00AE72C4" w:rsidP="00AE72C4">
      <w:pPr>
        <w:spacing w:line="480" w:lineRule="auto"/>
        <w:rPr>
          <w:rFonts w:ascii="Times New Roman" w:hAnsi="Times New Roman" w:cs="Times New Roman"/>
          <w:color w:val="000000" w:themeColor="text1"/>
          <w:sz w:val="24"/>
          <w:szCs w:val="24"/>
        </w:rPr>
      </w:pPr>
      <w:r w:rsidRPr="0024482B">
        <w:rPr>
          <w:rFonts w:ascii="Times New Roman" w:hAnsi="Times New Roman" w:cs="Times New Roman"/>
          <w:noProof/>
          <w:color w:val="000000" w:themeColor="text1"/>
          <w:sz w:val="24"/>
          <w:szCs w:val="24"/>
          <w:lang w:val="en-IN" w:eastAsia="en-IN"/>
        </w:rPr>
        <mc:AlternateContent>
          <mc:Choice Requires="wpg">
            <w:drawing>
              <wp:anchor distT="0" distB="0" distL="114300" distR="114300" simplePos="0" relativeHeight="251660288" behindDoc="0" locked="0" layoutInCell="1" allowOverlap="1" wp14:anchorId="367382B7" wp14:editId="086A6D97">
                <wp:simplePos x="0" y="0"/>
                <wp:positionH relativeFrom="margin">
                  <wp:align>center</wp:align>
                </wp:positionH>
                <wp:positionV relativeFrom="paragraph">
                  <wp:posOffset>705485</wp:posOffset>
                </wp:positionV>
                <wp:extent cx="5410200" cy="3312795"/>
                <wp:effectExtent l="0" t="0" r="0" b="1905"/>
                <wp:wrapNone/>
                <wp:docPr id="1714403157" name="Group 31"/>
                <wp:cNvGraphicFramePr/>
                <a:graphic xmlns:a="http://schemas.openxmlformats.org/drawingml/2006/main">
                  <a:graphicData uri="http://schemas.microsoft.com/office/word/2010/wordprocessingGroup">
                    <wpg:wgp>
                      <wpg:cNvGrpSpPr/>
                      <wpg:grpSpPr>
                        <a:xfrm>
                          <a:off x="0" y="0"/>
                          <a:ext cx="5410200" cy="3312795"/>
                          <a:chOff x="0" y="0"/>
                          <a:chExt cx="5410200" cy="3312795"/>
                        </a:xfrm>
                      </wpg:grpSpPr>
                      <pic:pic xmlns:pic="http://schemas.openxmlformats.org/drawingml/2006/picture">
                        <pic:nvPicPr>
                          <pic:cNvPr id="1722735412" name="Picture 26" descr="Plot object"/>
                          <pic:cNvPicPr>
                            <a:picLocks noChangeAspect="1"/>
                          </pic:cNvPicPr>
                        </pic:nvPicPr>
                        <pic:blipFill rotWithShape="1">
                          <a:blip r:embed="rId13">
                            <a:extLst>
                              <a:ext uri="{28A0092B-C50C-407E-A947-70E740481C1C}">
                                <a14:useLocalDpi xmlns:a14="http://schemas.microsoft.com/office/drawing/2010/main" val="0"/>
                              </a:ext>
                            </a:extLst>
                          </a:blip>
                          <a:srcRect t="10668"/>
                          <a:stretch/>
                        </pic:blipFill>
                        <pic:spPr bwMode="auto">
                          <a:xfrm>
                            <a:off x="0" y="0"/>
                            <a:ext cx="5410200" cy="3312795"/>
                          </a:xfrm>
                          <a:prstGeom prst="rect">
                            <a:avLst/>
                          </a:prstGeom>
                          <a:noFill/>
                          <a:ln>
                            <a:noFill/>
                          </a:ln>
                          <a:extLst>
                            <a:ext uri="{53640926-AAD7-44D8-BBD7-CCE9431645EC}">
                              <a14:shadowObscured xmlns:a14="http://schemas.microsoft.com/office/drawing/2010/main"/>
                            </a:ext>
                          </a:extLst>
                        </pic:spPr>
                      </pic:pic>
                      <wps:wsp>
                        <wps:cNvPr id="1308227477" name="Rectangle 25"/>
                        <wps:cNvSpPr/>
                        <wps:spPr>
                          <a:xfrm>
                            <a:off x="4333875" y="57150"/>
                            <a:ext cx="857250" cy="419100"/>
                          </a:xfrm>
                          <a:prstGeom prst="rect">
                            <a:avLst/>
                          </a:prstGeom>
                          <a:solidFill>
                            <a:srgbClr val="4E95D9">
                              <a:alpha val="50196"/>
                            </a:srgbClr>
                          </a:solidFill>
                          <a:ln>
                            <a:solidFill>
                              <a:schemeClr val="tx2">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665033C0" id="Group 31" o:spid="_x0000_s1026" style="position:absolute;margin-left:0;margin-top:55.55pt;width:426pt;height:260.85pt;z-index:251660288;mso-position-horizontal:center;mso-position-horizontal-relative:margin" coordsize="54102,331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">
                <v:shape id="Picture 26" o:spid="_x0000_s1027" type="#_x0000_t75" alt="Plot object" style="position:absolute;width:54102;height:33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">
                  <v:imagedata r:id="rId14" o:title="Plot object" croptop="6991f"/>
                </v:shape>
                <v:rect id="Rectangle 25" o:spid="_x0000_s1028" style="position:absolute;left:43338;top:571;width:8573;height:4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" fillcolor="#4e95d9" strokecolor="#4e95d9 [1631]" strokeweight="1pt">
                  <v:fill opacity="32896f"/>
                </v:rect>
                <w10:wrap anchorx="margin"/>
              </v:group>
            </w:pict>
          </mc:Fallback>
        </mc:AlternateContent>
      </w:r>
      <w:r w:rsidRPr="0024482B">
        <w:rPr>
          <w:rFonts w:ascii="Times New Roman" w:hAnsi="Times New Roman" w:cs="Times New Roman"/>
          <w:color w:val="000000" w:themeColor="text1"/>
          <w:sz w:val="24"/>
          <w:szCs w:val="24"/>
        </w:rPr>
        <w:t xml:space="preserve">The ‘leave-one-out’ analysis showed that two studies were disproportionately influential and discrepant with the bulk of the literature: </w:t>
      </w:r>
      <w:proofErr w:type="spellStart"/>
      <w:r w:rsidRPr="0024482B">
        <w:rPr>
          <w:rFonts w:ascii="Times New Roman" w:hAnsi="Times New Roman" w:cs="Times New Roman"/>
          <w:color w:val="000000" w:themeColor="text1"/>
          <w:sz w:val="24"/>
          <w:szCs w:val="24"/>
        </w:rPr>
        <w:t>Bowri</w:t>
      </w:r>
      <w:proofErr w:type="spellEnd"/>
      <w:r w:rsidRPr="0024482B">
        <w:rPr>
          <w:rFonts w:ascii="Times New Roman" w:hAnsi="Times New Roman" w:cs="Times New Roman"/>
          <w:color w:val="000000" w:themeColor="text1"/>
          <w:sz w:val="24"/>
          <w:szCs w:val="24"/>
        </w:rPr>
        <w:t xml:space="preserve"> (2021) and Hull (2019; see Figure 11).</w:t>
      </w:r>
    </w:p>
    <w:p w14:paraId="3609E718" w14:textId="77777777" w:rsidR="00AE72C4" w:rsidRPr="0024482B" w:rsidRDefault="00AE72C4" w:rsidP="00AE72C4">
      <w:pPr>
        <w:spacing w:line="480" w:lineRule="auto"/>
        <w:jc w:val="center"/>
        <w:rPr>
          <w:rFonts w:ascii="Times New Roman" w:hAnsi="Times New Roman" w:cs="Times New Roman"/>
          <w:color w:val="000000" w:themeColor="text1"/>
          <w:sz w:val="24"/>
          <w:szCs w:val="24"/>
        </w:rPr>
      </w:pPr>
    </w:p>
    <w:p w14:paraId="34F3504C" w14:textId="77777777" w:rsidR="00AE72C4" w:rsidRPr="0024482B" w:rsidRDefault="00AE72C4" w:rsidP="00AE72C4">
      <w:pPr>
        <w:spacing w:line="48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The random effects model was recalculated with the four studies showing disproportionate influence removed (see Figure 11). A corrected random effects model showed minimal to no differences, with a reported synthesis of α=.97 (95% CI 96.5-97.09%), the same as the original calculation.</w:t>
      </w:r>
    </w:p>
    <w:p w14:paraId="755C3F82" w14:textId="77777777" w:rsidR="00AE72C4" w:rsidRPr="0024482B" w:rsidRDefault="00AE72C4" w:rsidP="00AE72C4">
      <w:pPr>
        <w:spacing w:line="480" w:lineRule="auto"/>
        <w:jc w:val="center"/>
        <w:rPr>
          <w:rFonts w:ascii="Times New Roman" w:hAnsi="Times New Roman" w:cs="Times New Roman"/>
          <w:color w:val="000000" w:themeColor="text1"/>
          <w:sz w:val="24"/>
          <w:szCs w:val="24"/>
        </w:rPr>
      </w:pPr>
    </w:p>
    <w:p w14:paraId="6EFD5E80" w14:textId="77777777" w:rsidR="00AE72C4" w:rsidRPr="0024482B" w:rsidRDefault="00AE72C4" w:rsidP="00AE72C4">
      <w:pPr>
        <w:spacing w:line="480" w:lineRule="auto"/>
        <w:jc w:val="center"/>
        <w:rPr>
          <w:rFonts w:ascii="Times New Roman" w:hAnsi="Times New Roman" w:cs="Times New Roman"/>
          <w:color w:val="000000" w:themeColor="text1"/>
          <w:sz w:val="24"/>
          <w:szCs w:val="24"/>
        </w:rPr>
      </w:pPr>
    </w:p>
    <w:p w14:paraId="091F5382" w14:textId="77777777" w:rsidR="00AE72C4" w:rsidRPr="0024482B" w:rsidRDefault="00AE72C4" w:rsidP="00AE72C4">
      <w:pPr>
        <w:spacing w:line="480" w:lineRule="auto"/>
        <w:jc w:val="center"/>
        <w:rPr>
          <w:rFonts w:ascii="Times New Roman" w:hAnsi="Times New Roman" w:cs="Times New Roman"/>
          <w:color w:val="000000" w:themeColor="text1"/>
          <w:sz w:val="24"/>
          <w:szCs w:val="24"/>
        </w:rPr>
      </w:pPr>
    </w:p>
    <w:p w14:paraId="11D35136" w14:textId="77777777" w:rsidR="00AE72C4" w:rsidRPr="0024482B" w:rsidRDefault="00AE72C4" w:rsidP="00AE72C4">
      <w:pPr>
        <w:pStyle w:val="Heading1"/>
        <w:spacing w:line="480" w:lineRule="auto"/>
        <w:rPr>
          <w:rFonts w:ascii="Times New Roman" w:hAnsi="Times New Roman" w:cs="Times New Roman"/>
          <w:b/>
          <w:bCs/>
          <w:color w:val="000000" w:themeColor="text1"/>
          <w:sz w:val="24"/>
          <w:szCs w:val="24"/>
        </w:rPr>
      </w:pPr>
      <w:bookmarkStart w:id="4" w:name="_Toc197433672"/>
      <w:r w:rsidRPr="0024482B">
        <w:rPr>
          <w:rFonts w:ascii="Times New Roman" w:hAnsi="Times New Roman" w:cs="Times New Roman"/>
          <w:b/>
          <w:bCs/>
          <w:color w:val="000000" w:themeColor="text1"/>
          <w:sz w:val="24"/>
          <w:szCs w:val="24"/>
        </w:rPr>
        <w:lastRenderedPageBreak/>
        <w:t xml:space="preserve">F.  </w:t>
      </w:r>
      <w:r w:rsidRPr="0024482B">
        <w:rPr>
          <w:rFonts w:ascii="Times New Roman" w:hAnsi="Times New Roman" w:cs="Times New Roman"/>
          <w:b/>
          <w:bCs/>
          <w:color w:val="000000" w:themeColor="text1"/>
          <w:sz w:val="24"/>
          <w:szCs w:val="24"/>
          <w:u w:val="single"/>
        </w:rPr>
        <w:t>Sensitivity Analysis using ABT Values (Bonett, 2002)</w:t>
      </w:r>
      <w:bookmarkEnd w:id="4"/>
    </w:p>
    <w:p w14:paraId="72DF33D2" w14:textId="77777777" w:rsidR="00AE72C4" w:rsidRPr="0024482B" w:rsidRDefault="00AE72C4" w:rsidP="00AE72C4">
      <w:pPr>
        <w:spacing w:line="48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Compared to the raw alpha values which had 17.8% heterogeneity, the transformed values showed slightly higher heterogeneity. However, it remained at an acceptable level. The back-transformed confidence intervals were between 0.91-0.92, the same as the raw alpha values.</w:t>
      </w:r>
    </w:p>
    <w:p w14:paraId="77D3E9C2" w14:textId="77777777" w:rsidR="00AE72C4" w:rsidRPr="0024482B" w:rsidRDefault="00AE72C4" w:rsidP="00AE72C4">
      <w:pPr>
        <w:spacing w:line="480" w:lineRule="auto"/>
        <w:rPr>
          <w:rFonts w:ascii="Times New Roman" w:hAnsi="Times New Roman" w:cs="Times New Roman"/>
          <w:color w:val="000000" w:themeColor="text1"/>
          <w:sz w:val="24"/>
          <w:szCs w:val="24"/>
        </w:rPr>
      </w:pPr>
      <w:r w:rsidRPr="0024482B">
        <w:rPr>
          <w:rFonts w:ascii="Times New Roman" w:hAnsi="Times New Roman" w:cs="Times New Roman"/>
          <w:noProof/>
          <w:color w:val="000000" w:themeColor="text1"/>
          <w:sz w:val="24"/>
          <w:szCs w:val="24"/>
          <w:lang w:val="en-IN" w:eastAsia="en-IN"/>
        </w:rPr>
        <w:drawing>
          <wp:inline distT="0" distB="0" distL="0" distR="0" wp14:anchorId="75FAFBCA" wp14:editId="389A6E97">
            <wp:extent cx="5722620" cy="1839414"/>
            <wp:effectExtent l="0" t="0" r="0" b="8890"/>
            <wp:docPr id="1913590181" name="Picture 1"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t object"/>
                    <pic:cNvPicPr>
                      <a:picLocks noChangeAspect="1" noChangeArrowheads="1"/>
                    </pic:cNvPicPr>
                  </pic:nvPicPr>
                  <pic:blipFill rotWithShape="1">
                    <a:blip r:embed="rId15">
                      <a:extLst>
                        <a:ext uri="{28A0092B-C50C-407E-A947-70E740481C1C}">
                          <a14:useLocalDpi xmlns:a14="http://schemas.microsoft.com/office/drawing/2010/main" val="0"/>
                        </a:ext>
                      </a:extLst>
                    </a:blip>
                    <a:srcRect l="16485" t="26309" r="16508" b="26334"/>
                    <a:stretch/>
                  </pic:blipFill>
                  <pic:spPr bwMode="auto">
                    <a:xfrm>
                      <a:off x="0" y="0"/>
                      <a:ext cx="5739477" cy="1844832"/>
                    </a:xfrm>
                    <a:prstGeom prst="rect">
                      <a:avLst/>
                    </a:prstGeom>
                    <a:noFill/>
                    <a:ln>
                      <a:noFill/>
                    </a:ln>
                    <a:extLst>
                      <a:ext uri="{53640926-AAD7-44D8-BBD7-CCE9431645EC}">
                        <a14:shadowObscured xmlns:a14="http://schemas.microsoft.com/office/drawing/2010/main"/>
                      </a:ext>
                    </a:extLst>
                  </pic:spPr>
                </pic:pic>
              </a:graphicData>
            </a:graphic>
          </wp:inline>
        </w:drawing>
      </w:r>
    </w:p>
    <w:p w14:paraId="17BBBC07" w14:textId="77777777" w:rsidR="00AE72C4" w:rsidRPr="0024482B" w:rsidRDefault="00AE72C4" w:rsidP="00AE72C4">
      <w:pPr>
        <w:spacing w:line="48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There was a difference of 1.1% in heterogeneity compared to the raw alpha values, with the transformed values still falling at an acceptable level. Similar to the GAD-7, the back-transformed confidence intervals (0.96-0.97) were the same as those for the raw alpha values.</w:t>
      </w:r>
    </w:p>
    <w:p w14:paraId="18291876" w14:textId="77777777" w:rsidR="00AE72C4" w:rsidRPr="0024482B" w:rsidRDefault="00AE72C4" w:rsidP="00AE72C4">
      <w:pPr>
        <w:spacing w:line="480" w:lineRule="auto"/>
        <w:rPr>
          <w:rFonts w:ascii="Times New Roman" w:hAnsi="Times New Roman" w:cs="Times New Roman"/>
          <w:color w:val="000000" w:themeColor="text1"/>
          <w:sz w:val="24"/>
          <w:szCs w:val="24"/>
        </w:rPr>
      </w:pPr>
      <w:r w:rsidRPr="0024482B">
        <w:rPr>
          <w:rFonts w:ascii="Times New Roman" w:hAnsi="Times New Roman" w:cs="Times New Roman"/>
          <w:noProof/>
          <w:color w:val="000000" w:themeColor="text1"/>
          <w:sz w:val="24"/>
          <w:szCs w:val="24"/>
          <w:lang w:val="en-IN" w:eastAsia="en-IN"/>
        </w:rPr>
        <w:drawing>
          <wp:inline distT="0" distB="0" distL="0" distR="0" wp14:anchorId="17917A96" wp14:editId="43189D44">
            <wp:extent cx="5554133" cy="1722228"/>
            <wp:effectExtent l="0" t="0" r="8890" b="0"/>
            <wp:docPr id="1732068942" name="Picture 27"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ot object"/>
                    <pic:cNvPicPr>
                      <a:picLocks noChangeAspect="1" noChangeArrowheads="1"/>
                    </pic:cNvPicPr>
                  </pic:nvPicPr>
                  <pic:blipFill rotWithShape="1">
                    <a:blip r:embed="rId16">
                      <a:extLst>
                        <a:ext uri="{28A0092B-C50C-407E-A947-70E740481C1C}">
                          <a14:useLocalDpi xmlns:a14="http://schemas.microsoft.com/office/drawing/2010/main" val="0"/>
                        </a:ext>
                      </a:extLst>
                    </a:blip>
                    <a:srcRect l="15512" t="25997" r="14903" b="26537"/>
                    <a:stretch/>
                  </pic:blipFill>
                  <pic:spPr bwMode="auto">
                    <a:xfrm>
                      <a:off x="0" y="0"/>
                      <a:ext cx="5593434" cy="1734414"/>
                    </a:xfrm>
                    <a:prstGeom prst="rect">
                      <a:avLst/>
                    </a:prstGeom>
                    <a:noFill/>
                    <a:ln>
                      <a:noFill/>
                    </a:ln>
                    <a:extLst>
                      <a:ext uri="{53640926-AAD7-44D8-BBD7-CCE9431645EC}">
                        <a14:shadowObscured xmlns:a14="http://schemas.microsoft.com/office/drawing/2010/main"/>
                      </a:ext>
                    </a:extLst>
                  </pic:spPr>
                </pic:pic>
              </a:graphicData>
            </a:graphic>
          </wp:inline>
        </w:drawing>
      </w:r>
    </w:p>
    <w:p w14:paraId="7B9C1804" w14:textId="77777777" w:rsidR="00AE72C4" w:rsidRPr="0024482B" w:rsidRDefault="00AE72C4" w:rsidP="00AE72C4">
      <w:pPr>
        <w:spacing w:line="480" w:lineRule="auto"/>
        <w:rPr>
          <w:rFonts w:ascii="Times New Roman" w:hAnsi="Times New Roman" w:cs="Times New Roman"/>
          <w:color w:val="000000" w:themeColor="text1"/>
          <w:sz w:val="24"/>
          <w:szCs w:val="24"/>
        </w:rPr>
      </w:pPr>
      <w:r w:rsidRPr="0024482B">
        <w:rPr>
          <w:rFonts w:ascii="Times New Roman" w:hAnsi="Times New Roman" w:cs="Times New Roman"/>
          <w:color w:val="000000" w:themeColor="text1"/>
          <w:sz w:val="24"/>
          <w:szCs w:val="24"/>
        </w:rPr>
        <w:t>The heterogeneity is the same as raw alpha values, for which a further analysis has been carried out. The back-transformed confidence intervals were 0.80-0.92, which was a slightly smaller lower confidence interval than for the raw alpha values (0.83-0.92).</w:t>
      </w:r>
    </w:p>
    <w:p w14:paraId="2E5257A7" w14:textId="77777777" w:rsidR="00AE72C4" w:rsidRPr="0024482B" w:rsidRDefault="00AE72C4" w:rsidP="00AE72C4">
      <w:pPr>
        <w:spacing w:line="480" w:lineRule="auto"/>
        <w:ind w:left="720" w:hanging="720"/>
        <w:jc w:val="center"/>
        <w:rPr>
          <w:rFonts w:ascii="Times New Roman" w:hAnsi="Times New Roman" w:cs="Times New Roman"/>
          <w:color w:val="000000" w:themeColor="text1"/>
          <w:sz w:val="24"/>
          <w:szCs w:val="24"/>
        </w:rPr>
      </w:pPr>
      <w:r w:rsidRPr="0024482B">
        <w:rPr>
          <w:rFonts w:ascii="Times New Roman" w:hAnsi="Times New Roman" w:cs="Times New Roman"/>
          <w:noProof/>
          <w:color w:val="000000" w:themeColor="text1"/>
          <w:sz w:val="24"/>
          <w:szCs w:val="24"/>
          <w:lang w:val="en-IN" w:eastAsia="en-IN"/>
        </w:rPr>
        <w:lastRenderedPageBreak/>
        <w:drawing>
          <wp:inline distT="0" distB="0" distL="0" distR="0" wp14:anchorId="22560C34" wp14:editId="5A1ED9D7">
            <wp:extent cx="5630107" cy="1592580"/>
            <wp:effectExtent l="0" t="0" r="8890" b="7620"/>
            <wp:docPr id="1054318607" name="Picture 3" descr="Plo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ot object"/>
                    <pic:cNvPicPr>
                      <a:picLocks noChangeAspect="1" noChangeArrowheads="1"/>
                    </pic:cNvPicPr>
                  </pic:nvPicPr>
                  <pic:blipFill rotWithShape="1">
                    <a:blip r:embed="rId17">
                      <a:extLst>
                        <a:ext uri="{28A0092B-C50C-407E-A947-70E740481C1C}">
                          <a14:useLocalDpi xmlns:a14="http://schemas.microsoft.com/office/drawing/2010/main" val="0"/>
                        </a:ext>
                      </a:extLst>
                    </a:blip>
                    <a:srcRect l="16751" t="29818" r="16508" b="28672"/>
                    <a:stretch/>
                  </pic:blipFill>
                  <pic:spPr bwMode="auto">
                    <a:xfrm>
                      <a:off x="0" y="0"/>
                      <a:ext cx="5638778" cy="1595033"/>
                    </a:xfrm>
                    <a:prstGeom prst="rect">
                      <a:avLst/>
                    </a:prstGeom>
                    <a:noFill/>
                    <a:ln>
                      <a:noFill/>
                    </a:ln>
                    <a:extLst>
                      <a:ext uri="{53640926-AAD7-44D8-BBD7-CCE9431645EC}">
                        <a14:shadowObscured xmlns:a14="http://schemas.microsoft.com/office/drawing/2010/main"/>
                      </a:ext>
                    </a:extLst>
                  </pic:spPr>
                </pic:pic>
              </a:graphicData>
            </a:graphic>
          </wp:inline>
        </w:drawing>
      </w:r>
    </w:p>
    <w:p w14:paraId="76A2EA01" w14:textId="77777777" w:rsidR="00632DEE" w:rsidRPr="0024482B" w:rsidRDefault="00632DEE">
      <w:pPr>
        <w:rPr>
          <w:color w:val="000000" w:themeColor="text1"/>
        </w:rPr>
      </w:pPr>
    </w:p>
    <w:sectPr w:rsidR="00632DEE" w:rsidRPr="0024482B" w:rsidSect="0024482B">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51720"/>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4F3F7E"/>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342EC9"/>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AA92DEA"/>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39C00D4"/>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A0B445B"/>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E5254B9"/>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F68062E"/>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12408D3"/>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1893432"/>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8C35D5"/>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B947B8"/>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344FD5"/>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ECF7B64"/>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2594374"/>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3237835"/>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700E43"/>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5540C5D"/>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AAF0FF5"/>
    <w:multiLevelType w:val="hybridMultilevel"/>
    <w:tmpl w:val="9ED032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DE777E3"/>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F0727D8"/>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23E0ACF"/>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5047A62"/>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47420156"/>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9D2654"/>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4BF11855"/>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C73913"/>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4F7A44A9"/>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1130593"/>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1EB79FD"/>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365B00"/>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4B27AB6"/>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61362B2"/>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77F5CB7"/>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58462B4B"/>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5B7D1FA8"/>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60A564F"/>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665C26F3"/>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67050A3A"/>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E88208A"/>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3CA6D27"/>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71B10AE"/>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A501ECC"/>
    <w:multiLevelType w:val="multilevel"/>
    <w:tmpl w:val="EB56D5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7B787513"/>
    <w:multiLevelType w:val="hybridMultilevel"/>
    <w:tmpl w:val="99A27B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39"/>
  </w:num>
  <w:num w:numId="3">
    <w:abstractNumId w:val="6"/>
  </w:num>
  <w:num w:numId="4">
    <w:abstractNumId w:val="37"/>
  </w:num>
  <w:num w:numId="5">
    <w:abstractNumId w:val="17"/>
  </w:num>
  <w:num w:numId="6">
    <w:abstractNumId w:val="38"/>
  </w:num>
  <w:num w:numId="7">
    <w:abstractNumId w:val="31"/>
  </w:num>
  <w:num w:numId="8">
    <w:abstractNumId w:val="12"/>
  </w:num>
  <w:num w:numId="9">
    <w:abstractNumId w:val="5"/>
  </w:num>
  <w:num w:numId="10">
    <w:abstractNumId w:val="42"/>
  </w:num>
  <w:num w:numId="11">
    <w:abstractNumId w:val="27"/>
  </w:num>
  <w:num w:numId="12">
    <w:abstractNumId w:val="11"/>
  </w:num>
  <w:num w:numId="13">
    <w:abstractNumId w:val="32"/>
  </w:num>
  <w:num w:numId="14">
    <w:abstractNumId w:val="9"/>
  </w:num>
  <w:num w:numId="15">
    <w:abstractNumId w:val="25"/>
  </w:num>
  <w:num w:numId="16">
    <w:abstractNumId w:val="2"/>
  </w:num>
  <w:num w:numId="17">
    <w:abstractNumId w:val="28"/>
  </w:num>
  <w:num w:numId="18">
    <w:abstractNumId w:val="34"/>
  </w:num>
  <w:num w:numId="19">
    <w:abstractNumId w:val="13"/>
  </w:num>
  <w:num w:numId="20">
    <w:abstractNumId w:val="40"/>
  </w:num>
  <w:num w:numId="21">
    <w:abstractNumId w:val="16"/>
  </w:num>
  <w:num w:numId="22">
    <w:abstractNumId w:val="35"/>
  </w:num>
  <w:num w:numId="23">
    <w:abstractNumId w:val="41"/>
  </w:num>
  <w:num w:numId="24">
    <w:abstractNumId w:val="1"/>
  </w:num>
  <w:num w:numId="25">
    <w:abstractNumId w:val="22"/>
  </w:num>
  <w:num w:numId="26">
    <w:abstractNumId w:val="14"/>
  </w:num>
  <w:num w:numId="27">
    <w:abstractNumId w:val="24"/>
  </w:num>
  <w:num w:numId="28">
    <w:abstractNumId w:val="8"/>
  </w:num>
  <w:num w:numId="29">
    <w:abstractNumId w:val="26"/>
  </w:num>
  <w:num w:numId="30">
    <w:abstractNumId w:val="3"/>
  </w:num>
  <w:num w:numId="31">
    <w:abstractNumId w:val="29"/>
  </w:num>
  <w:num w:numId="32">
    <w:abstractNumId w:val="30"/>
  </w:num>
  <w:num w:numId="33">
    <w:abstractNumId w:val="10"/>
  </w:num>
  <w:num w:numId="34">
    <w:abstractNumId w:val="21"/>
  </w:num>
  <w:num w:numId="35">
    <w:abstractNumId w:val="33"/>
  </w:num>
  <w:num w:numId="36">
    <w:abstractNumId w:val="23"/>
  </w:num>
  <w:num w:numId="37">
    <w:abstractNumId w:val="15"/>
  </w:num>
  <w:num w:numId="38">
    <w:abstractNumId w:val="20"/>
  </w:num>
  <w:num w:numId="39">
    <w:abstractNumId w:val="7"/>
  </w:num>
  <w:num w:numId="40">
    <w:abstractNumId w:val="19"/>
  </w:num>
  <w:num w:numId="41">
    <w:abstractNumId w:val="36"/>
  </w:num>
  <w:num w:numId="42">
    <w:abstractNumId w:val="4"/>
  </w:num>
  <w:num w:numId="43">
    <w:abstractNumId w:val="18"/>
  </w:num>
  <w:num w:numId="44">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2C4"/>
    <w:rsid w:val="0024482B"/>
    <w:rsid w:val="002C3AA1"/>
    <w:rsid w:val="00632DEE"/>
    <w:rsid w:val="00AE72C4"/>
    <w:rsid w:val="00C373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1C53B"/>
  <w15:chartTrackingRefBased/>
  <w15:docId w15:val="{503EBF95-2879-4445-AB6D-96493D0CD5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E72C4"/>
  </w:style>
  <w:style w:type="paragraph" w:styleId="Heading1">
    <w:name w:val="heading 1"/>
    <w:basedOn w:val="Normal"/>
    <w:next w:val="Normal"/>
    <w:link w:val="Heading1Char"/>
    <w:uiPriority w:val="9"/>
    <w:qFormat/>
    <w:rsid w:val="00AE72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E72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E72C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E72C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AE72C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72C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72C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72C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72C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72C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E72C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E72C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E72C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AE72C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72C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72C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72C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72C4"/>
    <w:rPr>
      <w:rFonts w:eastAsiaTheme="majorEastAsia" w:cstheme="majorBidi"/>
      <w:color w:val="272727" w:themeColor="text1" w:themeTint="D8"/>
    </w:rPr>
  </w:style>
  <w:style w:type="paragraph" w:styleId="Title">
    <w:name w:val="Title"/>
    <w:basedOn w:val="Normal"/>
    <w:next w:val="Normal"/>
    <w:link w:val="TitleChar"/>
    <w:uiPriority w:val="10"/>
    <w:qFormat/>
    <w:rsid w:val="00AE72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72C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72C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72C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72C4"/>
    <w:pPr>
      <w:spacing w:before="160"/>
      <w:jc w:val="center"/>
    </w:pPr>
    <w:rPr>
      <w:i/>
      <w:iCs/>
      <w:color w:val="404040" w:themeColor="text1" w:themeTint="BF"/>
    </w:rPr>
  </w:style>
  <w:style w:type="character" w:customStyle="1" w:styleId="QuoteChar">
    <w:name w:val="Quote Char"/>
    <w:basedOn w:val="DefaultParagraphFont"/>
    <w:link w:val="Quote"/>
    <w:uiPriority w:val="29"/>
    <w:rsid w:val="00AE72C4"/>
    <w:rPr>
      <w:i/>
      <w:iCs/>
      <w:color w:val="404040" w:themeColor="text1" w:themeTint="BF"/>
    </w:rPr>
  </w:style>
  <w:style w:type="paragraph" w:styleId="ListParagraph">
    <w:name w:val="List Paragraph"/>
    <w:basedOn w:val="Normal"/>
    <w:uiPriority w:val="34"/>
    <w:qFormat/>
    <w:rsid w:val="00AE72C4"/>
    <w:pPr>
      <w:ind w:left="720"/>
      <w:contextualSpacing/>
    </w:pPr>
  </w:style>
  <w:style w:type="character" w:styleId="IntenseEmphasis">
    <w:name w:val="Intense Emphasis"/>
    <w:basedOn w:val="DefaultParagraphFont"/>
    <w:uiPriority w:val="21"/>
    <w:qFormat/>
    <w:rsid w:val="00AE72C4"/>
    <w:rPr>
      <w:i/>
      <w:iCs/>
      <w:color w:val="0F4761" w:themeColor="accent1" w:themeShade="BF"/>
    </w:rPr>
  </w:style>
  <w:style w:type="paragraph" w:styleId="IntenseQuote">
    <w:name w:val="Intense Quote"/>
    <w:basedOn w:val="Normal"/>
    <w:next w:val="Normal"/>
    <w:link w:val="IntenseQuoteChar"/>
    <w:uiPriority w:val="30"/>
    <w:qFormat/>
    <w:rsid w:val="00AE72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72C4"/>
    <w:rPr>
      <w:i/>
      <w:iCs/>
      <w:color w:val="0F4761" w:themeColor="accent1" w:themeShade="BF"/>
    </w:rPr>
  </w:style>
  <w:style w:type="character" w:styleId="IntenseReference">
    <w:name w:val="Intense Reference"/>
    <w:basedOn w:val="DefaultParagraphFont"/>
    <w:uiPriority w:val="32"/>
    <w:qFormat/>
    <w:rsid w:val="00AE72C4"/>
    <w:rPr>
      <w:b/>
      <w:bCs/>
      <w:smallCaps/>
      <w:color w:val="0F4761" w:themeColor="accent1" w:themeShade="BF"/>
      <w:spacing w:val="5"/>
    </w:rPr>
  </w:style>
  <w:style w:type="paragraph" w:styleId="Header">
    <w:name w:val="header"/>
    <w:basedOn w:val="Normal"/>
    <w:link w:val="HeaderChar"/>
    <w:uiPriority w:val="99"/>
    <w:unhideWhenUsed/>
    <w:rsid w:val="00AE72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72C4"/>
  </w:style>
  <w:style w:type="paragraph" w:styleId="Footer">
    <w:name w:val="footer"/>
    <w:basedOn w:val="Normal"/>
    <w:link w:val="FooterChar"/>
    <w:uiPriority w:val="99"/>
    <w:unhideWhenUsed/>
    <w:rsid w:val="00AE72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72C4"/>
  </w:style>
  <w:style w:type="paragraph" w:styleId="TOCHeading">
    <w:name w:val="TOC Heading"/>
    <w:basedOn w:val="Heading1"/>
    <w:next w:val="Normal"/>
    <w:uiPriority w:val="39"/>
    <w:unhideWhenUsed/>
    <w:qFormat/>
    <w:rsid w:val="00AE72C4"/>
    <w:pPr>
      <w:spacing w:before="240" w:after="0"/>
      <w:outlineLvl w:val="9"/>
    </w:pPr>
    <w:rPr>
      <w:kern w:val="0"/>
      <w:sz w:val="32"/>
      <w:szCs w:val="32"/>
      <w:lang w:eastAsia="en-GB"/>
      <w14:ligatures w14:val="none"/>
    </w:rPr>
  </w:style>
  <w:style w:type="paragraph" w:styleId="TOC1">
    <w:name w:val="toc 1"/>
    <w:basedOn w:val="Normal"/>
    <w:next w:val="Normal"/>
    <w:autoRedefine/>
    <w:uiPriority w:val="39"/>
    <w:unhideWhenUsed/>
    <w:rsid w:val="00AE72C4"/>
    <w:pPr>
      <w:tabs>
        <w:tab w:val="right" w:leader="dot" w:pos="9016"/>
      </w:tabs>
      <w:spacing w:after="100" w:line="240" w:lineRule="auto"/>
    </w:pPr>
  </w:style>
  <w:style w:type="character" w:styleId="Hyperlink">
    <w:name w:val="Hyperlink"/>
    <w:basedOn w:val="DefaultParagraphFont"/>
    <w:uiPriority w:val="99"/>
    <w:unhideWhenUsed/>
    <w:rsid w:val="00AE72C4"/>
    <w:rPr>
      <w:color w:val="467886" w:themeColor="hyperlink"/>
      <w:u w:val="single"/>
    </w:rPr>
  </w:style>
  <w:style w:type="paragraph" w:styleId="TOC2">
    <w:name w:val="toc 2"/>
    <w:basedOn w:val="Normal"/>
    <w:next w:val="Normal"/>
    <w:autoRedefine/>
    <w:uiPriority w:val="39"/>
    <w:unhideWhenUsed/>
    <w:rsid w:val="00AE72C4"/>
    <w:pPr>
      <w:spacing w:after="100"/>
      <w:ind w:left="220"/>
    </w:pPr>
  </w:style>
  <w:style w:type="table" w:styleId="TableGrid">
    <w:name w:val="Table Grid"/>
    <w:basedOn w:val="TableNormal"/>
    <w:uiPriority w:val="39"/>
    <w:rsid w:val="00AE72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E72C4"/>
    <w:rPr>
      <w:sz w:val="16"/>
      <w:szCs w:val="16"/>
    </w:rPr>
  </w:style>
  <w:style w:type="paragraph" w:styleId="CommentText">
    <w:name w:val="annotation text"/>
    <w:basedOn w:val="Normal"/>
    <w:link w:val="CommentTextChar"/>
    <w:uiPriority w:val="99"/>
    <w:unhideWhenUsed/>
    <w:rsid w:val="00AE72C4"/>
    <w:pPr>
      <w:spacing w:line="240" w:lineRule="auto"/>
    </w:pPr>
    <w:rPr>
      <w:sz w:val="20"/>
      <w:szCs w:val="20"/>
    </w:rPr>
  </w:style>
  <w:style w:type="character" w:customStyle="1" w:styleId="CommentTextChar">
    <w:name w:val="Comment Text Char"/>
    <w:basedOn w:val="DefaultParagraphFont"/>
    <w:link w:val="CommentText"/>
    <w:uiPriority w:val="99"/>
    <w:rsid w:val="00AE72C4"/>
    <w:rPr>
      <w:sz w:val="20"/>
      <w:szCs w:val="20"/>
    </w:rPr>
  </w:style>
  <w:style w:type="paragraph" w:styleId="CommentSubject">
    <w:name w:val="annotation subject"/>
    <w:basedOn w:val="CommentText"/>
    <w:next w:val="CommentText"/>
    <w:link w:val="CommentSubjectChar"/>
    <w:uiPriority w:val="99"/>
    <w:semiHidden/>
    <w:unhideWhenUsed/>
    <w:rsid w:val="00AE72C4"/>
    <w:rPr>
      <w:b/>
      <w:bCs/>
    </w:rPr>
  </w:style>
  <w:style w:type="character" w:customStyle="1" w:styleId="CommentSubjectChar">
    <w:name w:val="Comment Subject Char"/>
    <w:basedOn w:val="CommentTextChar"/>
    <w:link w:val="CommentSubject"/>
    <w:uiPriority w:val="99"/>
    <w:semiHidden/>
    <w:rsid w:val="00AE72C4"/>
    <w:rPr>
      <w:b/>
      <w:bCs/>
      <w:sz w:val="20"/>
      <w:szCs w:val="20"/>
    </w:rPr>
  </w:style>
  <w:style w:type="table" w:customStyle="1" w:styleId="Academic">
    <w:name w:val="Academic"/>
    <w:basedOn w:val="TableNormal"/>
    <w:uiPriority w:val="99"/>
    <w:qFormat/>
    <w:rsid w:val="00AE72C4"/>
    <w:pPr>
      <w:spacing w:after="0" w:line="240" w:lineRule="auto"/>
      <w:contextualSpacing/>
    </w:pPr>
    <w:rPr>
      <w:kern w:val="0"/>
      <w:sz w:val="18"/>
      <w14:ligatures w14:val="none"/>
    </w:rPr>
    <w:tblPr>
      <w:tblStyleRowBandSize w:val="1"/>
    </w:tblPr>
    <w:tcPr>
      <w:vAlign w:val="bottom"/>
    </w:tcPr>
    <w:tblStylePr w:type="firstRow">
      <w:rPr>
        <w:rFonts w:asciiTheme="minorHAnsi" w:hAnsiTheme="minorHAnsi"/>
        <w:b/>
        <w:i w:val="0"/>
        <w:sz w:val="18"/>
      </w:rPr>
      <w:tblPr/>
      <w:tcPr>
        <w:tcBorders>
          <w:top w:val="double" w:sz="4" w:space="0" w:color="auto"/>
          <w:left w:val="nil"/>
          <w:bottom w:val="double" w:sz="4" w:space="0" w:color="auto"/>
          <w:right w:val="nil"/>
          <w:insideH w:val="nil"/>
          <w:insideV w:val="nil"/>
          <w:tl2br w:val="nil"/>
          <w:tr2bl w:val="nil"/>
        </w:tcBorders>
      </w:tcPr>
    </w:tblStylePr>
    <w:tblStylePr w:type="lastRow">
      <w:tblPr/>
      <w:tcPr>
        <w:tcBorders>
          <w:top w:val="nil"/>
          <w:left w:val="nil"/>
          <w:bottom w:val="double" w:sz="4" w:space="0" w:color="auto"/>
          <w:right w:val="nil"/>
          <w:insideH w:val="nil"/>
          <w:insideV w:val="nil"/>
          <w:tl2br w:val="nil"/>
          <w:tr2bl w:val="nil"/>
        </w:tcBorders>
      </w:tcPr>
    </w:tblStylePr>
    <w:tblStylePr w:type="firstCol">
      <w:rPr>
        <w:rFonts w:asciiTheme="minorHAnsi" w:hAnsiTheme="minorHAnsi"/>
        <w:b/>
        <w:i w:val="0"/>
        <w:sz w:val="18"/>
      </w:rPr>
    </w:tblStylePr>
    <w:tblStylePr w:type="band1Horz">
      <w:tblPr/>
      <w:tcPr>
        <w:tcBorders>
          <w:top w:val="nil"/>
          <w:left w:val="nil"/>
          <w:bottom w:val="nil"/>
          <w:right w:val="nil"/>
          <w:insideH w:val="nil"/>
          <w:insideV w:val="nil"/>
          <w:tl2br w:val="nil"/>
          <w:tr2bl w:val="nil"/>
        </w:tcBorders>
      </w:tcPr>
    </w:tblStylePr>
    <w:tblStylePr w:type="nwCell">
      <w:tblPr/>
      <w:tcPr>
        <w:tcBorders>
          <w:top w:val="double" w:sz="4" w:space="0" w:color="auto"/>
          <w:left w:val="nil"/>
          <w:bottom w:val="nil"/>
          <w:right w:val="nil"/>
          <w:insideH w:val="nil"/>
          <w:insideV w:val="nil"/>
          <w:tl2br w:val="nil"/>
          <w:tr2bl w:val="nil"/>
        </w:tcBorders>
      </w:tcPr>
    </w:tblStylePr>
  </w:style>
  <w:style w:type="paragraph" w:styleId="NoSpacing">
    <w:name w:val="No Spacing"/>
    <w:basedOn w:val="Normal"/>
    <w:link w:val="NoSpacingChar"/>
    <w:uiPriority w:val="1"/>
    <w:qFormat/>
    <w:rsid w:val="00AE72C4"/>
    <w:pPr>
      <w:spacing w:after="0" w:line="240" w:lineRule="auto"/>
    </w:pPr>
    <w:rPr>
      <w:rFonts w:ascii="Times New Roman" w:eastAsia="Times New Roman" w:hAnsi="Times New Roman" w:cs="Times New Roman"/>
      <w:kern w:val="0"/>
      <w:sz w:val="24"/>
      <w:szCs w:val="24"/>
      <w:lang w:eastAsia="en-GB"/>
      <w14:ligatures w14:val="none"/>
    </w:rPr>
  </w:style>
  <w:style w:type="character" w:customStyle="1" w:styleId="NoSpacingChar">
    <w:name w:val="No Spacing Char"/>
    <w:basedOn w:val="DefaultParagraphFont"/>
    <w:link w:val="NoSpacing"/>
    <w:uiPriority w:val="1"/>
    <w:rsid w:val="00AE72C4"/>
    <w:rPr>
      <w:rFonts w:ascii="Times New Roman" w:eastAsia="Times New Roman" w:hAnsi="Times New Roman" w:cs="Times New Roman"/>
      <w:kern w:val="0"/>
      <w:sz w:val="24"/>
      <w:szCs w:val="24"/>
      <w:lang w:eastAsia="en-GB"/>
      <w14:ligatures w14:val="none"/>
    </w:rPr>
  </w:style>
  <w:style w:type="paragraph" w:styleId="Caption">
    <w:name w:val="caption"/>
    <w:basedOn w:val="Normal"/>
    <w:next w:val="Normal"/>
    <w:uiPriority w:val="35"/>
    <w:unhideWhenUsed/>
    <w:qFormat/>
    <w:rsid w:val="00AE72C4"/>
    <w:pPr>
      <w:autoSpaceDE w:val="0"/>
      <w:autoSpaceDN w:val="0"/>
      <w:spacing w:after="200" w:line="276" w:lineRule="auto"/>
      <w:jc w:val="both"/>
    </w:pPr>
    <w:rPr>
      <w:rFonts w:ascii="Times New Roman" w:eastAsiaTheme="minorEastAsia" w:hAnsi="Times New Roman" w:cs="Times New Roman"/>
      <w:i/>
      <w:iCs/>
      <w:kern w:val="0"/>
      <w:sz w:val="18"/>
      <w:szCs w:val="18"/>
      <w:lang w:eastAsia="en-GB"/>
      <w14:ligatures w14:val="none"/>
    </w:rPr>
  </w:style>
  <w:style w:type="character" w:styleId="HTMLCite">
    <w:name w:val="HTML Cite"/>
    <w:basedOn w:val="DefaultParagraphFont"/>
    <w:uiPriority w:val="99"/>
    <w:semiHidden/>
    <w:unhideWhenUsed/>
    <w:rsid w:val="00AE72C4"/>
    <w:rPr>
      <w:i/>
      <w:iCs/>
    </w:rPr>
  </w:style>
  <w:style w:type="paragraph" w:styleId="Revision">
    <w:name w:val="Revision"/>
    <w:hidden/>
    <w:uiPriority w:val="99"/>
    <w:semiHidden/>
    <w:rsid w:val="00AE72C4"/>
    <w:pPr>
      <w:spacing w:after="0" w:line="240" w:lineRule="auto"/>
    </w:pPr>
  </w:style>
  <w:style w:type="character" w:customStyle="1" w:styleId="UnresolvedMention">
    <w:name w:val="Unresolved Mention"/>
    <w:basedOn w:val="DefaultParagraphFont"/>
    <w:uiPriority w:val="99"/>
    <w:semiHidden/>
    <w:unhideWhenUsed/>
    <w:rsid w:val="00AE72C4"/>
    <w:rPr>
      <w:color w:val="605E5C"/>
      <w:shd w:val="clear" w:color="auto" w:fill="E1DFDD"/>
    </w:rPr>
  </w:style>
  <w:style w:type="character" w:styleId="FollowedHyperlink">
    <w:name w:val="FollowedHyperlink"/>
    <w:basedOn w:val="DefaultParagraphFont"/>
    <w:uiPriority w:val="99"/>
    <w:semiHidden/>
    <w:unhideWhenUsed/>
    <w:rsid w:val="00AE72C4"/>
    <w:rPr>
      <w:color w:val="96607D" w:themeColor="followedHyperlink"/>
      <w:u w:val="single"/>
    </w:rPr>
  </w:style>
  <w:style w:type="character" w:styleId="PlaceholderText">
    <w:name w:val="Placeholder Text"/>
    <w:basedOn w:val="DefaultParagraphFont"/>
    <w:uiPriority w:val="99"/>
    <w:semiHidden/>
    <w:rsid w:val="00AE72C4"/>
    <w:rPr>
      <w:color w:val="666666"/>
    </w:rPr>
  </w:style>
  <w:style w:type="paragraph" w:styleId="TOC3">
    <w:name w:val="toc 3"/>
    <w:basedOn w:val="Normal"/>
    <w:next w:val="Normal"/>
    <w:autoRedefine/>
    <w:uiPriority w:val="39"/>
    <w:unhideWhenUsed/>
    <w:rsid w:val="00AE72C4"/>
    <w:pPr>
      <w:spacing w:after="100"/>
      <w:ind w:left="440"/>
    </w:pPr>
  </w:style>
  <w:style w:type="paragraph" w:customStyle="1" w:styleId="Default">
    <w:name w:val="Default"/>
    <w:rsid w:val="00AE72C4"/>
    <w:pPr>
      <w:widowControl w:val="0"/>
      <w:autoSpaceDE w:val="0"/>
      <w:autoSpaceDN w:val="0"/>
      <w:adjustRightInd w:val="0"/>
      <w:spacing w:after="0" w:line="240" w:lineRule="auto"/>
    </w:pPr>
    <w:rPr>
      <w:rFonts w:ascii="Calibri" w:eastAsia="Times New Roman" w:hAnsi="Calibri" w:cs="Calibri"/>
      <w:color w:val="000000"/>
      <w:kern w:val="0"/>
      <w:sz w:val="24"/>
      <w:szCs w:val="24"/>
      <w:lang w:val="en-CA" w:eastAsia="en-CA"/>
      <w14:ligatures w14:val="none"/>
    </w:rPr>
  </w:style>
  <w:style w:type="paragraph" w:styleId="Bibliography">
    <w:name w:val="Bibliography"/>
    <w:basedOn w:val="Normal"/>
    <w:next w:val="Normal"/>
    <w:uiPriority w:val="37"/>
    <w:unhideWhenUsed/>
    <w:rsid w:val="00AE72C4"/>
  </w:style>
  <w:style w:type="paragraph" w:styleId="TOC4">
    <w:name w:val="toc 4"/>
    <w:basedOn w:val="Normal"/>
    <w:next w:val="Normal"/>
    <w:autoRedefine/>
    <w:uiPriority w:val="39"/>
    <w:unhideWhenUsed/>
    <w:rsid w:val="00AE72C4"/>
    <w:pPr>
      <w:spacing w:after="100" w:line="278" w:lineRule="auto"/>
      <w:ind w:left="720"/>
    </w:pPr>
    <w:rPr>
      <w:rFonts w:eastAsiaTheme="minorEastAsia"/>
      <w:sz w:val="24"/>
      <w:szCs w:val="24"/>
      <w:lang w:eastAsia="en-GB"/>
    </w:rPr>
  </w:style>
  <w:style w:type="paragraph" w:styleId="TOC5">
    <w:name w:val="toc 5"/>
    <w:basedOn w:val="Normal"/>
    <w:next w:val="Normal"/>
    <w:autoRedefine/>
    <w:uiPriority w:val="39"/>
    <w:unhideWhenUsed/>
    <w:rsid w:val="00AE72C4"/>
    <w:pPr>
      <w:spacing w:after="100" w:line="278" w:lineRule="auto"/>
      <w:ind w:left="960"/>
    </w:pPr>
    <w:rPr>
      <w:rFonts w:eastAsiaTheme="minorEastAsia"/>
      <w:sz w:val="24"/>
      <w:szCs w:val="24"/>
      <w:lang w:eastAsia="en-GB"/>
    </w:rPr>
  </w:style>
  <w:style w:type="paragraph" w:styleId="TOC6">
    <w:name w:val="toc 6"/>
    <w:basedOn w:val="Normal"/>
    <w:next w:val="Normal"/>
    <w:autoRedefine/>
    <w:uiPriority w:val="39"/>
    <w:unhideWhenUsed/>
    <w:rsid w:val="00AE72C4"/>
    <w:pPr>
      <w:spacing w:after="100" w:line="278" w:lineRule="auto"/>
      <w:ind w:left="1200"/>
    </w:pPr>
    <w:rPr>
      <w:rFonts w:eastAsiaTheme="minorEastAsia"/>
      <w:sz w:val="24"/>
      <w:szCs w:val="24"/>
      <w:lang w:eastAsia="en-GB"/>
    </w:rPr>
  </w:style>
  <w:style w:type="paragraph" w:styleId="TOC7">
    <w:name w:val="toc 7"/>
    <w:basedOn w:val="Normal"/>
    <w:next w:val="Normal"/>
    <w:autoRedefine/>
    <w:uiPriority w:val="39"/>
    <w:unhideWhenUsed/>
    <w:rsid w:val="00AE72C4"/>
    <w:pPr>
      <w:spacing w:after="100" w:line="278" w:lineRule="auto"/>
      <w:ind w:left="1440"/>
    </w:pPr>
    <w:rPr>
      <w:rFonts w:eastAsiaTheme="minorEastAsia"/>
      <w:sz w:val="24"/>
      <w:szCs w:val="24"/>
      <w:lang w:eastAsia="en-GB"/>
    </w:rPr>
  </w:style>
  <w:style w:type="paragraph" w:styleId="TOC8">
    <w:name w:val="toc 8"/>
    <w:basedOn w:val="Normal"/>
    <w:next w:val="Normal"/>
    <w:autoRedefine/>
    <w:uiPriority w:val="39"/>
    <w:unhideWhenUsed/>
    <w:rsid w:val="00AE72C4"/>
    <w:pPr>
      <w:spacing w:after="100" w:line="278" w:lineRule="auto"/>
      <w:ind w:left="1680"/>
    </w:pPr>
    <w:rPr>
      <w:rFonts w:eastAsiaTheme="minorEastAsia"/>
      <w:sz w:val="24"/>
      <w:szCs w:val="24"/>
      <w:lang w:eastAsia="en-GB"/>
    </w:rPr>
  </w:style>
  <w:style w:type="paragraph" w:styleId="TOC9">
    <w:name w:val="toc 9"/>
    <w:basedOn w:val="Normal"/>
    <w:next w:val="Normal"/>
    <w:autoRedefine/>
    <w:uiPriority w:val="39"/>
    <w:unhideWhenUsed/>
    <w:rsid w:val="00AE72C4"/>
    <w:pPr>
      <w:spacing w:after="100" w:line="278" w:lineRule="auto"/>
      <w:ind w:left="1920"/>
    </w:pPr>
    <w:rPr>
      <w:rFonts w:eastAsiaTheme="minorEastAsia"/>
      <w:sz w:val="24"/>
      <w:szCs w:val="24"/>
      <w:lang w:eastAsia="en-GB"/>
    </w:rPr>
  </w:style>
  <w:style w:type="paragraph" w:styleId="FootnoteText">
    <w:name w:val="footnote text"/>
    <w:basedOn w:val="Normal"/>
    <w:link w:val="FootnoteTextChar"/>
    <w:uiPriority w:val="99"/>
    <w:semiHidden/>
    <w:unhideWhenUsed/>
    <w:rsid w:val="00AE72C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E72C4"/>
    <w:rPr>
      <w:sz w:val="20"/>
      <w:szCs w:val="20"/>
    </w:rPr>
  </w:style>
  <w:style w:type="character" w:styleId="FootnoteReference">
    <w:name w:val="footnote reference"/>
    <w:basedOn w:val="DefaultParagraphFont"/>
    <w:uiPriority w:val="99"/>
    <w:semiHidden/>
    <w:unhideWhenUsed/>
    <w:rsid w:val="00AE72C4"/>
    <w:rPr>
      <w:vertAlign w:val="superscript"/>
    </w:rPr>
  </w:style>
  <w:style w:type="character" w:styleId="LineNumber">
    <w:name w:val="line number"/>
    <w:basedOn w:val="DefaultParagraphFont"/>
    <w:uiPriority w:val="99"/>
    <w:semiHidden/>
    <w:unhideWhenUsed/>
    <w:rsid w:val="00AE72C4"/>
  </w:style>
  <w:style w:type="paragraph" w:customStyle="1" w:styleId="paragraph">
    <w:name w:val="paragraph"/>
    <w:basedOn w:val="Normal"/>
    <w:rsid w:val="00AE72C4"/>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normaltextrun">
    <w:name w:val="normaltextrun"/>
    <w:basedOn w:val="DefaultParagraphFont"/>
    <w:rsid w:val="00AE72C4"/>
  </w:style>
  <w:style w:type="character" w:customStyle="1" w:styleId="eop">
    <w:name w:val="eop"/>
    <w:basedOn w:val="DefaultParagraphFont"/>
    <w:rsid w:val="00AE7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12</Pages>
  <Words>1907</Words>
  <Characters>10876</Characters>
  <Application>Microsoft Office Word</Application>
  <DocSecurity>0</DocSecurity>
  <Lines>90</Lines>
  <Paragraphs>25</Paragraphs>
  <ScaleCrop>false</ScaleCrop>
  <Company/>
  <LinksUpToDate>false</LinksUpToDate>
  <CharactersWithSpaces>12758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Stanford (ClinPsyD Clinical Psychol FT)</dc:creator>
  <cp:keywords/>
  <dc:description/>
  <cp:lastModifiedBy>Sangeetha Iyyanar</cp:lastModifiedBy>
  <cp:revision>2</cp:revision>
  <dcterms:created xsi:type="dcterms:W3CDTF">2025-08-22T16:35:00Z</dcterms:created>
  <dcterms:modified xsi:type="dcterms:W3CDTF">2026-01-19T07:17:00Z</dcterms:modified>
</cp:coreProperties>
</file>