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3A3C3" w14:textId="200680A7" w:rsidR="008627B8" w:rsidRPr="008627B8" w:rsidRDefault="008627B8" w:rsidP="008627B8">
      <w:pPr>
        <w:spacing w:after="0"/>
        <w:rPr>
          <w:rFonts w:ascii="Arial" w:hAnsi="Arial" w:cs="Arial"/>
          <w:b/>
          <w:bCs/>
        </w:rPr>
      </w:pPr>
      <w:r w:rsidRPr="008627B8">
        <w:rPr>
          <w:rFonts w:ascii="Arial" w:hAnsi="Arial" w:cs="Arial"/>
          <w:b/>
          <w:bCs/>
        </w:rPr>
        <w:t>Table S</w:t>
      </w:r>
      <w:r w:rsidR="00886FD2">
        <w:rPr>
          <w:rFonts w:ascii="Arial" w:hAnsi="Arial" w:cs="Arial"/>
          <w:b/>
          <w:bCs/>
        </w:rPr>
        <w:t>3</w:t>
      </w:r>
      <w:r w:rsidRPr="008627B8">
        <w:rPr>
          <w:rFonts w:ascii="Arial" w:hAnsi="Arial" w:cs="Arial"/>
          <w:b/>
          <w:bCs/>
        </w:rPr>
        <w:t xml:space="preserve">. </w:t>
      </w:r>
      <w:bookmarkStart w:id="0" w:name="_GoBack"/>
      <w:bookmarkEnd w:id="0"/>
    </w:p>
    <w:p w14:paraId="030E505A" w14:textId="77777777" w:rsidR="008627B8" w:rsidRPr="008627B8" w:rsidRDefault="008627B8" w:rsidP="008627B8">
      <w:pPr>
        <w:spacing w:after="0"/>
        <w:rPr>
          <w:rFonts w:ascii="Arial" w:hAnsi="Arial" w:cs="Arial"/>
          <w:i/>
          <w:iCs/>
        </w:rPr>
      </w:pPr>
      <w:r w:rsidRPr="008627B8">
        <w:rPr>
          <w:rFonts w:ascii="Arial" w:hAnsi="Arial" w:cs="Arial"/>
          <w:i/>
          <w:iCs/>
        </w:rPr>
        <w:t>Pearson Correlations Between the Pre-Support Baseline Measures</w:t>
      </w:r>
    </w:p>
    <w:p w14:paraId="572D3E5F" w14:textId="77777777" w:rsidR="008627B8" w:rsidRPr="008627B8" w:rsidRDefault="008627B8" w:rsidP="008627B8">
      <w:pPr>
        <w:spacing w:after="0"/>
        <w:rPr>
          <w:rFonts w:ascii="Arial" w:hAnsi="Arial" w:cs="Arial"/>
          <w:i/>
          <w:iCs/>
        </w:rPr>
      </w:pPr>
    </w:p>
    <w:tbl>
      <w:tblPr>
        <w:tblStyle w:val="TableGrid"/>
        <w:tblW w:w="504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902"/>
        <w:gridCol w:w="902"/>
        <w:gridCol w:w="645"/>
        <w:gridCol w:w="902"/>
        <w:gridCol w:w="902"/>
        <w:gridCol w:w="902"/>
        <w:gridCol w:w="902"/>
        <w:gridCol w:w="902"/>
      </w:tblGrid>
      <w:tr w:rsidR="008627B8" w:rsidRPr="008627B8" w14:paraId="2AD39CAC" w14:textId="77777777" w:rsidTr="00C61AAE">
        <w:trPr>
          <w:trHeight w:val="340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EACC2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Measure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6950D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1.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0CFE5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2.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43232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3.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6963C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4.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E4F1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5.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E0B23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6.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E245D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7.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FE24" w14:textId="77777777" w:rsidR="008627B8" w:rsidRPr="008627B8" w:rsidRDefault="008627B8" w:rsidP="00C61AAE">
            <w:pPr>
              <w:rPr>
                <w:rFonts w:ascii="Arial" w:hAnsi="Arial" w:cs="Arial"/>
                <w:highlight w:val="yellow"/>
              </w:rPr>
            </w:pPr>
            <w:r w:rsidRPr="008627B8">
              <w:rPr>
                <w:rFonts w:ascii="Arial" w:hAnsi="Arial" w:cs="Arial"/>
              </w:rPr>
              <w:t>8.</w:t>
            </w:r>
          </w:p>
        </w:tc>
      </w:tr>
      <w:tr w:rsidR="008627B8" w:rsidRPr="008627B8" w14:paraId="55B626F6" w14:textId="77777777" w:rsidTr="00C61AAE">
        <w:trPr>
          <w:jc w:val="center"/>
        </w:trPr>
        <w:tc>
          <w:tcPr>
            <w:tcW w:w="1470" w:type="pct"/>
            <w:tcBorders>
              <w:top w:val="single" w:sz="4" w:space="0" w:color="auto"/>
            </w:tcBorders>
          </w:tcPr>
          <w:p w14:paraId="132E340D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Child Outcome Measures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14:paraId="6E8F87B9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</w:tcPr>
          <w:p w14:paraId="1356BC78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01890F9B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</w:tcPr>
          <w:p w14:paraId="02284FC8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5F894E0C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31841603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334D2EAF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</w:tcPr>
          <w:p w14:paraId="3304AEE4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493A4BB7" w14:textId="77777777" w:rsidTr="00C61AAE">
        <w:trPr>
          <w:jc w:val="center"/>
        </w:trPr>
        <w:tc>
          <w:tcPr>
            <w:tcW w:w="1470" w:type="pct"/>
          </w:tcPr>
          <w:p w14:paraId="480185C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1. Caregiver-Child Engagement</w:t>
            </w:r>
          </w:p>
        </w:tc>
        <w:tc>
          <w:tcPr>
            <w:tcW w:w="451" w:type="pct"/>
          </w:tcPr>
          <w:p w14:paraId="7D7712E3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  <w:tc>
          <w:tcPr>
            <w:tcW w:w="447" w:type="pct"/>
          </w:tcPr>
          <w:p w14:paraId="5C1C939C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6" w:type="pct"/>
          </w:tcPr>
          <w:p w14:paraId="4F57BF55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3" w:type="pct"/>
          </w:tcPr>
          <w:p w14:paraId="7453FCCA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5515B436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3CAF6BEF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30CC946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</w:tcPr>
          <w:p w14:paraId="33651DF0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42603756" w14:textId="77777777" w:rsidTr="00C61AAE">
        <w:trPr>
          <w:jc w:val="center"/>
        </w:trPr>
        <w:tc>
          <w:tcPr>
            <w:tcW w:w="1470" w:type="pct"/>
          </w:tcPr>
          <w:p w14:paraId="5C7788EA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2. Child Number of Utterances</w:t>
            </w:r>
          </w:p>
        </w:tc>
        <w:tc>
          <w:tcPr>
            <w:tcW w:w="451" w:type="pct"/>
          </w:tcPr>
          <w:p w14:paraId="70CC6640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.601***</w:t>
            </w:r>
          </w:p>
        </w:tc>
        <w:tc>
          <w:tcPr>
            <w:tcW w:w="447" w:type="pct"/>
          </w:tcPr>
          <w:p w14:paraId="6C7B9F02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  <w:tc>
          <w:tcPr>
            <w:tcW w:w="446" w:type="pct"/>
          </w:tcPr>
          <w:p w14:paraId="5D8FF002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3" w:type="pct"/>
          </w:tcPr>
          <w:p w14:paraId="75F7664C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2F1C6F3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70E26EC2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39BFFF04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</w:tcPr>
          <w:p w14:paraId="15A6FDB8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091A8923" w14:textId="77777777" w:rsidTr="00C61AAE">
        <w:trPr>
          <w:jc w:val="center"/>
        </w:trPr>
        <w:tc>
          <w:tcPr>
            <w:tcW w:w="1470" w:type="pct"/>
          </w:tcPr>
          <w:p w14:paraId="0037C0A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3. Child Number of Different Words</w:t>
            </w:r>
          </w:p>
        </w:tc>
        <w:tc>
          <w:tcPr>
            <w:tcW w:w="451" w:type="pct"/>
          </w:tcPr>
          <w:p w14:paraId="75E5808E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.562***</w:t>
            </w:r>
          </w:p>
        </w:tc>
        <w:tc>
          <w:tcPr>
            <w:tcW w:w="447" w:type="pct"/>
          </w:tcPr>
          <w:p w14:paraId="0081BDE7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.827***</w:t>
            </w:r>
          </w:p>
        </w:tc>
        <w:tc>
          <w:tcPr>
            <w:tcW w:w="446" w:type="pct"/>
          </w:tcPr>
          <w:p w14:paraId="0C5F0197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  <w:tc>
          <w:tcPr>
            <w:tcW w:w="443" w:type="pct"/>
          </w:tcPr>
          <w:p w14:paraId="33CCB9F3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5006782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233D5730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03469FC3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</w:tcPr>
          <w:p w14:paraId="476BAEB7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2A1BE2BF" w14:textId="77777777" w:rsidTr="00C61AAE">
        <w:trPr>
          <w:jc w:val="center"/>
        </w:trPr>
        <w:tc>
          <w:tcPr>
            <w:tcW w:w="1470" w:type="pct"/>
          </w:tcPr>
          <w:p w14:paraId="5A0BC859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4. Health-Related Quality of Life</w:t>
            </w:r>
          </w:p>
        </w:tc>
        <w:tc>
          <w:tcPr>
            <w:tcW w:w="451" w:type="pct"/>
          </w:tcPr>
          <w:p w14:paraId="1111E6DC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.197</w:t>
            </w:r>
          </w:p>
        </w:tc>
        <w:tc>
          <w:tcPr>
            <w:tcW w:w="447" w:type="pct"/>
          </w:tcPr>
          <w:p w14:paraId="76D2484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.144</w:t>
            </w:r>
          </w:p>
        </w:tc>
        <w:tc>
          <w:tcPr>
            <w:tcW w:w="446" w:type="pct"/>
          </w:tcPr>
          <w:p w14:paraId="7C2CD5FD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.177</w:t>
            </w:r>
          </w:p>
        </w:tc>
        <w:tc>
          <w:tcPr>
            <w:tcW w:w="443" w:type="pct"/>
          </w:tcPr>
          <w:p w14:paraId="5F1A3C46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  <w:tc>
          <w:tcPr>
            <w:tcW w:w="440" w:type="pct"/>
          </w:tcPr>
          <w:p w14:paraId="0C8742E4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3C1DE92A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6286BCE8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</w:tcPr>
          <w:p w14:paraId="660A0983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7ACE758E" w14:textId="77777777" w:rsidTr="00C61AAE">
        <w:trPr>
          <w:jc w:val="center"/>
        </w:trPr>
        <w:tc>
          <w:tcPr>
            <w:tcW w:w="1470" w:type="pct"/>
          </w:tcPr>
          <w:p w14:paraId="0AD69268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5. Behaviour Differences</w:t>
            </w:r>
          </w:p>
        </w:tc>
        <w:tc>
          <w:tcPr>
            <w:tcW w:w="451" w:type="pct"/>
          </w:tcPr>
          <w:p w14:paraId="64BB4B2A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-.118</w:t>
            </w:r>
          </w:p>
        </w:tc>
        <w:tc>
          <w:tcPr>
            <w:tcW w:w="447" w:type="pct"/>
          </w:tcPr>
          <w:p w14:paraId="003F6A9F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-.049</w:t>
            </w:r>
          </w:p>
        </w:tc>
        <w:tc>
          <w:tcPr>
            <w:tcW w:w="446" w:type="pct"/>
          </w:tcPr>
          <w:p w14:paraId="1BE9F98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-.139</w:t>
            </w:r>
          </w:p>
        </w:tc>
        <w:tc>
          <w:tcPr>
            <w:tcW w:w="443" w:type="pct"/>
          </w:tcPr>
          <w:p w14:paraId="7A1595FD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>-.493***</w:t>
            </w:r>
          </w:p>
        </w:tc>
        <w:tc>
          <w:tcPr>
            <w:tcW w:w="440" w:type="pct"/>
          </w:tcPr>
          <w:p w14:paraId="2928081E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  <w:tc>
          <w:tcPr>
            <w:tcW w:w="440" w:type="pct"/>
          </w:tcPr>
          <w:p w14:paraId="7FCC2E74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571F03E3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</w:tcPr>
          <w:p w14:paraId="5BE4FD18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7A4FCF27" w14:textId="77777777" w:rsidTr="00C61AAE">
        <w:trPr>
          <w:jc w:val="center"/>
        </w:trPr>
        <w:tc>
          <w:tcPr>
            <w:tcW w:w="1470" w:type="pct"/>
          </w:tcPr>
          <w:p w14:paraId="5D80C1B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Caregiver Outcome Measures</w:t>
            </w:r>
          </w:p>
        </w:tc>
        <w:tc>
          <w:tcPr>
            <w:tcW w:w="451" w:type="pct"/>
          </w:tcPr>
          <w:p w14:paraId="2F958B4A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7" w:type="pct"/>
          </w:tcPr>
          <w:p w14:paraId="170D53A0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6" w:type="pct"/>
          </w:tcPr>
          <w:p w14:paraId="754DEE60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3" w:type="pct"/>
          </w:tcPr>
          <w:p w14:paraId="49BEBD2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356A7654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504A381A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40" w:type="pct"/>
          </w:tcPr>
          <w:p w14:paraId="4A571124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</w:tcPr>
          <w:p w14:paraId="093967CD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6993A068" w14:textId="77777777" w:rsidTr="00C61AAE">
        <w:trPr>
          <w:jc w:val="center"/>
        </w:trPr>
        <w:tc>
          <w:tcPr>
            <w:tcW w:w="1470" w:type="pct"/>
          </w:tcPr>
          <w:p w14:paraId="62CB0766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6. Parental Distress</w:t>
            </w:r>
          </w:p>
        </w:tc>
        <w:tc>
          <w:tcPr>
            <w:tcW w:w="451" w:type="pct"/>
          </w:tcPr>
          <w:p w14:paraId="21E7B43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.135</w:t>
            </w:r>
          </w:p>
        </w:tc>
        <w:tc>
          <w:tcPr>
            <w:tcW w:w="447" w:type="pct"/>
          </w:tcPr>
          <w:p w14:paraId="50F87100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.044</w:t>
            </w:r>
          </w:p>
        </w:tc>
        <w:tc>
          <w:tcPr>
            <w:tcW w:w="446" w:type="pct"/>
          </w:tcPr>
          <w:p w14:paraId="6613E57D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.048</w:t>
            </w:r>
          </w:p>
        </w:tc>
        <w:tc>
          <w:tcPr>
            <w:tcW w:w="443" w:type="pct"/>
          </w:tcPr>
          <w:p w14:paraId="2457DA1B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-.102</w:t>
            </w:r>
          </w:p>
        </w:tc>
        <w:tc>
          <w:tcPr>
            <w:tcW w:w="440" w:type="pct"/>
          </w:tcPr>
          <w:p w14:paraId="595714A6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.332**</w:t>
            </w:r>
          </w:p>
        </w:tc>
        <w:tc>
          <w:tcPr>
            <w:tcW w:w="440" w:type="pct"/>
          </w:tcPr>
          <w:p w14:paraId="7CC01225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  <w:tc>
          <w:tcPr>
            <w:tcW w:w="440" w:type="pct"/>
          </w:tcPr>
          <w:p w14:paraId="6F852095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  <w:tc>
          <w:tcPr>
            <w:tcW w:w="423" w:type="pct"/>
          </w:tcPr>
          <w:p w14:paraId="613FD9C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4EEE983F" w14:textId="77777777" w:rsidTr="00C61AAE">
        <w:trPr>
          <w:jc w:val="center"/>
        </w:trPr>
        <w:tc>
          <w:tcPr>
            <w:tcW w:w="1470" w:type="pct"/>
          </w:tcPr>
          <w:p w14:paraId="5F7D9730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7. Depression Symptoms</w:t>
            </w:r>
          </w:p>
        </w:tc>
        <w:tc>
          <w:tcPr>
            <w:tcW w:w="451" w:type="pct"/>
          </w:tcPr>
          <w:p w14:paraId="701DEB5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.072</w:t>
            </w:r>
          </w:p>
        </w:tc>
        <w:tc>
          <w:tcPr>
            <w:tcW w:w="447" w:type="pct"/>
          </w:tcPr>
          <w:p w14:paraId="46DB7AAC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-.061</w:t>
            </w:r>
          </w:p>
        </w:tc>
        <w:tc>
          <w:tcPr>
            <w:tcW w:w="446" w:type="pct"/>
          </w:tcPr>
          <w:p w14:paraId="6CFDE655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-.073</w:t>
            </w:r>
          </w:p>
        </w:tc>
        <w:tc>
          <w:tcPr>
            <w:tcW w:w="443" w:type="pct"/>
          </w:tcPr>
          <w:p w14:paraId="637A4084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-.166</w:t>
            </w:r>
          </w:p>
        </w:tc>
        <w:tc>
          <w:tcPr>
            <w:tcW w:w="440" w:type="pct"/>
          </w:tcPr>
          <w:p w14:paraId="6409E8AF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.290*</w:t>
            </w:r>
          </w:p>
        </w:tc>
        <w:tc>
          <w:tcPr>
            <w:tcW w:w="440" w:type="pct"/>
          </w:tcPr>
          <w:p w14:paraId="6B306E85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.742***</w:t>
            </w:r>
          </w:p>
        </w:tc>
        <w:tc>
          <w:tcPr>
            <w:tcW w:w="440" w:type="pct"/>
          </w:tcPr>
          <w:p w14:paraId="3C0CC234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  <w:tc>
          <w:tcPr>
            <w:tcW w:w="423" w:type="pct"/>
          </w:tcPr>
          <w:p w14:paraId="50830F4B" w14:textId="77777777" w:rsidR="008627B8" w:rsidRPr="008627B8" w:rsidRDefault="008627B8" w:rsidP="00C61AAE">
            <w:pPr>
              <w:rPr>
                <w:rFonts w:ascii="Arial" w:hAnsi="Arial" w:cs="Arial"/>
              </w:rPr>
            </w:pPr>
          </w:p>
        </w:tc>
      </w:tr>
      <w:tr w:rsidR="008627B8" w:rsidRPr="008627B8" w14:paraId="0FF96267" w14:textId="77777777" w:rsidTr="00C61AAE">
        <w:trPr>
          <w:jc w:val="center"/>
        </w:trPr>
        <w:tc>
          <w:tcPr>
            <w:tcW w:w="1470" w:type="pct"/>
          </w:tcPr>
          <w:p w14:paraId="32538739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8. Anxiety Symptoms</w:t>
            </w:r>
          </w:p>
        </w:tc>
        <w:tc>
          <w:tcPr>
            <w:tcW w:w="451" w:type="pct"/>
          </w:tcPr>
          <w:p w14:paraId="4977637B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-.045</w:t>
            </w:r>
          </w:p>
        </w:tc>
        <w:tc>
          <w:tcPr>
            <w:tcW w:w="447" w:type="pct"/>
          </w:tcPr>
          <w:p w14:paraId="0430545B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.016</w:t>
            </w:r>
          </w:p>
        </w:tc>
        <w:tc>
          <w:tcPr>
            <w:tcW w:w="446" w:type="pct"/>
          </w:tcPr>
          <w:p w14:paraId="4D20E566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-.088</w:t>
            </w:r>
          </w:p>
        </w:tc>
        <w:tc>
          <w:tcPr>
            <w:tcW w:w="443" w:type="pct"/>
          </w:tcPr>
          <w:p w14:paraId="020D58B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-.146</w:t>
            </w:r>
          </w:p>
        </w:tc>
        <w:tc>
          <w:tcPr>
            <w:tcW w:w="440" w:type="pct"/>
          </w:tcPr>
          <w:p w14:paraId="55104196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.330**</w:t>
            </w:r>
          </w:p>
        </w:tc>
        <w:tc>
          <w:tcPr>
            <w:tcW w:w="440" w:type="pct"/>
          </w:tcPr>
          <w:p w14:paraId="6BB0F5AD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.518***</w:t>
            </w:r>
          </w:p>
        </w:tc>
        <w:tc>
          <w:tcPr>
            <w:tcW w:w="440" w:type="pct"/>
          </w:tcPr>
          <w:p w14:paraId="7ECDEB0D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 xml:space="preserve">  .611***</w:t>
            </w:r>
          </w:p>
        </w:tc>
        <w:tc>
          <w:tcPr>
            <w:tcW w:w="423" w:type="pct"/>
          </w:tcPr>
          <w:p w14:paraId="3CBF3FA5" w14:textId="77777777" w:rsidR="008627B8" w:rsidRPr="008627B8" w:rsidRDefault="008627B8" w:rsidP="00C61AAE">
            <w:pPr>
              <w:jc w:val="center"/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</w:t>
            </w:r>
          </w:p>
        </w:tc>
      </w:tr>
      <w:tr w:rsidR="008627B8" w:rsidRPr="008627B8" w14:paraId="5F96CD7D" w14:textId="77777777" w:rsidTr="00C61AAE">
        <w:trPr>
          <w:jc w:val="center"/>
        </w:trPr>
        <w:tc>
          <w:tcPr>
            <w:tcW w:w="1470" w:type="pct"/>
            <w:vAlign w:val="bottom"/>
          </w:tcPr>
          <w:p w14:paraId="6D40CB81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  9. Parenting Sense of Competence</w:t>
            </w:r>
          </w:p>
        </w:tc>
        <w:tc>
          <w:tcPr>
            <w:tcW w:w="451" w:type="pct"/>
          </w:tcPr>
          <w:p w14:paraId="69CBF5A4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>-.254*</w:t>
            </w:r>
          </w:p>
        </w:tc>
        <w:tc>
          <w:tcPr>
            <w:tcW w:w="447" w:type="pct"/>
          </w:tcPr>
          <w:p w14:paraId="509B966E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-.168</w:t>
            </w:r>
          </w:p>
        </w:tc>
        <w:tc>
          <w:tcPr>
            <w:tcW w:w="446" w:type="pct"/>
          </w:tcPr>
          <w:p w14:paraId="7BE6CB7B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>-.123</w:t>
            </w:r>
          </w:p>
        </w:tc>
        <w:tc>
          <w:tcPr>
            <w:tcW w:w="443" w:type="pct"/>
          </w:tcPr>
          <w:p w14:paraId="60191F7F" w14:textId="77777777" w:rsidR="008627B8" w:rsidRPr="008627B8" w:rsidRDefault="008627B8" w:rsidP="00C61AAE">
            <w:pPr>
              <w:rPr>
                <w:rFonts w:ascii="Arial" w:hAnsi="Arial" w:cs="Arial"/>
              </w:rPr>
            </w:pPr>
            <w:r w:rsidRPr="008627B8">
              <w:rPr>
                <w:rFonts w:ascii="Arial" w:hAnsi="Arial" w:cs="Arial"/>
              </w:rPr>
              <w:t xml:space="preserve">  .177</w:t>
            </w:r>
          </w:p>
        </w:tc>
        <w:tc>
          <w:tcPr>
            <w:tcW w:w="440" w:type="pct"/>
          </w:tcPr>
          <w:p w14:paraId="3EDA480B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>-.437***</w:t>
            </w:r>
          </w:p>
        </w:tc>
        <w:tc>
          <w:tcPr>
            <w:tcW w:w="440" w:type="pct"/>
          </w:tcPr>
          <w:p w14:paraId="570A9FF7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>-.560***</w:t>
            </w:r>
          </w:p>
        </w:tc>
        <w:tc>
          <w:tcPr>
            <w:tcW w:w="440" w:type="pct"/>
          </w:tcPr>
          <w:p w14:paraId="4DA7BBFE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>-.523***</w:t>
            </w:r>
          </w:p>
        </w:tc>
        <w:tc>
          <w:tcPr>
            <w:tcW w:w="423" w:type="pct"/>
          </w:tcPr>
          <w:p w14:paraId="36E3E361" w14:textId="77777777" w:rsidR="008627B8" w:rsidRPr="008627B8" w:rsidRDefault="008627B8" w:rsidP="00C61AAE">
            <w:pPr>
              <w:rPr>
                <w:rFonts w:ascii="Arial" w:hAnsi="Arial" w:cs="Arial"/>
                <w:b/>
                <w:bCs/>
              </w:rPr>
            </w:pPr>
            <w:r w:rsidRPr="008627B8">
              <w:rPr>
                <w:rFonts w:ascii="Arial" w:hAnsi="Arial" w:cs="Arial"/>
                <w:b/>
                <w:bCs/>
              </w:rPr>
              <w:t>-.489***</w:t>
            </w:r>
          </w:p>
        </w:tc>
      </w:tr>
    </w:tbl>
    <w:p w14:paraId="375618AA" w14:textId="77777777" w:rsidR="008627B8" w:rsidRPr="008627B8" w:rsidRDefault="008627B8" w:rsidP="008627B8">
      <w:pPr>
        <w:rPr>
          <w:rFonts w:ascii="Arial" w:hAnsi="Arial" w:cs="Arial"/>
          <w:kern w:val="0"/>
          <w:shd w:val="clear" w:color="auto" w:fill="FFFFFF"/>
          <w14:ligatures w14:val="none"/>
        </w:rPr>
      </w:pPr>
      <w:r w:rsidRPr="008627B8">
        <w:rPr>
          <w:rFonts w:ascii="Arial" w:hAnsi="Arial" w:cs="Arial"/>
          <w:i/>
          <w:iCs/>
        </w:rPr>
        <w:t>Notes.</w:t>
      </w:r>
      <w:r w:rsidRPr="008627B8">
        <w:rPr>
          <w:rFonts w:ascii="Arial" w:hAnsi="Arial" w:cs="Arial"/>
        </w:rPr>
        <w:t xml:space="preserve"> Significant mean score changes are bolded, and significance is signified by this asterisk system: *</w:t>
      </w:r>
      <w:r w:rsidRPr="008627B8">
        <w:rPr>
          <w:rFonts w:ascii="Arial" w:hAnsi="Arial" w:cs="Arial"/>
          <w:i/>
          <w:iCs/>
        </w:rPr>
        <w:t>p</w:t>
      </w:r>
      <w:r w:rsidRPr="008627B8">
        <w:rPr>
          <w:rFonts w:ascii="Arial" w:hAnsi="Arial" w:cs="Arial"/>
        </w:rPr>
        <w:t xml:space="preserve"> &lt; .05, **</w:t>
      </w:r>
      <w:r w:rsidRPr="008627B8">
        <w:rPr>
          <w:rFonts w:ascii="Arial" w:hAnsi="Arial" w:cs="Arial"/>
          <w:i/>
          <w:iCs/>
        </w:rPr>
        <w:t>p</w:t>
      </w:r>
      <w:r w:rsidRPr="008627B8">
        <w:rPr>
          <w:rFonts w:ascii="Arial" w:hAnsi="Arial" w:cs="Arial"/>
        </w:rPr>
        <w:t xml:space="preserve"> ≤ .01, ***</w:t>
      </w:r>
      <w:r w:rsidRPr="008627B8">
        <w:rPr>
          <w:rFonts w:ascii="Arial" w:hAnsi="Arial" w:cs="Arial"/>
          <w:i/>
          <w:iCs/>
        </w:rPr>
        <w:t>p</w:t>
      </w:r>
      <w:r w:rsidRPr="008627B8">
        <w:rPr>
          <w:rFonts w:ascii="Arial" w:hAnsi="Arial" w:cs="Arial"/>
        </w:rPr>
        <w:t xml:space="preserve"> ≤ .001. </w:t>
      </w:r>
      <w:r w:rsidRPr="008627B8">
        <w:rPr>
          <w:rFonts w:ascii="Arial" w:hAnsi="Arial" w:cs="Arial"/>
          <w:kern w:val="0"/>
          <w:shd w:val="clear" w:color="auto" w:fill="FFFFFF"/>
          <w14:ligatures w14:val="none"/>
        </w:rPr>
        <w:t>These correlations were calculated using the participants’ scores measured just before they started the Let’s Play programme (Post-wait Baseline for Waitlist Control participants and Baseline for Active support participants).</w:t>
      </w:r>
    </w:p>
    <w:p w14:paraId="7CFD0CF1" w14:textId="77777777" w:rsidR="008627B8" w:rsidRPr="008627B8" w:rsidRDefault="008627B8" w:rsidP="008627B8">
      <w:pPr>
        <w:rPr>
          <w:rFonts w:ascii="Arial" w:hAnsi="Arial" w:cs="Arial"/>
        </w:rPr>
      </w:pPr>
    </w:p>
    <w:p w14:paraId="12E67BEE" w14:textId="77777777" w:rsidR="008627B8" w:rsidRPr="008627B8" w:rsidRDefault="008627B8" w:rsidP="008627B8">
      <w:pPr>
        <w:rPr>
          <w:rFonts w:ascii="Arial" w:hAnsi="Arial" w:cs="Arial"/>
        </w:rPr>
      </w:pPr>
    </w:p>
    <w:p w14:paraId="2F2D0F09" w14:textId="77777777" w:rsidR="00AF6B7F" w:rsidRPr="008627B8" w:rsidRDefault="00AF6B7F">
      <w:pPr>
        <w:rPr>
          <w:rFonts w:ascii="Arial" w:hAnsi="Arial" w:cs="Arial"/>
        </w:rPr>
      </w:pPr>
    </w:p>
    <w:sectPr w:rsidR="00AF6B7F" w:rsidRPr="008627B8" w:rsidSect="00977D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B8"/>
    <w:rsid w:val="000C1E65"/>
    <w:rsid w:val="002666B2"/>
    <w:rsid w:val="008627B8"/>
    <w:rsid w:val="00862FB5"/>
    <w:rsid w:val="00886FD2"/>
    <w:rsid w:val="00977DDD"/>
    <w:rsid w:val="009F73C2"/>
    <w:rsid w:val="00A253D7"/>
    <w:rsid w:val="00A70686"/>
    <w:rsid w:val="00AE15E6"/>
    <w:rsid w:val="00AF6B7F"/>
    <w:rsid w:val="00E1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ADCD7"/>
  <w15:chartTrackingRefBased/>
  <w15:docId w15:val="{9D2877D0-6EA1-4161-B411-18EC9324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7B8"/>
    <w:rPr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27B8"/>
    <w:pPr>
      <w:keepNext/>
      <w:keepLines/>
      <w:spacing w:after="0"/>
      <w:jc w:val="center"/>
      <w:outlineLvl w:val="1"/>
    </w:pPr>
    <w:rPr>
      <w:rFonts w:ascii="Aptos" w:eastAsiaTheme="majorEastAsia" w:hAnsi="Aptos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27B8"/>
    <w:rPr>
      <w:rFonts w:ascii="Aptos" w:eastAsiaTheme="majorEastAsia" w:hAnsi="Aptos" w:cstheme="majorBidi"/>
      <w:b/>
      <w:kern w:val="2"/>
      <w:sz w:val="24"/>
      <w:szCs w:val="32"/>
      <w14:ligatures w14:val="standardContextual"/>
    </w:rPr>
  </w:style>
  <w:style w:type="table" w:styleId="TableGrid">
    <w:name w:val="Table Grid"/>
    <w:basedOn w:val="TableNormal"/>
    <w:uiPriority w:val="39"/>
    <w:rsid w:val="008627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2b2326c-f811-4ccc-abcb-1b955c303c2e}" enabled="1" method="Standard" siteId="{dc781727-710e-4855-bc4c-690266a1b55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McLay</dc:creator>
  <cp:keywords/>
  <dc:description/>
  <cp:lastModifiedBy>Sanjay Venkatesan</cp:lastModifiedBy>
  <cp:revision>3</cp:revision>
  <dcterms:created xsi:type="dcterms:W3CDTF">2026-03-24T23:00:00Z</dcterms:created>
  <dcterms:modified xsi:type="dcterms:W3CDTF">2026-06-14T03:40:00Z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b2326c-f811-4ccc-abcb-1b955c303c2e_Enabled">
    <vt:lpwstr>true</vt:lpwstr>
  </property>
  <property fmtid="{D5CDD505-2E9C-101B-9397-08002B2CF9AE}" pid="3" name="MSIP_Label_d2b2326c-f811-4ccc-abcb-1b955c303c2e_SetDate">
    <vt:lpwstr>2025-11-13T00:58:25Z</vt:lpwstr>
  </property>
  <property fmtid="{D5CDD505-2E9C-101B-9397-08002B2CF9AE}" pid="4" name="MSIP_Label_d2b2326c-f811-4ccc-abcb-1b955c303c2e_Method">
    <vt:lpwstr>Standard</vt:lpwstr>
  </property>
  <property fmtid="{D5CDD505-2E9C-101B-9397-08002B2CF9AE}" pid="5" name="MSIP_Label_d2b2326c-f811-4ccc-abcb-1b955c303c2e_Name">
    <vt:lpwstr>In-Confidence</vt:lpwstr>
  </property>
  <property fmtid="{D5CDD505-2E9C-101B-9397-08002B2CF9AE}" pid="6" name="MSIP_Label_d2b2326c-f811-4ccc-abcb-1b955c303c2e_SiteId">
    <vt:lpwstr>dc781727-710e-4855-bc4c-690266a1b551</vt:lpwstr>
  </property>
  <property fmtid="{D5CDD505-2E9C-101B-9397-08002B2CF9AE}" pid="7" name="MSIP_Label_d2b2326c-f811-4ccc-abcb-1b955c303c2e_ActionId">
    <vt:lpwstr>908f8a2f-b1e8-430a-add5-210a1944feae</vt:lpwstr>
  </property>
  <property fmtid="{D5CDD505-2E9C-101B-9397-08002B2CF9AE}" pid="8" name="MSIP_Label_d2b2326c-f811-4ccc-abcb-1b955c303c2e_ContentBits">
    <vt:lpwstr>2</vt:lpwstr>
  </property>
  <property fmtid="{D5CDD505-2E9C-101B-9397-08002B2CF9AE}" pid="9" name="MSIP_Label_d2b2326c-f811-4ccc-abcb-1b955c303c2e_Tag">
    <vt:lpwstr>10, 3, 0, 1</vt:lpwstr>
  </property>
</Properties>
</file>