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2D13D" w14:textId="7B1F26E2" w:rsidR="00C56E10" w:rsidRPr="006A66D5" w:rsidRDefault="00C56E10" w:rsidP="00C56E10">
      <w:pPr>
        <w:spacing w:line="480" w:lineRule="auto"/>
        <w:rPr>
          <w:i/>
          <w:iCs/>
        </w:rPr>
      </w:pPr>
      <w:r>
        <w:rPr>
          <w:i/>
          <w:iCs/>
        </w:rPr>
        <w:t>Supplementary Tabl</w:t>
      </w:r>
      <w:r w:rsidR="007D4EC9">
        <w:rPr>
          <w:i/>
          <w:iCs/>
        </w:rPr>
        <w:t>e</w:t>
      </w:r>
      <w:r>
        <w:rPr>
          <w:i/>
          <w:iCs/>
        </w:rPr>
        <w:t xml:space="preserve"> S1</w:t>
      </w:r>
      <w:bookmarkStart w:id="0" w:name="_GoBack"/>
      <w:bookmarkEnd w:id="0"/>
    </w:p>
    <w:p w14:paraId="5D59E745" w14:textId="77777777" w:rsidR="0058325E" w:rsidRPr="0080708E" w:rsidRDefault="0058325E" w:rsidP="0058325E">
      <w:pPr>
        <w:spacing w:line="480" w:lineRule="auto"/>
        <w:rPr>
          <w:i/>
          <w:iCs/>
        </w:rPr>
      </w:pPr>
      <w:r w:rsidRPr="0080708E">
        <w:rPr>
          <w:i/>
          <w:iCs/>
        </w:rPr>
        <w:t>Summary of Country Selection Across Four Dimensions of Pre-Analysis Variation</w:t>
      </w:r>
    </w:p>
    <w:tbl>
      <w:tblPr>
        <w:tblW w:w="9360" w:type="dxa"/>
        <w:tblBorders>
          <w:top w:val="single" w:sz="2" w:space="0" w:color="999999"/>
          <w:bottom w:val="single" w:sz="2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2100"/>
        <w:gridCol w:w="2300"/>
        <w:gridCol w:w="2100"/>
        <w:gridCol w:w="1660"/>
      </w:tblGrid>
      <w:tr w:rsidR="0058325E" w:rsidRPr="00ED754A" w14:paraId="12342A53" w14:textId="77777777" w:rsidTr="00EF6260">
        <w:trPr>
          <w:tblHeader/>
        </w:trPr>
        <w:tc>
          <w:tcPr>
            <w:tcW w:w="1200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0A2917" w14:textId="77777777" w:rsidR="0058325E" w:rsidRPr="00ED754A" w:rsidRDefault="0058325E" w:rsidP="00EF6260">
            <w:pPr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Country</w:t>
            </w:r>
          </w:p>
        </w:tc>
        <w:tc>
          <w:tcPr>
            <w:tcW w:w="2100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D74E31" w14:textId="77777777" w:rsidR="0058325E" w:rsidRPr="00ED754A" w:rsidRDefault="0058325E" w:rsidP="00EF6260">
            <w:pPr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Health System Organization</w:t>
            </w:r>
          </w:p>
        </w:tc>
        <w:tc>
          <w:tcPr>
            <w:tcW w:w="2300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F8ACA" w14:textId="77777777" w:rsidR="0058325E" w:rsidRPr="00ED754A" w:rsidRDefault="0058325E" w:rsidP="00EF6260">
            <w:pPr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Institutional Arrangement for National Clinical Guidance</w:t>
            </w:r>
          </w:p>
        </w:tc>
        <w:tc>
          <w:tcPr>
            <w:tcW w:w="2100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DC2AD2" w14:textId="77777777" w:rsidR="0058325E" w:rsidRPr="00ED754A" w:rsidRDefault="0058325E" w:rsidP="00EF6260">
            <w:pPr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Status of National Autism-Specific Guidance</w:t>
            </w:r>
          </w:p>
        </w:tc>
        <w:tc>
          <w:tcPr>
            <w:tcW w:w="1660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63800C" w14:textId="77777777" w:rsidR="0058325E" w:rsidRPr="00ED754A" w:rsidRDefault="0058325E" w:rsidP="00EF6260">
            <w:pPr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Guideline Language</w:t>
            </w:r>
          </w:p>
        </w:tc>
      </w:tr>
      <w:tr w:rsidR="0058325E" w:rsidRPr="00ED754A" w14:paraId="3FE87BB9" w14:textId="77777777" w:rsidTr="00EF6260">
        <w:tc>
          <w:tcPr>
            <w:tcW w:w="1200" w:type="dxa"/>
            <w:tcBorders>
              <w:top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85D15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Australia</w:t>
            </w:r>
          </w:p>
        </w:tc>
        <w:tc>
          <w:tcPr>
            <w:tcW w:w="2100" w:type="dxa"/>
            <w:tcBorders>
              <w:top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27F1E7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Federal system; states and territories deliver health services within national frameworks</w:t>
            </w:r>
          </w:p>
        </w:tc>
        <w:tc>
          <w:tcPr>
            <w:tcW w:w="2300" w:type="dxa"/>
            <w:tcBorders>
              <w:top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780DC1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Government-supported research consortium (Autism CRC) with national approval body (NHMRC)</w:t>
            </w:r>
          </w:p>
        </w:tc>
        <w:tc>
          <w:tcPr>
            <w:tcW w:w="2100" w:type="dxa"/>
            <w:tcBorders>
              <w:top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B448A2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Established: two national clinical practice guidelines plus related frameworks</w:t>
            </w:r>
          </w:p>
        </w:tc>
        <w:tc>
          <w:tcPr>
            <w:tcW w:w="1660" w:type="dxa"/>
            <w:tcBorders>
              <w:top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32612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English</w:t>
            </w:r>
          </w:p>
        </w:tc>
      </w:tr>
      <w:tr w:rsidR="0058325E" w:rsidRPr="00ED754A" w14:paraId="6669B073" w14:textId="77777777" w:rsidTr="00EF6260">
        <w:tc>
          <w:tcPr>
            <w:tcW w:w="1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DF335C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England</w:t>
            </w:r>
          </w:p>
        </w:tc>
        <w:tc>
          <w:tcPr>
            <w:tcW w:w="21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23162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Centralized national health service (NHS England) with local commissioning</w:t>
            </w:r>
          </w:p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ED31B9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Arm’s-length non-departmental public body (NICE)</w:t>
            </w:r>
          </w:p>
        </w:tc>
        <w:tc>
          <w:tcPr>
            <w:tcW w:w="21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997E17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Established: multiple national guidelines covering all ages</w:t>
            </w:r>
          </w:p>
        </w:tc>
        <w:tc>
          <w:tcPr>
            <w:tcW w:w="166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72A2D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English</w:t>
            </w:r>
          </w:p>
        </w:tc>
      </w:tr>
      <w:tr w:rsidR="0058325E" w:rsidRPr="00ED754A" w14:paraId="7C3A40E6" w14:textId="77777777" w:rsidTr="00EF6260">
        <w:tc>
          <w:tcPr>
            <w:tcW w:w="1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A31D24" w14:textId="77777777" w:rsidR="0058325E" w:rsidRPr="00ED754A" w:rsidRDefault="0058325E" w:rsidP="00EF6260">
            <w:pPr>
              <w:spacing w:line="22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Norway</w:t>
            </w:r>
          </w:p>
        </w:tc>
        <w:tc>
          <w:tcPr>
            <w:tcW w:w="21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1E777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Semi-decentralized: 4 regional health authorities; municipalities deliver primary and social care</w:t>
            </w:r>
          </w:p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397D98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Regional initiative (existing); national government agency (Helsedirektoratet) developing first national guideline</w:t>
            </w:r>
          </w:p>
        </w:tc>
        <w:tc>
          <w:tcPr>
            <w:tcW w:w="21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94275B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Emerging: regional diagnostic guideline in de facto national use; national guideline under development</w:t>
            </w:r>
          </w:p>
        </w:tc>
        <w:tc>
          <w:tcPr>
            <w:tcW w:w="166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B6A08E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Norwegian</w:t>
            </w:r>
          </w:p>
        </w:tc>
      </w:tr>
      <w:tr w:rsidR="0058325E" w:rsidRPr="00ED754A" w14:paraId="255C922E" w14:textId="77777777" w:rsidTr="00EF6260">
        <w:tc>
          <w:tcPr>
            <w:tcW w:w="1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D8A52C" w14:textId="77777777" w:rsidR="0058325E" w:rsidRPr="00ED754A" w:rsidRDefault="0058325E" w:rsidP="00EF6260">
            <w:pPr>
              <w:spacing w:line="22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Scotland</w:t>
            </w:r>
          </w:p>
        </w:tc>
        <w:tc>
          <w:tcPr>
            <w:tcW w:w="21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57F4C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Devolved NHS Scotland; 14 territorial NHS boards</w:t>
            </w:r>
          </w:p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31592E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Guideline network (SIGN) within HIS</w:t>
            </w:r>
          </w:p>
        </w:tc>
        <w:tc>
          <w:tcPr>
            <w:tcW w:w="21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3719FE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Established but aging: single national guideline (2016, revalidated 2019)</w:t>
            </w:r>
          </w:p>
        </w:tc>
        <w:tc>
          <w:tcPr>
            <w:tcW w:w="166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D0EC6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English</w:t>
            </w:r>
          </w:p>
        </w:tc>
      </w:tr>
      <w:tr w:rsidR="0058325E" w:rsidRPr="00ED754A" w14:paraId="60F9F4CE" w14:textId="77777777" w:rsidTr="00EF6260">
        <w:tc>
          <w:tcPr>
            <w:tcW w:w="1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60B6CA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Sweden</w:t>
            </w:r>
          </w:p>
        </w:tc>
        <w:tc>
          <w:tcPr>
            <w:tcW w:w="21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1598B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Decentralized: 21 regions deliver health care; 290 municipalities deliver social services</w:t>
            </w:r>
          </w:p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E51491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National government agency (Socialstyrelsen)</w:t>
            </w:r>
          </w:p>
        </w:tc>
        <w:tc>
          <w:tcPr>
            <w:tcW w:w="21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52EE3E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Established: national prioritization framework (distinct from clinical practice guideline)</w:t>
            </w:r>
          </w:p>
        </w:tc>
        <w:tc>
          <w:tcPr>
            <w:tcW w:w="166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8AAC20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Swedish</w:t>
            </w:r>
          </w:p>
        </w:tc>
      </w:tr>
      <w:tr w:rsidR="0058325E" w:rsidRPr="00ED754A" w14:paraId="0D40F104" w14:textId="77777777" w:rsidTr="00EF6260">
        <w:tc>
          <w:tcPr>
            <w:tcW w:w="1200" w:type="dxa"/>
            <w:tcBorders>
              <w:bottom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3170FA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b/>
                <w:bCs/>
                <w:color w:val="000000" w:themeColor="text1"/>
                <w:sz w:val="18"/>
                <w:szCs w:val="18"/>
              </w:rPr>
              <w:t>United States</w:t>
            </w:r>
          </w:p>
        </w:tc>
        <w:tc>
          <w:tcPr>
            <w:tcW w:w="2100" w:type="dxa"/>
            <w:tcBorders>
              <w:bottom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C82779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Federal system; states administer health, education, and disability services</w:t>
            </w:r>
          </w:p>
        </w:tc>
        <w:tc>
          <w:tcPr>
            <w:tcW w:w="2300" w:type="dxa"/>
            <w:tcBorders>
              <w:bottom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9F2227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Distributed: professional societies (AAP, AACAP, APA), federal advisory body (IACC), screening task force (USPSTF), public health agency (CDC)</w:t>
            </w:r>
          </w:p>
        </w:tc>
        <w:tc>
          <w:tcPr>
            <w:tcW w:w="2100" w:type="dxa"/>
            <w:tcBorders>
              <w:bottom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DF9CD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No single national autism guideline; distributed professional and federal guidance</w:t>
            </w:r>
          </w:p>
        </w:tc>
        <w:tc>
          <w:tcPr>
            <w:tcW w:w="1660" w:type="dxa"/>
            <w:tcBorders>
              <w:bottom w:val="single" w:sz="2" w:space="0" w:color="000000" w:themeColor="text1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94F9D3" w14:textId="77777777" w:rsidR="0058325E" w:rsidRPr="00ED754A" w:rsidRDefault="0058325E" w:rsidP="00EF6260">
            <w:pPr>
              <w:spacing w:line="220" w:lineRule="auto"/>
              <w:rPr>
                <w:color w:val="000000" w:themeColor="text1"/>
                <w:sz w:val="18"/>
                <w:szCs w:val="18"/>
              </w:rPr>
            </w:pPr>
            <w:r w:rsidRPr="00ED754A">
              <w:rPr>
                <w:color w:val="000000" w:themeColor="text1"/>
                <w:sz w:val="18"/>
                <w:szCs w:val="18"/>
              </w:rPr>
              <w:t>English</w:t>
            </w:r>
          </w:p>
        </w:tc>
      </w:tr>
    </w:tbl>
    <w:p w14:paraId="0F6AE65F" w14:textId="77777777" w:rsidR="0058325E" w:rsidRDefault="0058325E" w:rsidP="0058325E">
      <w:pPr>
        <w:spacing w:line="480" w:lineRule="auto"/>
      </w:pPr>
    </w:p>
    <w:p w14:paraId="13147BAB" w14:textId="77777777" w:rsidR="0058325E" w:rsidRDefault="0058325E" w:rsidP="0058325E">
      <w:pPr>
        <w:spacing w:line="480" w:lineRule="auto"/>
      </w:pPr>
      <w:r w:rsidRPr="00234E12">
        <w:rPr>
          <w:i/>
          <w:iCs/>
        </w:rPr>
        <w:t>Note.</w:t>
      </w:r>
      <w:r>
        <w:t xml:space="preserve"> </w:t>
      </w:r>
      <w:r w:rsidRPr="00257A60">
        <w:t>Countries were selected purposively to capture variation in health system organization, institutional arrangements for producing national clinical guidance, the status of national autism-specific guidance, and linguistic diversity. England and Scotland are treated as distinct guidance systems because health care governance is devolved within the United Kingdom.</w:t>
      </w:r>
    </w:p>
    <w:p w14:paraId="3B7E665F" w14:textId="011A5872" w:rsidR="003F5265" w:rsidRDefault="0058325E" w:rsidP="0058325E">
      <w:pPr>
        <w:spacing w:line="480" w:lineRule="auto"/>
      </w:pPr>
      <w:r w:rsidRPr="00234E12">
        <w:rPr>
          <w:i/>
          <w:iCs/>
        </w:rPr>
        <w:t>Abbreviation</w:t>
      </w:r>
      <w:r>
        <w:rPr>
          <w:i/>
          <w:iCs/>
        </w:rPr>
        <w:t>s.</w:t>
      </w:r>
      <w:r w:rsidRPr="002F2B9B">
        <w:t xml:space="preserve"> AACAP = American Academy of Child and Adolescent Psychiatry; AAP = American Academy of Pediatrics; APA = American Psychiatric Association; Autism CRC = Autism Cooperative Research Centre; CDC = Centers for Disease Control and Prevention; Helsedirektoratet = Norwegian Directorate of Health; HIS = Healthcare Improvement Scotland; IACC = Interagency Autism Coordinating Committee; NHMRC = National Health and Medical </w:t>
      </w:r>
      <w:r w:rsidRPr="002F2B9B">
        <w:lastRenderedPageBreak/>
        <w:t>Research Council; NHS = National Health Service; NICE = National Institute for Health and Care Excellence; SIGN = Scottish Intercollegiate Guidelines Network; Socialstyrelsen = Swedish National Board of Health and Welfare; USPSTF = U.S. Preventive Services Task Force.</w:t>
      </w:r>
    </w:p>
    <w:sectPr w:rsidR="003F5265" w:rsidSect="00FD1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65"/>
    <w:rsid w:val="001800ED"/>
    <w:rsid w:val="002B1542"/>
    <w:rsid w:val="003F5265"/>
    <w:rsid w:val="004C3F8D"/>
    <w:rsid w:val="0058325E"/>
    <w:rsid w:val="007D4EC9"/>
    <w:rsid w:val="00C56E10"/>
    <w:rsid w:val="00DD2551"/>
    <w:rsid w:val="00FD1066"/>
    <w:rsid w:val="00FE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935F8"/>
  <w15:chartTrackingRefBased/>
  <w15:docId w15:val="{1A2A4DBC-336E-344A-B8F5-87539E14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2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2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2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26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26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26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26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26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26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26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2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2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2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2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5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26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5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26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5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526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52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2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2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EF9DA-72F6-4614-9013-21DEA64AE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Hwang</dc:creator>
  <cp:keywords/>
  <dc:description/>
  <cp:lastModifiedBy>Sanjay Venkatesan</cp:lastModifiedBy>
  <cp:revision>3</cp:revision>
  <dcterms:created xsi:type="dcterms:W3CDTF">2026-06-13T13:59:00Z</dcterms:created>
  <dcterms:modified xsi:type="dcterms:W3CDTF">2026-06-22T01:14:00Z</dcterms:modified>
</cp:coreProperties>
</file>