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7CC5B" w14:textId="187E2AB9" w:rsidR="00555F0C" w:rsidRPr="006A66D5" w:rsidRDefault="00E747FA" w:rsidP="00555F0C">
      <w:pPr>
        <w:spacing w:line="480" w:lineRule="auto"/>
        <w:rPr>
          <w:i/>
          <w:iCs/>
        </w:rPr>
      </w:pPr>
      <w:r>
        <w:rPr>
          <w:i/>
          <w:iCs/>
        </w:rPr>
        <w:t>Supplementary Tabl</w:t>
      </w:r>
      <w:r w:rsidR="00190AD2">
        <w:rPr>
          <w:i/>
          <w:iCs/>
        </w:rPr>
        <w:t>e</w:t>
      </w:r>
      <w:r>
        <w:rPr>
          <w:i/>
          <w:iCs/>
        </w:rPr>
        <w:t xml:space="preserve"> S</w:t>
      </w:r>
      <w:r w:rsidR="00310638">
        <w:rPr>
          <w:i/>
          <w:iCs/>
        </w:rPr>
        <w:t>2</w:t>
      </w:r>
      <w:bookmarkStart w:id="0" w:name="_GoBack"/>
      <w:bookmarkEnd w:id="0"/>
    </w:p>
    <w:p w14:paraId="03277A1B" w14:textId="77777777" w:rsidR="00555F0C" w:rsidRDefault="00555F0C" w:rsidP="00555F0C">
      <w:pPr>
        <w:spacing w:line="480" w:lineRule="auto"/>
      </w:pPr>
      <w:r w:rsidRPr="006A66D5">
        <w:rPr>
          <w:i/>
          <w:iCs/>
        </w:rPr>
        <w:t>Primary Guidance Documents Included in the Analysis</w:t>
      </w:r>
      <w:r w:rsidRPr="006A66D5">
        <w:t xml:space="preserve"> </w:t>
      </w:r>
    </w:p>
    <w:tbl>
      <w:tblPr>
        <w:tblW w:w="9262" w:type="dxa"/>
        <w:tblBorders>
          <w:top w:val="single" w:sz="2" w:space="0" w:color="000000" w:themeColor="text1"/>
          <w:bottom w:val="single" w:sz="2" w:space="0" w:color="000000" w:themeColor="text1"/>
        </w:tblBorders>
        <w:tblCellMar>
          <w:left w:w="10" w:type="dxa"/>
          <w:right w:w="10" w:type="dxa"/>
        </w:tblCellMar>
        <w:tblLook w:val="0000" w:firstRow="0" w:lastRow="0" w:firstColumn="0" w:lastColumn="0" w:noHBand="0" w:noVBand="0"/>
      </w:tblPr>
      <w:tblGrid>
        <w:gridCol w:w="910"/>
        <w:gridCol w:w="3312"/>
        <w:gridCol w:w="1872"/>
        <w:gridCol w:w="1440"/>
        <w:gridCol w:w="1728"/>
      </w:tblGrid>
      <w:tr w:rsidR="00555F0C" w:rsidRPr="009A02BA" w14:paraId="4DF34102" w14:textId="77777777" w:rsidTr="001E1277">
        <w:trPr>
          <w:tblHeader/>
        </w:trPr>
        <w:tc>
          <w:tcPr>
            <w:tcW w:w="910" w:type="dxa"/>
            <w:tcBorders>
              <w:top w:val="single" w:sz="2" w:space="0" w:color="000000" w:themeColor="text1"/>
              <w:bottom w:val="single" w:sz="2" w:space="0" w:color="000000" w:themeColor="text1"/>
            </w:tcBorders>
            <w:tcMar>
              <w:top w:w="50" w:type="dxa"/>
              <w:left w:w="80" w:type="dxa"/>
              <w:bottom w:w="50" w:type="dxa"/>
              <w:right w:w="80" w:type="dxa"/>
            </w:tcMar>
          </w:tcPr>
          <w:p w14:paraId="1C841662" w14:textId="77777777" w:rsidR="00555F0C" w:rsidRPr="009A02BA" w:rsidRDefault="00555F0C" w:rsidP="001E1277">
            <w:pPr>
              <w:spacing w:after="20"/>
              <w:rPr>
                <w:color w:val="000000" w:themeColor="text1"/>
                <w:sz w:val="18"/>
                <w:szCs w:val="18"/>
              </w:rPr>
            </w:pPr>
            <w:r w:rsidRPr="009A02BA">
              <w:rPr>
                <w:b/>
                <w:bCs/>
                <w:color w:val="000000" w:themeColor="text1"/>
                <w:sz w:val="18"/>
                <w:szCs w:val="18"/>
              </w:rPr>
              <w:t>Country</w:t>
            </w:r>
          </w:p>
        </w:tc>
        <w:tc>
          <w:tcPr>
            <w:tcW w:w="3312" w:type="dxa"/>
            <w:tcBorders>
              <w:top w:val="single" w:sz="2" w:space="0" w:color="000000" w:themeColor="text1"/>
              <w:bottom w:val="single" w:sz="2" w:space="0" w:color="000000" w:themeColor="text1"/>
            </w:tcBorders>
            <w:tcMar>
              <w:top w:w="50" w:type="dxa"/>
              <w:left w:w="80" w:type="dxa"/>
              <w:bottom w:w="50" w:type="dxa"/>
              <w:right w:w="80" w:type="dxa"/>
            </w:tcMar>
          </w:tcPr>
          <w:p w14:paraId="125B7D66" w14:textId="77777777" w:rsidR="00555F0C" w:rsidRPr="009A02BA" w:rsidRDefault="00555F0C" w:rsidP="001E1277">
            <w:pPr>
              <w:spacing w:after="20"/>
              <w:rPr>
                <w:color w:val="000000" w:themeColor="text1"/>
                <w:sz w:val="18"/>
                <w:szCs w:val="18"/>
              </w:rPr>
            </w:pPr>
            <w:r w:rsidRPr="009A02BA">
              <w:rPr>
                <w:b/>
                <w:bCs/>
                <w:color w:val="000000" w:themeColor="text1"/>
                <w:sz w:val="18"/>
                <w:szCs w:val="18"/>
              </w:rPr>
              <w:t>Document Title</w:t>
            </w:r>
          </w:p>
        </w:tc>
        <w:tc>
          <w:tcPr>
            <w:tcW w:w="1872" w:type="dxa"/>
            <w:tcBorders>
              <w:top w:val="single" w:sz="2" w:space="0" w:color="000000" w:themeColor="text1"/>
              <w:bottom w:val="single" w:sz="2" w:space="0" w:color="000000" w:themeColor="text1"/>
            </w:tcBorders>
            <w:tcMar>
              <w:top w:w="50" w:type="dxa"/>
              <w:left w:w="80" w:type="dxa"/>
              <w:bottom w:w="50" w:type="dxa"/>
              <w:right w:w="80" w:type="dxa"/>
            </w:tcMar>
          </w:tcPr>
          <w:p w14:paraId="5AE66F0C" w14:textId="77777777" w:rsidR="00555F0C" w:rsidRPr="009A02BA" w:rsidRDefault="00555F0C" w:rsidP="001E1277">
            <w:pPr>
              <w:spacing w:after="20"/>
              <w:rPr>
                <w:color w:val="000000" w:themeColor="text1"/>
                <w:sz w:val="18"/>
                <w:szCs w:val="18"/>
              </w:rPr>
            </w:pPr>
            <w:r w:rsidRPr="009A02BA">
              <w:rPr>
                <w:b/>
                <w:bCs/>
                <w:color w:val="000000" w:themeColor="text1"/>
                <w:sz w:val="18"/>
                <w:szCs w:val="18"/>
              </w:rPr>
              <w:t>Issuing Body</w:t>
            </w:r>
          </w:p>
        </w:tc>
        <w:tc>
          <w:tcPr>
            <w:tcW w:w="1440" w:type="dxa"/>
            <w:tcBorders>
              <w:top w:val="single" w:sz="2" w:space="0" w:color="000000" w:themeColor="text1"/>
              <w:bottom w:val="single" w:sz="2" w:space="0" w:color="000000" w:themeColor="text1"/>
            </w:tcBorders>
            <w:tcMar>
              <w:top w:w="50" w:type="dxa"/>
              <w:left w:w="80" w:type="dxa"/>
              <w:bottom w:w="50" w:type="dxa"/>
              <w:right w:w="80" w:type="dxa"/>
            </w:tcMar>
          </w:tcPr>
          <w:p w14:paraId="553EF3A7" w14:textId="77777777" w:rsidR="00555F0C" w:rsidRPr="009A02BA" w:rsidRDefault="00555F0C" w:rsidP="001E1277">
            <w:pPr>
              <w:spacing w:after="20"/>
              <w:rPr>
                <w:color w:val="000000" w:themeColor="text1"/>
                <w:sz w:val="18"/>
                <w:szCs w:val="18"/>
              </w:rPr>
            </w:pPr>
            <w:r w:rsidRPr="009A02BA">
              <w:rPr>
                <w:b/>
                <w:bCs/>
                <w:color w:val="000000" w:themeColor="text1"/>
                <w:sz w:val="18"/>
                <w:szCs w:val="18"/>
              </w:rPr>
              <w:t>Year</w:t>
            </w:r>
          </w:p>
        </w:tc>
        <w:tc>
          <w:tcPr>
            <w:tcW w:w="1728" w:type="dxa"/>
            <w:tcBorders>
              <w:top w:val="single" w:sz="2" w:space="0" w:color="000000" w:themeColor="text1"/>
              <w:bottom w:val="single" w:sz="2" w:space="0" w:color="000000" w:themeColor="text1"/>
            </w:tcBorders>
            <w:tcMar>
              <w:top w:w="50" w:type="dxa"/>
              <w:left w:w="80" w:type="dxa"/>
              <w:bottom w:w="50" w:type="dxa"/>
              <w:right w:w="80" w:type="dxa"/>
            </w:tcMar>
          </w:tcPr>
          <w:p w14:paraId="6B1634C4" w14:textId="77777777" w:rsidR="00555F0C" w:rsidRPr="009A02BA" w:rsidRDefault="00555F0C" w:rsidP="001E1277">
            <w:pPr>
              <w:spacing w:after="20"/>
              <w:rPr>
                <w:color w:val="000000" w:themeColor="text1"/>
                <w:sz w:val="18"/>
                <w:szCs w:val="18"/>
              </w:rPr>
            </w:pPr>
            <w:r w:rsidRPr="009A02BA">
              <w:rPr>
                <w:b/>
                <w:bCs/>
                <w:color w:val="000000" w:themeColor="text1"/>
                <w:sz w:val="18"/>
                <w:szCs w:val="18"/>
              </w:rPr>
              <w:t>Document Type</w:t>
            </w:r>
          </w:p>
        </w:tc>
      </w:tr>
      <w:tr w:rsidR="00555F0C" w:rsidRPr="009A02BA" w14:paraId="3A2F5B5E" w14:textId="77777777" w:rsidTr="001E1277">
        <w:tc>
          <w:tcPr>
            <w:tcW w:w="910" w:type="dxa"/>
            <w:vMerge w:val="restart"/>
            <w:tcBorders>
              <w:top w:val="single" w:sz="2" w:space="0" w:color="000000" w:themeColor="text1"/>
            </w:tcBorders>
            <w:tcMar>
              <w:top w:w="50" w:type="dxa"/>
              <w:left w:w="80" w:type="dxa"/>
              <w:bottom w:w="50" w:type="dxa"/>
              <w:right w:w="80" w:type="dxa"/>
            </w:tcMar>
          </w:tcPr>
          <w:p w14:paraId="0811C2AC" w14:textId="77777777" w:rsidR="00555F0C" w:rsidRPr="009A02BA" w:rsidRDefault="00555F0C" w:rsidP="001E1277">
            <w:pPr>
              <w:spacing w:after="20" w:line="220" w:lineRule="auto"/>
              <w:rPr>
                <w:color w:val="000000" w:themeColor="text1"/>
                <w:sz w:val="18"/>
                <w:szCs w:val="18"/>
              </w:rPr>
            </w:pPr>
            <w:r w:rsidRPr="009A02BA">
              <w:rPr>
                <w:b/>
                <w:bCs/>
                <w:color w:val="000000" w:themeColor="text1"/>
                <w:sz w:val="18"/>
                <w:szCs w:val="18"/>
              </w:rPr>
              <w:t>Australia</w:t>
            </w:r>
          </w:p>
        </w:tc>
        <w:tc>
          <w:tcPr>
            <w:tcW w:w="3312" w:type="dxa"/>
            <w:tcBorders>
              <w:top w:val="single" w:sz="2" w:space="0" w:color="000000" w:themeColor="text1"/>
            </w:tcBorders>
            <w:tcMar>
              <w:top w:w="50" w:type="dxa"/>
              <w:left w:w="80" w:type="dxa"/>
              <w:bottom w:w="50" w:type="dxa"/>
              <w:right w:w="80" w:type="dxa"/>
            </w:tcMar>
          </w:tcPr>
          <w:p w14:paraId="2C65E4E7"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National Guideline for Supporting the Learning, Participation, and Wellbeing of Autistic Children and Their Families in Australia</w:t>
            </w:r>
          </w:p>
        </w:tc>
        <w:tc>
          <w:tcPr>
            <w:tcW w:w="1872" w:type="dxa"/>
            <w:tcBorders>
              <w:top w:val="single" w:sz="2" w:space="0" w:color="000000" w:themeColor="text1"/>
            </w:tcBorders>
            <w:tcMar>
              <w:top w:w="50" w:type="dxa"/>
              <w:left w:w="80" w:type="dxa"/>
              <w:bottom w:w="50" w:type="dxa"/>
              <w:right w:w="80" w:type="dxa"/>
            </w:tcMar>
          </w:tcPr>
          <w:p w14:paraId="5C0B3008"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Autism CRC</w:t>
            </w:r>
          </w:p>
        </w:tc>
        <w:tc>
          <w:tcPr>
            <w:tcW w:w="1440" w:type="dxa"/>
            <w:tcBorders>
              <w:top w:val="single" w:sz="2" w:space="0" w:color="000000" w:themeColor="text1"/>
            </w:tcBorders>
            <w:tcMar>
              <w:top w:w="50" w:type="dxa"/>
              <w:left w:w="80" w:type="dxa"/>
              <w:bottom w:w="50" w:type="dxa"/>
              <w:right w:w="80" w:type="dxa"/>
            </w:tcMar>
          </w:tcPr>
          <w:p w14:paraId="343E9300"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2022</w:t>
            </w:r>
          </w:p>
        </w:tc>
        <w:tc>
          <w:tcPr>
            <w:tcW w:w="1728" w:type="dxa"/>
            <w:tcBorders>
              <w:top w:val="single" w:sz="2" w:space="0" w:color="000000" w:themeColor="text1"/>
            </w:tcBorders>
            <w:tcMar>
              <w:top w:w="50" w:type="dxa"/>
              <w:left w:w="80" w:type="dxa"/>
              <w:bottom w:w="50" w:type="dxa"/>
              <w:right w:w="80" w:type="dxa"/>
            </w:tcMar>
          </w:tcPr>
          <w:p w14:paraId="5F9A36A6"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Clinical practice guideline</w:t>
            </w:r>
          </w:p>
        </w:tc>
      </w:tr>
      <w:tr w:rsidR="00555F0C" w:rsidRPr="009A02BA" w14:paraId="340C6464" w14:textId="77777777" w:rsidTr="001E1277">
        <w:tc>
          <w:tcPr>
            <w:tcW w:w="0" w:type="auto"/>
            <w:vMerge/>
          </w:tcPr>
          <w:p w14:paraId="45D0EF8D"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7B82DC38"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National Guideline for the Assessment and Diagnosis of Autism in Australia</w:t>
            </w:r>
          </w:p>
        </w:tc>
        <w:tc>
          <w:tcPr>
            <w:tcW w:w="1872" w:type="dxa"/>
            <w:tcMar>
              <w:top w:w="50" w:type="dxa"/>
              <w:left w:w="80" w:type="dxa"/>
              <w:bottom w:w="50" w:type="dxa"/>
              <w:right w:w="80" w:type="dxa"/>
            </w:tcMar>
          </w:tcPr>
          <w:p w14:paraId="6647550A"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Autism CRC</w:t>
            </w:r>
          </w:p>
        </w:tc>
        <w:tc>
          <w:tcPr>
            <w:tcW w:w="1440" w:type="dxa"/>
            <w:tcMar>
              <w:top w:w="50" w:type="dxa"/>
              <w:left w:w="80" w:type="dxa"/>
              <w:bottom w:w="50" w:type="dxa"/>
              <w:right w:w="80" w:type="dxa"/>
            </w:tcMar>
          </w:tcPr>
          <w:p w14:paraId="599654D8"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2018; updated 2023</w:t>
            </w:r>
          </w:p>
        </w:tc>
        <w:tc>
          <w:tcPr>
            <w:tcW w:w="1728" w:type="dxa"/>
            <w:tcMar>
              <w:top w:w="50" w:type="dxa"/>
              <w:left w:w="80" w:type="dxa"/>
              <w:bottom w:w="50" w:type="dxa"/>
              <w:right w:w="80" w:type="dxa"/>
            </w:tcMar>
          </w:tcPr>
          <w:p w14:paraId="7741D81A"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Clinical practice guideline</w:t>
            </w:r>
          </w:p>
        </w:tc>
      </w:tr>
      <w:tr w:rsidR="00555F0C" w:rsidRPr="009A02BA" w14:paraId="4A0EDE44" w14:textId="77777777" w:rsidTr="001E1277">
        <w:tc>
          <w:tcPr>
            <w:tcW w:w="910" w:type="dxa"/>
            <w:vMerge w:val="restart"/>
            <w:tcMar>
              <w:top w:w="50" w:type="dxa"/>
              <w:left w:w="80" w:type="dxa"/>
              <w:bottom w:w="50" w:type="dxa"/>
              <w:right w:w="80" w:type="dxa"/>
            </w:tcMar>
          </w:tcPr>
          <w:p w14:paraId="5A742F69" w14:textId="77777777" w:rsidR="00555F0C" w:rsidRPr="009A02BA" w:rsidRDefault="00555F0C" w:rsidP="001E1277">
            <w:pPr>
              <w:spacing w:after="20" w:line="220" w:lineRule="auto"/>
              <w:rPr>
                <w:color w:val="000000" w:themeColor="text1"/>
                <w:sz w:val="18"/>
                <w:szCs w:val="18"/>
              </w:rPr>
            </w:pPr>
            <w:r w:rsidRPr="009A02BA">
              <w:rPr>
                <w:b/>
                <w:bCs/>
                <w:color w:val="000000" w:themeColor="text1"/>
                <w:sz w:val="18"/>
                <w:szCs w:val="18"/>
              </w:rPr>
              <w:t>England</w:t>
            </w:r>
          </w:p>
        </w:tc>
        <w:tc>
          <w:tcPr>
            <w:tcW w:w="3312" w:type="dxa"/>
            <w:tcMar>
              <w:top w:w="50" w:type="dxa"/>
              <w:left w:w="80" w:type="dxa"/>
              <w:bottom w:w="50" w:type="dxa"/>
              <w:right w:w="80" w:type="dxa"/>
            </w:tcMar>
          </w:tcPr>
          <w:p w14:paraId="364BBC3E"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Autism spectrum disorder in adults: diagnosis and management </w:t>
            </w:r>
            <w:r w:rsidRPr="009A02BA">
              <w:rPr>
                <w:color w:val="000000" w:themeColor="text1"/>
                <w:sz w:val="18"/>
                <w:szCs w:val="18"/>
              </w:rPr>
              <w:t>(CG142)</w:t>
            </w:r>
          </w:p>
        </w:tc>
        <w:tc>
          <w:tcPr>
            <w:tcW w:w="1872" w:type="dxa"/>
            <w:tcMar>
              <w:top w:w="50" w:type="dxa"/>
              <w:left w:w="80" w:type="dxa"/>
              <w:bottom w:w="50" w:type="dxa"/>
              <w:right w:w="80" w:type="dxa"/>
            </w:tcMar>
          </w:tcPr>
          <w:p w14:paraId="12815BFC"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NICE</w:t>
            </w:r>
          </w:p>
        </w:tc>
        <w:tc>
          <w:tcPr>
            <w:tcW w:w="1440" w:type="dxa"/>
            <w:tcMar>
              <w:top w:w="50" w:type="dxa"/>
              <w:left w:w="80" w:type="dxa"/>
              <w:bottom w:w="50" w:type="dxa"/>
              <w:right w:w="80" w:type="dxa"/>
            </w:tcMar>
          </w:tcPr>
          <w:p w14:paraId="07B294A3"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2012; updated 2021</w:t>
            </w:r>
          </w:p>
        </w:tc>
        <w:tc>
          <w:tcPr>
            <w:tcW w:w="1728" w:type="dxa"/>
            <w:tcMar>
              <w:top w:w="50" w:type="dxa"/>
              <w:left w:w="80" w:type="dxa"/>
              <w:bottom w:w="50" w:type="dxa"/>
              <w:right w:w="80" w:type="dxa"/>
            </w:tcMar>
          </w:tcPr>
          <w:p w14:paraId="68FCECA1"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Clinical practice guideline</w:t>
            </w:r>
          </w:p>
        </w:tc>
      </w:tr>
      <w:tr w:rsidR="00555F0C" w:rsidRPr="009A02BA" w14:paraId="473F28C6" w14:textId="77777777" w:rsidTr="001E1277">
        <w:tc>
          <w:tcPr>
            <w:tcW w:w="0" w:type="auto"/>
            <w:vMerge/>
          </w:tcPr>
          <w:p w14:paraId="3771A142"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1D44308E"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Autism spectrum disorder in under 19s: recognition, referral and diagnosis </w:t>
            </w:r>
            <w:r w:rsidRPr="009A02BA">
              <w:rPr>
                <w:color w:val="000000" w:themeColor="text1"/>
                <w:sz w:val="18"/>
                <w:szCs w:val="18"/>
              </w:rPr>
              <w:t>(CG128)</w:t>
            </w:r>
          </w:p>
        </w:tc>
        <w:tc>
          <w:tcPr>
            <w:tcW w:w="1872" w:type="dxa"/>
            <w:tcMar>
              <w:top w:w="50" w:type="dxa"/>
              <w:left w:w="80" w:type="dxa"/>
              <w:bottom w:w="50" w:type="dxa"/>
              <w:right w:w="80" w:type="dxa"/>
            </w:tcMar>
          </w:tcPr>
          <w:p w14:paraId="5C076750"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NICE</w:t>
            </w:r>
          </w:p>
        </w:tc>
        <w:tc>
          <w:tcPr>
            <w:tcW w:w="1440" w:type="dxa"/>
            <w:tcMar>
              <w:top w:w="50" w:type="dxa"/>
              <w:left w:w="80" w:type="dxa"/>
              <w:bottom w:w="50" w:type="dxa"/>
              <w:right w:w="80" w:type="dxa"/>
            </w:tcMar>
          </w:tcPr>
          <w:p w14:paraId="23135CF4"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2011; updated 2017</w:t>
            </w:r>
          </w:p>
        </w:tc>
        <w:tc>
          <w:tcPr>
            <w:tcW w:w="1728" w:type="dxa"/>
            <w:tcMar>
              <w:top w:w="50" w:type="dxa"/>
              <w:left w:w="80" w:type="dxa"/>
              <w:bottom w:w="50" w:type="dxa"/>
              <w:right w:w="80" w:type="dxa"/>
            </w:tcMar>
          </w:tcPr>
          <w:p w14:paraId="38E1BDE7"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Clinical practice guideline</w:t>
            </w:r>
          </w:p>
        </w:tc>
      </w:tr>
      <w:tr w:rsidR="00555F0C" w:rsidRPr="009A02BA" w14:paraId="7A112BB7" w14:textId="77777777" w:rsidTr="001E1277">
        <w:tc>
          <w:tcPr>
            <w:tcW w:w="0" w:type="auto"/>
            <w:vMerge/>
          </w:tcPr>
          <w:p w14:paraId="5D0C164F"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33C0C17F"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Autism spectrum disorder in under 19s: support and management </w:t>
            </w:r>
            <w:r w:rsidRPr="009A02BA">
              <w:rPr>
                <w:color w:val="000000" w:themeColor="text1"/>
                <w:sz w:val="18"/>
                <w:szCs w:val="18"/>
              </w:rPr>
              <w:t>(CG170)</w:t>
            </w:r>
          </w:p>
        </w:tc>
        <w:tc>
          <w:tcPr>
            <w:tcW w:w="1872" w:type="dxa"/>
            <w:tcMar>
              <w:top w:w="50" w:type="dxa"/>
              <w:left w:w="80" w:type="dxa"/>
              <w:bottom w:w="50" w:type="dxa"/>
              <w:right w:w="80" w:type="dxa"/>
            </w:tcMar>
          </w:tcPr>
          <w:p w14:paraId="04CBF517"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NICE</w:t>
            </w:r>
          </w:p>
        </w:tc>
        <w:tc>
          <w:tcPr>
            <w:tcW w:w="1440" w:type="dxa"/>
            <w:tcMar>
              <w:top w:w="50" w:type="dxa"/>
              <w:left w:w="80" w:type="dxa"/>
              <w:bottom w:w="50" w:type="dxa"/>
              <w:right w:w="80" w:type="dxa"/>
            </w:tcMar>
          </w:tcPr>
          <w:p w14:paraId="1F861F91"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2013; updated 2021</w:t>
            </w:r>
          </w:p>
        </w:tc>
        <w:tc>
          <w:tcPr>
            <w:tcW w:w="1728" w:type="dxa"/>
            <w:tcMar>
              <w:top w:w="50" w:type="dxa"/>
              <w:left w:w="80" w:type="dxa"/>
              <w:bottom w:w="50" w:type="dxa"/>
              <w:right w:w="80" w:type="dxa"/>
            </w:tcMar>
          </w:tcPr>
          <w:p w14:paraId="7775B798"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Clinical practice guideline</w:t>
            </w:r>
          </w:p>
        </w:tc>
      </w:tr>
      <w:tr w:rsidR="00555F0C" w:rsidRPr="009A02BA" w14:paraId="0BF3FDA4" w14:textId="77777777" w:rsidTr="001E1277">
        <w:tc>
          <w:tcPr>
            <w:tcW w:w="0" w:type="auto"/>
            <w:vMerge/>
          </w:tcPr>
          <w:p w14:paraId="7FC70217"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10A81AE1"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Autism: quality standard </w:t>
            </w:r>
            <w:r w:rsidRPr="009A02BA">
              <w:rPr>
                <w:color w:val="000000" w:themeColor="text1"/>
                <w:sz w:val="18"/>
                <w:szCs w:val="18"/>
              </w:rPr>
              <w:t>(QS51)</w:t>
            </w:r>
          </w:p>
        </w:tc>
        <w:tc>
          <w:tcPr>
            <w:tcW w:w="1872" w:type="dxa"/>
            <w:tcMar>
              <w:top w:w="50" w:type="dxa"/>
              <w:left w:w="80" w:type="dxa"/>
              <w:bottom w:w="50" w:type="dxa"/>
              <w:right w:w="80" w:type="dxa"/>
            </w:tcMar>
          </w:tcPr>
          <w:p w14:paraId="1C1BDA38"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NICE</w:t>
            </w:r>
          </w:p>
        </w:tc>
        <w:tc>
          <w:tcPr>
            <w:tcW w:w="1440" w:type="dxa"/>
            <w:tcMar>
              <w:top w:w="50" w:type="dxa"/>
              <w:left w:w="80" w:type="dxa"/>
              <w:bottom w:w="50" w:type="dxa"/>
              <w:right w:w="80" w:type="dxa"/>
            </w:tcMar>
          </w:tcPr>
          <w:p w14:paraId="738F5DD3"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2014</w:t>
            </w:r>
          </w:p>
        </w:tc>
        <w:tc>
          <w:tcPr>
            <w:tcW w:w="1728" w:type="dxa"/>
            <w:tcMar>
              <w:top w:w="50" w:type="dxa"/>
              <w:left w:w="80" w:type="dxa"/>
              <w:bottom w:w="50" w:type="dxa"/>
              <w:right w:w="80" w:type="dxa"/>
            </w:tcMar>
          </w:tcPr>
          <w:p w14:paraId="5E0F4C6E"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Quality standard</w:t>
            </w:r>
          </w:p>
        </w:tc>
      </w:tr>
      <w:tr w:rsidR="00555F0C" w:rsidRPr="009A02BA" w14:paraId="7D6BCDAA" w14:textId="77777777" w:rsidTr="001E1277">
        <w:tc>
          <w:tcPr>
            <w:tcW w:w="910" w:type="dxa"/>
            <w:tcMar>
              <w:top w:w="50" w:type="dxa"/>
              <w:left w:w="80" w:type="dxa"/>
              <w:bottom w:w="50" w:type="dxa"/>
              <w:right w:w="80" w:type="dxa"/>
            </w:tcMar>
          </w:tcPr>
          <w:p w14:paraId="2A5642B6" w14:textId="77777777" w:rsidR="00555F0C" w:rsidRPr="009A02BA" w:rsidRDefault="00555F0C" w:rsidP="001E1277">
            <w:pPr>
              <w:spacing w:after="20" w:line="220" w:lineRule="auto"/>
              <w:rPr>
                <w:color w:val="000000" w:themeColor="text1"/>
                <w:sz w:val="18"/>
                <w:szCs w:val="18"/>
              </w:rPr>
            </w:pPr>
            <w:r w:rsidRPr="009A02BA">
              <w:rPr>
                <w:b/>
                <w:bCs/>
                <w:color w:val="000000" w:themeColor="text1"/>
                <w:sz w:val="18"/>
                <w:szCs w:val="18"/>
              </w:rPr>
              <w:t>Norway</w:t>
            </w:r>
          </w:p>
        </w:tc>
        <w:tc>
          <w:tcPr>
            <w:tcW w:w="3312" w:type="dxa"/>
            <w:tcMar>
              <w:top w:w="50" w:type="dxa"/>
              <w:left w:w="80" w:type="dxa"/>
              <w:bottom w:w="50" w:type="dxa"/>
              <w:right w:w="80" w:type="dxa"/>
            </w:tcMar>
          </w:tcPr>
          <w:p w14:paraId="4A4A1A8E"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Regional </w:t>
            </w:r>
            <w:proofErr w:type="spellStart"/>
            <w:r w:rsidRPr="009A02BA">
              <w:rPr>
                <w:i/>
                <w:iCs/>
                <w:color w:val="000000" w:themeColor="text1"/>
                <w:sz w:val="18"/>
                <w:szCs w:val="18"/>
              </w:rPr>
              <w:t>retningslinje</w:t>
            </w:r>
            <w:proofErr w:type="spellEnd"/>
            <w:r w:rsidRPr="009A02BA">
              <w:rPr>
                <w:i/>
                <w:iCs/>
                <w:color w:val="000000" w:themeColor="text1"/>
                <w:sz w:val="18"/>
                <w:szCs w:val="18"/>
              </w:rPr>
              <w:t xml:space="preserve"> for </w:t>
            </w:r>
            <w:proofErr w:type="spellStart"/>
            <w:r w:rsidRPr="009A02BA">
              <w:rPr>
                <w:i/>
                <w:iCs/>
                <w:color w:val="000000" w:themeColor="text1"/>
                <w:sz w:val="18"/>
                <w:szCs w:val="18"/>
              </w:rPr>
              <w:t>utredning</w:t>
            </w:r>
            <w:proofErr w:type="spellEnd"/>
            <w:r w:rsidRPr="009A02BA">
              <w:rPr>
                <w:i/>
                <w:iCs/>
                <w:color w:val="000000" w:themeColor="text1"/>
                <w:sz w:val="18"/>
                <w:szCs w:val="18"/>
              </w:rPr>
              <w:t xml:space="preserve"> </w:t>
            </w:r>
            <w:proofErr w:type="spellStart"/>
            <w:r w:rsidRPr="009A02BA">
              <w:rPr>
                <w:i/>
                <w:iCs/>
                <w:color w:val="000000" w:themeColor="text1"/>
                <w:sz w:val="18"/>
                <w:szCs w:val="18"/>
              </w:rPr>
              <w:t>og</w:t>
            </w:r>
            <w:proofErr w:type="spellEnd"/>
            <w:r w:rsidRPr="009A02BA">
              <w:rPr>
                <w:i/>
                <w:iCs/>
                <w:color w:val="000000" w:themeColor="text1"/>
                <w:sz w:val="18"/>
                <w:szCs w:val="18"/>
              </w:rPr>
              <w:t xml:space="preserve"> </w:t>
            </w:r>
            <w:proofErr w:type="spellStart"/>
            <w:r w:rsidRPr="009A02BA">
              <w:rPr>
                <w:i/>
                <w:iCs/>
                <w:color w:val="000000" w:themeColor="text1"/>
                <w:sz w:val="18"/>
                <w:szCs w:val="18"/>
              </w:rPr>
              <w:t>diagnostisering</w:t>
            </w:r>
            <w:proofErr w:type="spellEnd"/>
            <w:r w:rsidRPr="009A02BA">
              <w:rPr>
                <w:i/>
                <w:iCs/>
                <w:color w:val="000000" w:themeColor="text1"/>
                <w:sz w:val="18"/>
                <w:szCs w:val="18"/>
              </w:rPr>
              <w:t xml:space="preserve"> </w:t>
            </w:r>
            <w:proofErr w:type="spellStart"/>
            <w:r w:rsidRPr="009A02BA">
              <w:rPr>
                <w:i/>
                <w:iCs/>
                <w:color w:val="000000" w:themeColor="text1"/>
                <w:sz w:val="18"/>
                <w:szCs w:val="18"/>
              </w:rPr>
              <w:t>av</w:t>
            </w:r>
            <w:proofErr w:type="spellEnd"/>
            <w:r w:rsidRPr="009A02BA">
              <w:rPr>
                <w:i/>
                <w:iCs/>
                <w:color w:val="000000" w:themeColor="text1"/>
                <w:sz w:val="18"/>
                <w:szCs w:val="18"/>
              </w:rPr>
              <w:t xml:space="preserve"> </w:t>
            </w:r>
            <w:proofErr w:type="spellStart"/>
            <w:r w:rsidRPr="009A02BA">
              <w:rPr>
                <w:i/>
                <w:iCs/>
                <w:color w:val="000000" w:themeColor="text1"/>
                <w:sz w:val="18"/>
                <w:szCs w:val="18"/>
              </w:rPr>
              <w:t>autismespekterforstyrrelse</w:t>
            </w:r>
            <w:proofErr w:type="spellEnd"/>
            <w:r w:rsidRPr="009A02BA">
              <w:rPr>
                <w:i/>
                <w:iCs/>
                <w:color w:val="000000" w:themeColor="text1"/>
                <w:sz w:val="18"/>
                <w:szCs w:val="18"/>
              </w:rPr>
              <w:t xml:space="preserve"> (ASF)</w:t>
            </w:r>
          </w:p>
        </w:tc>
        <w:tc>
          <w:tcPr>
            <w:tcW w:w="1872" w:type="dxa"/>
            <w:tcMar>
              <w:top w:w="50" w:type="dxa"/>
              <w:left w:w="80" w:type="dxa"/>
              <w:bottom w:w="50" w:type="dxa"/>
              <w:right w:w="80" w:type="dxa"/>
            </w:tcMar>
          </w:tcPr>
          <w:p w14:paraId="17E99CA5"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Oslo University Hospital / Helse Sør-Øst</w:t>
            </w:r>
          </w:p>
        </w:tc>
        <w:tc>
          <w:tcPr>
            <w:tcW w:w="1440" w:type="dxa"/>
            <w:tcMar>
              <w:top w:w="50" w:type="dxa"/>
              <w:left w:w="80" w:type="dxa"/>
              <w:bottom w:w="50" w:type="dxa"/>
              <w:right w:w="80" w:type="dxa"/>
            </w:tcMar>
          </w:tcPr>
          <w:p w14:paraId="782B1E5C"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Rev. 2019</w:t>
            </w:r>
          </w:p>
        </w:tc>
        <w:tc>
          <w:tcPr>
            <w:tcW w:w="1728" w:type="dxa"/>
            <w:tcMar>
              <w:top w:w="50" w:type="dxa"/>
              <w:left w:w="80" w:type="dxa"/>
              <w:bottom w:w="50" w:type="dxa"/>
              <w:right w:w="80" w:type="dxa"/>
            </w:tcMar>
          </w:tcPr>
          <w:p w14:paraId="2938A702"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Regional diagnostic guideline</w:t>
            </w:r>
          </w:p>
        </w:tc>
      </w:tr>
      <w:tr w:rsidR="00555F0C" w:rsidRPr="009A02BA" w14:paraId="71BE475F" w14:textId="77777777" w:rsidTr="001E1277">
        <w:tc>
          <w:tcPr>
            <w:tcW w:w="910" w:type="dxa"/>
            <w:tcMar>
              <w:top w:w="50" w:type="dxa"/>
              <w:left w:w="80" w:type="dxa"/>
              <w:bottom w:w="50" w:type="dxa"/>
              <w:right w:w="80" w:type="dxa"/>
            </w:tcMar>
          </w:tcPr>
          <w:p w14:paraId="2BBE0013" w14:textId="77777777" w:rsidR="00555F0C" w:rsidRPr="009A02BA" w:rsidRDefault="00555F0C" w:rsidP="001E1277">
            <w:pPr>
              <w:spacing w:after="20" w:line="220" w:lineRule="auto"/>
              <w:rPr>
                <w:color w:val="000000" w:themeColor="text1"/>
                <w:sz w:val="18"/>
                <w:szCs w:val="18"/>
              </w:rPr>
            </w:pPr>
            <w:r w:rsidRPr="009A02BA">
              <w:rPr>
                <w:b/>
                <w:bCs/>
                <w:color w:val="000000" w:themeColor="text1"/>
                <w:sz w:val="18"/>
                <w:szCs w:val="18"/>
              </w:rPr>
              <w:t>Scotland</w:t>
            </w:r>
          </w:p>
        </w:tc>
        <w:tc>
          <w:tcPr>
            <w:tcW w:w="3312" w:type="dxa"/>
            <w:tcMar>
              <w:top w:w="50" w:type="dxa"/>
              <w:left w:w="80" w:type="dxa"/>
              <w:bottom w:w="50" w:type="dxa"/>
              <w:right w:w="80" w:type="dxa"/>
            </w:tcMar>
          </w:tcPr>
          <w:p w14:paraId="3315A268"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Assessment, diagnosis and interventions for autism spectrum disorders </w:t>
            </w:r>
            <w:r w:rsidRPr="009A02BA">
              <w:rPr>
                <w:color w:val="000000" w:themeColor="text1"/>
                <w:sz w:val="18"/>
                <w:szCs w:val="18"/>
              </w:rPr>
              <w:t>(SIGN 145)</w:t>
            </w:r>
          </w:p>
        </w:tc>
        <w:tc>
          <w:tcPr>
            <w:tcW w:w="1872" w:type="dxa"/>
            <w:tcMar>
              <w:top w:w="50" w:type="dxa"/>
              <w:left w:w="80" w:type="dxa"/>
              <w:bottom w:w="50" w:type="dxa"/>
              <w:right w:w="80" w:type="dxa"/>
            </w:tcMar>
          </w:tcPr>
          <w:p w14:paraId="600450E3"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SIGN / HIS</w:t>
            </w:r>
          </w:p>
        </w:tc>
        <w:tc>
          <w:tcPr>
            <w:tcW w:w="1440" w:type="dxa"/>
            <w:tcMar>
              <w:top w:w="50" w:type="dxa"/>
              <w:left w:w="80" w:type="dxa"/>
              <w:bottom w:w="50" w:type="dxa"/>
              <w:right w:w="80" w:type="dxa"/>
            </w:tcMar>
          </w:tcPr>
          <w:p w14:paraId="209FFDE4"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2016; revalidated 2019</w:t>
            </w:r>
          </w:p>
        </w:tc>
        <w:tc>
          <w:tcPr>
            <w:tcW w:w="1728" w:type="dxa"/>
            <w:tcMar>
              <w:top w:w="50" w:type="dxa"/>
              <w:left w:w="80" w:type="dxa"/>
              <w:bottom w:w="50" w:type="dxa"/>
              <w:right w:w="80" w:type="dxa"/>
            </w:tcMar>
          </w:tcPr>
          <w:p w14:paraId="34DBDD1C"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Clinical practice guideline</w:t>
            </w:r>
          </w:p>
        </w:tc>
      </w:tr>
      <w:tr w:rsidR="00555F0C" w:rsidRPr="009A02BA" w14:paraId="7A4A296D" w14:textId="77777777" w:rsidTr="001E1277">
        <w:tc>
          <w:tcPr>
            <w:tcW w:w="910" w:type="dxa"/>
            <w:tcMar>
              <w:top w:w="50" w:type="dxa"/>
              <w:left w:w="80" w:type="dxa"/>
              <w:bottom w:w="50" w:type="dxa"/>
              <w:right w:w="80" w:type="dxa"/>
            </w:tcMar>
          </w:tcPr>
          <w:p w14:paraId="2BC4FD4D" w14:textId="77777777" w:rsidR="00555F0C" w:rsidRPr="009A02BA" w:rsidRDefault="00555F0C" w:rsidP="001E1277">
            <w:pPr>
              <w:spacing w:after="20" w:line="220" w:lineRule="auto"/>
              <w:rPr>
                <w:color w:val="000000" w:themeColor="text1"/>
                <w:sz w:val="18"/>
                <w:szCs w:val="18"/>
              </w:rPr>
            </w:pPr>
            <w:r w:rsidRPr="009A02BA">
              <w:rPr>
                <w:b/>
                <w:bCs/>
                <w:color w:val="000000" w:themeColor="text1"/>
                <w:sz w:val="18"/>
                <w:szCs w:val="18"/>
              </w:rPr>
              <w:t>Sweden</w:t>
            </w:r>
          </w:p>
        </w:tc>
        <w:tc>
          <w:tcPr>
            <w:tcW w:w="3312" w:type="dxa"/>
            <w:tcMar>
              <w:top w:w="50" w:type="dxa"/>
              <w:left w:w="80" w:type="dxa"/>
              <w:bottom w:w="50" w:type="dxa"/>
              <w:right w:w="80" w:type="dxa"/>
            </w:tcMar>
          </w:tcPr>
          <w:p w14:paraId="3F363B21" w14:textId="77777777" w:rsidR="00555F0C" w:rsidRPr="009A02BA" w:rsidRDefault="00555F0C" w:rsidP="001E1277">
            <w:pPr>
              <w:spacing w:after="20" w:line="220" w:lineRule="auto"/>
              <w:rPr>
                <w:color w:val="000000" w:themeColor="text1"/>
                <w:sz w:val="18"/>
                <w:szCs w:val="18"/>
              </w:rPr>
            </w:pPr>
            <w:proofErr w:type="spellStart"/>
            <w:r w:rsidRPr="009A02BA">
              <w:rPr>
                <w:i/>
                <w:iCs/>
                <w:color w:val="000000" w:themeColor="text1"/>
                <w:sz w:val="18"/>
                <w:szCs w:val="18"/>
              </w:rPr>
              <w:t>Nationella</w:t>
            </w:r>
            <w:proofErr w:type="spellEnd"/>
            <w:r w:rsidRPr="009A02BA">
              <w:rPr>
                <w:i/>
                <w:iCs/>
                <w:color w:val="000000" w:themeColor="text1"/>
                <w:sz w:val="18"/>
                <w:szCs w:val="18"/>
              </w:rPr>
              <w:t xml:space="preserve"> </w:t>
            </w:r>
            <w:proofErr w:type="spellStart"/>
            <w:r w:rsidRPr="009A02BA">
              <w:rPr>
                <w:i/>
                <w:iCs/>
                <w:color w:val="000000" w:themeColor="text1"/>
                <w:sz w:val="18"/>
                <w:szCs w:val="18"/>
              </w:rPr>
              <w:t>riktlinjer</w:t>
            </w:r>
            <w:proofErr w:type="spellEnd"/>
            <w:r w:rsidRPr="009A02BA">
              <w:rPr>
                <w:i/>
                <w:iCs/>
                <w:color w:val="000000" w:themeColor="text1"/>
                <w:sz w:val="18"/>
                <w:szCs w:val="18"/>
              </w:rPr>
              <w:t xml:space="preserve"> 2024: </w:t>
            </w:r>
            <w:proofErr w:type="spellStart"/>
            <w:r w:rsidRPr="009A02BA">
              <w:rPr>
                <w:i/>
                <w:iCs/>
                <w:color w:val="000000" w:themeColor="text1"/>
                <w:sz w:val="18"/>
                <w:szCs w:val="18"/>
              </w:rPr>
              <w:t>Adhd</w:t>
            </w:r>
            <w:proofErr w:type="spellEnd"/>
            <w:r w:rsidRPr="009A02BA">
              <w:rPr>
                <w:i/>
                <w:iCs/>
                <w:color w:val="000000" w:themeColor="text1"/>
                <w:sz w:val="18"/>
                <w:szCs w:val="18"/>
              </w:rPr>
              <w:t xml:space="preserve"> och autism</w:t>
            </w:r>
          </w:p>
        </w:tc>
        <w:tc>
          <w:tcPr>
            <w:tcW w:w="1872" w:type="dxa"/>
            <w:tcMar>
              <w:top w:w="50" w:type="dxa"/>
              <w:left w:w="80" w:type="dxa"/>
              <w:bottom w:w="50" w:type="dxa"/>
              <w:right w:w="80" w:type="dxa"/>
            </w:tcMar>
          </w:tcPr>
          <w:p w14:paraId="1E8737C2"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Socialstyrelsen</w:t>
            </w:r>
          </w:p>
        </w:tc>
        <w:tc>
          <w:tcPr>
            <w:tcW w:w="1440" w:type="dxa"/>
            <w:tcMar>
              <w:top w:w="50" w:type="dxa"/>
              <w:left w:w="80" w:type="dxa"/>
              <w:bottom w:w="50" w:type="dxa"/>
              <w:right w:w="80" w:type="dxa"/>
            </w:tcMar>
          </w:tcPr>
          <w:p w14:paraId="4472CDFD"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2022; updated 2024</w:t>
            </w:r>
          </w:p>
        </w:tc>
        <w:tc>
          <w:tcPr>
            <w:tcW w:w="1728" w:type="dxa"/>
            <w:tcMar>
              <w:top w:w="50" w:type="dxa"/>
              <w:left w:w="80" w:type="dxa"/>
              <w:bottom w:w="50" w:type="dxa"/>
              <w:right w:w="80" w:type="dxa"/>
            </w:tcMar>
          </w:tcPr>
          <w:p w14:paraId="03554BD0"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National prioritization framework</w:t>
            </w:r>
          </w:p>
        </w:tc>
      </w:tr>
      <w:tr w:rsidR="00555F0C" w:rsidRPr="009A02BA" w14:paraId="693D9D9C" w14:textId="77777777" w:rsidTr="001E1277">
        <w:tc>
          <w:tcPr>
            <w:tcW w:w="910" w:type="dxa"/>
            <w:vMerge w:val="restart"/>
            <w:tcMar>
              <w:top w:w="50" w:type="dxa"/>
              <w:left w:w="80" w:type="dxa"/>
              <w:bottom w:w="50" w:type="dxa"/>
              <w:right w:w="80" w:type="dxa"/>
            </w:tcMar>
          </w:tcPr>
          <w:p w14:paraId="0A2423A7" w14:textId="77777777" w:rsidR="00555F0C" w:rsidRPr="009A02BA" w:rsidRDefault="00555F0C" w:rsidP="001E1277">
            <w:pPr>
              <w:spacing w:after="20" w:line="220" w:lineRule="auto"/>
              <w:rPr>
                <w:color w:val="000000" w:themeColor="text1"/>
                <w:sz w:val="18"/>
                <w:szCs w:val="18"/>
              </w:rPr>
            </w:pPr>
            <w:r w:rsidRPr="009A02BA">
              <w:rPr>
                <w:b/>
                <w:bCs/>
                <w:color w:val="000000" w:themeColor="text1"/>
                <w:sz w:val="18"/>
                <w:szCs w:val="18"/>
              </w:rPr>
              <w:t>United States</w:t>
            </w:r>
          </w:p>
        </w:tc>
        <w:tc>
          <w:tcPr>
            <w:tcW w:w="3312" w:type="dxa"/>
            <w:tcMar>
              <w:top w:w="50" w:type="dxa"/>
              <w:left w:w="80" w:type="dxa"/>
              <w:bottom w:w="50" w:type="dxa"/>
              <w:right w:w="80" w:type="dxa"/>
            </w:tcMar>
          </w:tcPr>
          <w:p w14:paraId="27787B09"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Diagnostic and Statistical Manual of Mental Disorders, Fifth Edition, Text Revision </w:t>
            </w:r>
            <w:r w:rsidRPr="009A02BA">
              <w:rPr>
                <w:color w:val="000000" w:themeColor="text1"/>
                <w:sz w:val="18"/>
                <w:szCs w:val="18"/>
              </w:rPr>
              <w:t>(DSM-5-TR)</w:t>
            </w:r>
          </w:p>
        </w:tc>
        <w:tc>
          <w:tcPr>
            <w:tcW w:w="1872" w:type="dxa"/>
            <w:tcMar>
              <w:top w:w="50" w:type="dxa"/>
              <w:left w:w="80" w:type="dxa"/>
              <w:bottom w:w="50" w:type="dxa"/>
              <w:right w:w="80" w:type="dxa"/>
            </w:tcMar>
          </w:tcPr>
          <w:p w14:paraId="5414D90B"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APA</w:t>
            </w:r>
          </w:p>
        </w:tc>
        <w:tc>
          <w:tcPr>
            <w:tcW w:w="1440" w:type="dxa"/>
            <w:tcMar>
              <w:top w:w="50" w:type="dxa"/>
              <w:left w:w="80" w:type="dxa"/>
              <w:bottom w:w="50" w:type="dxa"/>
              <w:right w:w="80" w:type="dxa"/>
            </w:tcMar>
          </w:tcPr>
          <w:p w14:paraId="3ED74D7E"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2022</w:t>
            </w:r>
          </w:p>
        </w:tc>
        <w:tc>
          <w:tcPr>
            <w:tcW w:w="1728" w:type="dxa"/>
            <w:tcMar>
              <w:top w:w="50" w:type="dxa"/>
              <w:left w:w="80" w:type="dxa"/>
              <w:bottom w:w="50" w:type="dxa"/>
              <w:right w:w="80" w:type="dxa"/>
            </w:tcMar>
          </w:tcPr>
          <w:p w14:paraId="64C4B416"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Diagnostic criteria</w:t>
            </w:r>
          </w:p>
        </w:tc>
      </w:tr>
      <w:tr w:rsidR="00555F0C" w:rsidRPr="009A02BA" w14:paraId="3B2E0707" w14:textId="77777777" w:rsidTr="001E1277">
        <w:tc>
          <w:tcPr>
            <w:tcW w:w="0" w:type="auto"/>
            <w:vMerge/>
          </w:tcPr>
          <w:p w14:paraId="7BD45FE8"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1D703940"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 xml:space="preserve">Evidence-Based Practices for Children, Youth, and Young Adults with Autism: Third Generation </w:t>
            </w:r>
            <w:proofErr w:type="spellStart"/>
            <w:r w:rsidRPr="009A02BA">
              <w:rPr>
                <w:i/>
                <w:iCs/>
                <w:color w:val="000000" w:themeColor="text1"/>
                <w:sz w:val="18"/>
                <w:szCs w:val="18"/>
              </w:rPr>
              <w:t>Review</w:t>
            </w:r>
            <w:r w:rsidRPr="009A02BA">
              <w:rPr>
                <w:color w:val="000000" w:themeColor="text1"/>
                <w:sz w:val="18"/>
                <w:szCs w:val="18"/>
                <w:vertAlign w:val="superscript"/>
              </w:rPr>
              <w:t>a</w:t>
            </w:r>
            <w:proofErr w:type="spellEnd"/>
          </w:p>
        </w:tc>
        <w:tc>
          <w:tcPr>
            <w:tcW w:w="1872" w:type="dxa"/>
            <w:tcMar>
              <w:top w:w="50" w:type="dxa"/>
              <w:left w:w="80" w:type="dxa"/>
              <w:bottom w:w="50" w:type="dxa"/>
              <w:right w:w="80" w:type="dxa"/>
            </w:tcMar>
          </w:tcPr>
          <w:p w14:paraId="75510A5D"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NCAEP</w:t>
            </w:r>
          </w:p>
        </w:tc>
        <w:tc>
          <w:tcPr>
            <w:tcW w:w="1440" w:type="dxa"/>
            <w:tcMar>
              <w:top w:w="50" w:type="dxa"/>
              <w:left w:w="80" w:type="dxa"/>
              <w:bottom w:w="50" w:type="dxa"/>
              <w:right w:w="80" w:type="dxa"/>
            </w:tcMar>
          </w:tcPr>
          <w:p w14:paraId="410781E1"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2021</w:t>
            </w:r>
          </w:p>
        </w:tc>
        <w:tc>
          <w:tcPr>
            <w:tcW w:w="1728" w:type="dxa"/>
            <w:tcMar>
              <w:top w:w="50" w:type="dxa"/>
              <w:left w:w="80" w:type="dxa"/>
              <w:bottom w:w="50" w:type="dxa"/>
              <w:right w:w="80" w:type="dxa"/>
            </w:tcMar>
          </w:tcPr>
          <w:p w14:paraId="580E6463"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Evidence synthesis</w:t>
            </w:r>
          </w:p>
        </w:tc>
      </w:tr>
      <w:tr w:rsidR="00555F0C" w:rsidRPr="009A02BA" w14:paraId="24EB0E02" w14:textId="77777777" w:rsidTr="001E1277">
        <w:tc>
          <w:tcPr>
            <w:tcW w:w="0" w:type="auto"/>
            <w:vMerge/>
          </w:tcPr>
          <w:p w14:paraId="6FD061F2"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284A68EB" w14:textId="77777777" w:rsidR="00555F0C" w:rsidRPr="009A02BA" w:rsidRDefault="00555F0C" w:rsidP="001E1277">
            <w:pPr>
              <w:spacing w:after="20" w:line="220" w:lineRule="auto"/>
              <w:rPr>
                <w:color w:val="000000" w:themeColor="text1"/>
                <w:sz w:val="18"/>
                <w:szCs w:val="18"/>
                <w:vertAlign w:val="superscript"/>
              </w:rPr>
            </w:pPr>
            <w:r w:rsidRPr="009A02BA">
              <w:rPr>
                <w:i/>
                <w:iCs/>
                <w:color w:val="000000" w:themeColor="text1"/>
                <w:sz w:val="18"/>
                <w:szCs w:val="18"/>
              </w:rPr>
              <w:t>2021–2023 IACC Strategic Plan for Autism Research, Services, and Policy</w:t>
            </w:r>
          </w:p>
        </w:tc>
        <w:tc>
          <w:tcPr>
            <w:tcW w:w="1872" w:type="dxa"/>
            <w:tcMar>
              <w:top w:w="50" w:type="dxa"/>
              <w:left w:w="80" w:type="dxa"/>
              <w:bottom w:w="50" w:type="dxa"/>
              <w:right w:w="80" w:type="dxa"/>
            </w:tcMar>
          </w:tcPr>
          <w:p w14:paraId="49A7B758"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IACC / HHS</w:t>
            </w:r>
          </w:p>
        </w:tc>
        <w:tc>
          <w:tcPr>
            <w:tcW w:w="1440" w:type="dxa"/>
            <w:tcMar>
              <w:top w:w="50" w:type="dxa"/>
              <w:left w:w="80" w:type="dxa"/>
              <w:bottom w:w="50" w:type="dxa"/>
              <w:right w:w="80" w:type="dxa"/>
            </w:tcMar>
          </w:tcPr>
          <w:p w14:paraId="423178BF"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2023</w:t>
            </w:r>
          </w:p>
        </w:tc>
        <w:tc>
          <w:tcPr>
            <w:tcW w:w="1728" w:type="dxa"/>
            <w:tcMar>
              <w:top w:w="50" w:type="dxa"/>
              <w:left w:w="80" w:type="dxa"/>
              <w:bottom w:w="50" w:type="dxa"/>
              <w:right w:w="80" w:type="dxa"/>
            </w:tcMar>
          </w:tcPr>
          <w:p w14:paraId="7EF1FFB0"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Federal advisory plan</w:t>
            </w:r>
          </w:p>
        </w:tc>
      </w:tr>
      <w:tr w:rsidR="00555F0C" w:rsidRPr="009A02BA" w14:paraId="41C86D28" w14:textId="77777777" w:rsidTr="001E1277">
        <w:tc>
          <w:tcPr>
            <w:tcW w:w="0" w:type="auto"/>
            <w:vMerge/>
          </w:tcPr>
          <w:p w14:paraId="68851AFF"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55699249" w14:textId="77777777" w:rsidR="00555F0C" w:rsidRPr="009A02BA" w:rsidRDefault="00555F0C" w:rsidP="001E1277">
            <w:pPr>
              <w:spacing w:after="20" w:line="220" w:lineRule="auto"/>
              <w:rPr>
                <w:color w:val="000000" w:themeColor="text1"/>
                <w:sz w:val="18"/>
                <w:szCs w:val="18"/>
              </w:rPr>
            </w:pPr>
            <w:r w:rsidRPr="009A02BA">
              <w:rPr>
                <w:i/>
                <w:iCs/>
                <w:color w:val="000000" w:themeColor="text1"/>
                <w:sz w:val="18"/>
                <w:szCs w:val="18"/>
              </w:rPr>
              <w:t>Identification, Evaluation, and Management of Children With Autism Spectrum Disorder</w:t>
            </w:r>
          </w:p>
        </w:tc>
        <w:tc>
          <w:tcPr>
            <w:tcW w:w="1872" w:type="dxa"/>
            <w:tcMar>
              <w:top w:w="50" w:type="dxa"/>
              <w:left w:w="80" w:type="dxa"/>
              <w:bottom w:w="50" w:type="dxa"/>
              <w:right w:w="80" w:type="dxa"/>
            </w:tcMar>
          </w:tcPr>
          <w:p w14:paraId="4E1DD8B4"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AAP</w:t>
            </w:r>
          </w:p>
        </w:tc>
        <w:tc>
          <w:tcPr>
            <w:tcW w:w="1440" w:type="dxa"/>
            <w:tcMar>
              <w:top w:w="50" w:type="dxa"/>
              <w:left w:w="80" w:type="dxa"/>
              <w:bottom w:w="50" w:type="dxa"/>
              <w:right w:w="80" w:type="dxa"/>
            </w:tcMar>
          </w:tcPr>
          <w:p w14:paraId="6A0F5797"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2020; reaffirmed 2025</w:t>
            </w:r>
          </w:p>
        </w:tc>
        <w:tc>
          <w:tcPr>
            <w:tcW w:w="1728" w:type="dxa"/>
            <w:tcMar>
              <w:top w:w="50" w:type="dxa"/>
              <w:left w:w="80" w:type="dxa"/>
              <w:bottom w:w="50" w:type="dxa"/>
              <w:right w:w="80" w:type="dxa"/>
            </w:tcMar>
          </w:tcPr>
          <w:p w14:paraId="69A032C4"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Professional clinical guidance</w:t>
            </w:r>
          </w:p>
        </w:tc>
      </w:tr>
      <w:tr w:rsidR="00555F0C" w:rsidRPr="009A02BA" w14:paraId="0985F92D" w14:textId="77777777" w:rsidTr="001E1277">
        <w:tc>
          <w:tcPr>
            <w:tcW w:w="0" w:type="auto"/>
            <w:vMerge/>
          </w:tcPr>
          <w:p w14:paraId="41107D36"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30A046C0" w14:textId="77777777" w:rsidR="00555F0C" w:rsidRPr="009A02BA" w:rsidRDefault="00555F0C" w:rsidP="001E1277">
            <w:pPr>
              <w:spacing w:after="20" w:line="220" w:lineRule="auto"/>
              <w:rPr>
                <w:color w:val="000000" w:themeColor="text1"/>
                <w:sz w:val="18"/>
                <w:szCs w:val="18"/>
                <w:vertAlign w:val="superscript"/>
              </w:rPr>
            </w:pPr>
            <w:r w:rsidRPr="009A02BA">
              <w:rPr>
                <w:i/>
                <w:iCs/>
                <w:color w:val="000000" w:themeColor="text1"/>
                <w:sz w:val="18"/>
                <w:szCs w:val="18"/>
              </w:rPr>
              <w:t>National Standards Project, Phase 2</w:t>
            </w:r>
            <w:r w:rsidRPr="009A02BA">
              <w:rPr>
                <w:color w:val="000000" w:themeColor="text1"/>
                <w:sz w:val="18"/>
                <w:szCs w:val="18"/>
                <w:vertAlign w:val="superscript"/>
              </w:rPr>
              <w:t>a</w:t>
            </w:r>
          </w:p>
        </w:tc>
        <w:tc>
          <w:tcPr>
            <w:tcW w:w="1872" w:type="dxa"/>
            <w:tcMar>
              <w:top w:w="50" w:type="dxa"/>
              <w:left w:w="80" w:type="dxa"/>
              <w:bottom w:w="50" w:type="dxa"/>
              <w:right w:w="80" w:type="dxa"/>
            </w:tcMar>
          </w:tcPr>
          <w:p w14:paraId="0FC70E31"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NAC</w:t>
            </w:r>
          </w:p>
        </w:tc>
        <w:tc>
          <w:tcPr>
            <w:tcW w:w="1440" w:type="dxa"/>
            <w:tcMar>
              <w:top w:w="50" w:type="dxa"/>
              <w:left w:w="80" w:type="dxa"/>
              <w:bottom w:w="50" w:type="dxa"/>
              <w:right w:w="80" w:type="dxa"/>
            </w:tcMar>
          </w:tcPr>
          <w:p w14:paraId="62782A7E"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2015</w:t>
            </w:r>
          </w:p>
        </w:tc>
        <w:tc>
          <w:tcPr>
            <w:tcW w:w="1728" w:type="dxa"/>
            <w:tcMar>
              <w:top w:w="50" w:type="dxa"/>
              <w:left w:w="80" w:type="dxa"/>
              <w:bottom w:w="50" w:type="dxa"/>
              <w:right w:w="80" w:type="dxa"/>
            </w:tcMar>
          </w:tcPr>
          <w:p w14:paraId="3703028F"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Evidence synthesis</w:t>
            </w:r>
          </w:p>
        </w:tc>
      </w:tr>
      <w:tr w:rsidR="00555F0C" w:rsidRPr="009A02BA" w14:paraId="05436D1B" w14:textId="77777777" w:rsidTr="001E1277">
        <w:tc>
          <w:tcPr>
            <w:tcW w:w="0" w:type="auto"/>
            <w:vMerge/>
          </w:tcPr>
          <w:p w14:paraId="73B4E2ED" w14:textId="77777777" w:rsidR="00555F0C" w:rsidRPr="009A02BA" w:rsidRDefault="00555F0C" w:rsidP="001E1277">
            <w:pPr>
              <w:rPr>
                <w:color w:val="000000" w:themeColor="text1"/>
                <w:sz w:val="18"/>
                <w:szCs w:val="18"/>
              </w:rPr>
            </w:pPr>
          </w:p>
        </w:tc>
        <w:tc>
          <w:tcPr>
            <w:tcW w:w="3312" w:type="dxa"/>
            <w:tcMar>
              <w:top w:w="50" w:type="dxa"/>
              <w:left w:w="80" w:type="dxa"/>
              <w:bottom w:w="50" w:type="dxa"/>
              <w:right w:w="80" w:type="dxa"/>
            </w:tcMar>
          </w:tcPr>
          <w:p w14:paraId="7D72850C" w14:textId="77777777" w:rsidR="00555F0C" w:rsidRPr="009A02BA" w:rsidRDefault="00555F0C" w:rsidP="001E1277">
            <w:pPr>
              <w:spacing w:after="20" w:line="220" w:lineRule="auto"/>
              <w:rPr>
                <w:color w:val="000000" w:themeColor="text1"/>
                <w:sz w:val="18"/>
                <w:szCs w:val="18"/>
                <w:vertAlign w:val="superscript"/>
              </w:rPr>
            </w:pPr>
            <w:r w:rsidRPr="009A02BA">
              <w:rPr>
                <w:i/>
                <w:iCs/>
                <w:color w:val="000000" w:themeColor="text1"/>
                <w:sz w:val="18"/>
                <w:szCs w:val="18"/>
              </w:rPr>
              <w:t xml:space="preserve">Practice Parameter for the Assessment and Treatment of Children and Adolescents With Autism Spectrum </w:t>
            </w:r>
            <w:proofErr w:type="spellStart"/>
            <w:r w:rsidRPr="009A02BA">
              <w:rPr>
                <w:i/>
                <w:iCs/>
                <w:color w:val="000000" w:themeColor="text1"/>
                <w:sz w:val="18"/>
                <w:szCs w:val="18"/>
              </w:rPr>
              <w:t>Disorder</w:t>
            </w:r>
            <w:r w:rsidRPr="009A02BA">
              <w:rPr>
                <w:color w:val="000000" w:themeColor="text1"/>
                <w:sz w:val="18"/>
                <w:szCs w:val="18"/>
                <w:vertAlign w:val="superscript"/>
              </w:rPr>
              <w:t>b</w:t>
            </w:r>
            <w:proofErr w:type="spellEnd"/>
          </w:p>
        </w:tc>
        <w:tc>
          <w:tcPr>
            <w:tcW w:w="1872" w:type="dxa"/>
            <w:tcMar>
              <w:top w:w="50" w:type="dxa"/>
              <w:left w:w="80" w:type="dxa"/>
              <w:bottom w:w="50" w:type="dxa"/>
              <w:right w:w="80" w:type="dxa"/>
            </w:tcMar>
          </w:tcPr>
          <w:p w14:paraId="2D670D3B"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AACAP</w:t>
            </w:r>
          </w:p>
        </w:tc>
        <w:tc>
          <w:tcPr>
            <w:tcW w:w="1440" w:type="dxa"/>
            <w:tcMar>
              <w:top w:w="50" w:type="dxa"/>
              <w:left w:w="80" w:type="dxa"/>
              <w:bottom w:w="50" w:type="dxa"/>
              <w:right w:w="80" w:type="dxa"/>
            </w:tcMar>
          </w:tcPr>
          <w:p w14:paraId="65734B40"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2014</w:t>
            </w:r>
          </w:p>
        </w:tc>
        <w:tc>
          <w:tcPr>
            <w:tcW w:w="1728" w:type="dxa"/>
            <w:tcMar>
              <w:top w:w="50" w:type="dxa"/>
              <w:left w:w="80" w:type="dxa"/>
              <w:bottom w:w="50" w:type="dxa"/>
              <w:right w:w="80" w:type="dxa"/>
            </w:tcMar>
          </w:tcPr>
          <w:p w14:paraId="131AC6A5" w14:textId="77777777" w:rsidR="00555F0C" w:rsidRPr="009A02BA" w:rsidRDefault="00555F0C" w:rsidP="001E1277">
            <w:pPr>
              <w:spacing w:after="20" w:line="220" w:lineRule="auto"/>
              <w:rPr>
                <w:color w:val="000000" w:themeColor="text1"/>
                <w:sz w:val="18"/>
                <w:szCs w:val="18"/>
              </w:rPr>
            </w:pPr>
            <w:r w:rsidRPr="009A02BA">
              <w:rPr>
                <w:color w:val="000000" w:themeColor="text1"/>
                <w:sz w:val="18"/>
                <w:szCs w:val="18"/>
              </w:rPr>
              <w:t>Professional clinical guidance (historical)</w:t>
            </w:r>
          </w:p>
        </w:tc>
      </w:tr>
    </w:tbl>
    <w:p w14:paraId="06BD4B07" w14:textId="77777777" w:rsidR="00555F0C" w:rsidRDefault="00555F0C" w:rsidP="00555F0C">
      <w:pPr>
        <w:spacing w:line="480" w:lineRule="auto"/>
      </w:pPr>
      <w:proofErr w:type="spellStart"/>
      <w:r w:rsidRPr="00560AA0">
        <w:rPr>
          <w:vertAlign w:val="superscript"/>
        </w:rPr>
        <w:t>a</w:t>
      </w:r>
      <w:r w:rsidRPr="00560AA0">
        <w:t>Evidence</w:t>
      </w:r>
      <w:proofErr w:type="spellEnd"/>
      <w:r w:rsidRPr="00560AA0">
        <w:t xml:space="preserve">-synthesis efforts that contribute to the U.S. evidence base but do not issue clinical practice recommendations. Included to illustrate the distributed character of the U.S. guidance landscape. </w:t>
      </w:r>
    </w:p>
    <w:p w14:paraId="26F3F115" w14:textId="77777777" w:rsidR="00555F0C" w:rsidRDefault="00555F0C" w:rsidP="00555F0C">
      <w:pPr>
        <w:spacing w:line="480" w:lineRule="auto"/>
      </w:pPr>
      <w:proofErr w:type="spellStart"/>
      <w:r w:rsidRPr="00560AA0">
        <w:rPr>
          <w:vertAlign w:val="superscript"/>
        </w:rPr>
        <w:lastRenderedPageBreak/>
        <w:t>b</w:t>
      </w:r>
      <w:r w:rsidRPr="00560AA0">
        <w:t>Self</w:t>
      </w:r>
      <w:proofErr w:type="spellEnd"/>
      <w:r w:rsidRPr="00560AA0">
        <w:t xml:space="preserve">-declared historical: AACAP states that practice parameters should be used only for historical purposes after five years if not updated (AACAP, </w:t>
      </w:r>
      <w:proofErr w:type="spellStart"/>
      <w:r w:rsidRPr="00560AA0">
        <w:t>n.d</w:t>
      </w:r>
      <w:proofErr w:type="spellEnd"/>
      <w:r w:rsidRPr="00560AA0">
        <w:t>). Included to document AACAP’s institutional role in autism guidance.</w:t>
      </w:r>
    </w:p>
    <w:p w14:paraId="77748C8A" w14:textId="77777777" w:rsidR="00555F0C" w:rsidRDefault="00555F0C" w:rsidP="00555F0C">
      <w:pPr>
        <w:spacing w:line="480" w:lineRule="auto"/>
      </w:pPr>
      <w:r w:rsidRPr="00560AA0">
        <w:rPr>
          <w:i/>
          <w:iCs/>
        </w:rPr>
        <w:t>Note.</w:t>
      </w:r>
      <w:r>
        <w:t xml:space="preserve"> </w:t>
      </w:r>
      <w:r w:rsidRPr="008A65BF">
        <w:t xml:space="preserve">This table lists primary guidance documents analyzed for governance, participation, and implementation features. </w:t>
      </w:r>
      <w:r w:rsidRPr="00B3512C">
        <w:t>Documents are organized by country (alphabetical order). Year column shows original publication year and most recent revision or reaffirmation where applicable. Document type reflects the functional classification used in this study</w:t>
      </w:r>
      <w:r>
        <w:t xml:space="preserve">. </w:t>
      </w:r>
      <w:r w:rsidRPr="008A65BF">
        <w:t>Contextual and supplementary materials reviewed to support interpretation are described in the Contextual and Supplementary Documents section. Full citations for all materials reviewed are included in the reference list.</w:t>
      </w:r>
    </w:p>
    <w:p w14:paraId="767FBDA2" w14:textId="389417B6" w:rsidR="00607244" w:rsidRDefault="00555F0C" w:rsidP="00555F0C">
      <w:pPr>
        <w:spacing w:line="480" w:lineRule="auto"/>
      </w:pPr>
      <w:r w:rsidRPr="004F3F3A">
        <w:rPr>
          <w:i/>
          <w:iCs/>
        </w:rPr>
        <w:t>Abbreviations</w:t>
      </w:r>
      <w:r>
        <w:rPr>
          <w:i/>
          <w:iCs/>
        </w:rPr>
        <w:t>.</w:t>
      </w:r>
      <w:r w:rsidRPr="004F3F3A">
        <w:t xml:space="preserve"> AACAP = American Academy of Child and Adolescent Psychiatry; AAP = American Academy of Pediatrics; APA = American Psychiatric Association; Autism CRC = Autism Cooperative Research Centre; DSM-5-TR = Diagnostic and Statistical Manual of Mental Disorders, Fifth Edition, Text Revision; Helse Sør-Øst = South-Eastern Norway Regional Health Authority; HHS = Department of Health and Human Services; HIS = Healthcare Improvement Scotland; IACC = Interagency Autism Coordinating Committee; NAC = National Autism Center; NCAEP = National Clearinghouse on Autism Evidence and Practice; NICE = National Institute for Health and Care Excellence; SIGN = Scottish Intercollegiate Guidelines Network; Socialstyrelsen = Swedish National Board of Health and Welfare.</w:t>
      </w:r>
    </w:p>
    <w:sectPr w:rsidR="00607244" w:rsidSect="00AD14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244"/>
    <w:rsid w:val="001800ED"/>
    <w:rsid w:val="00190AD2"/>
    <w:rsid w:val="00310638"/>
    <w:rsid w:val="00495E6B"/>
    <w:rsid w:val="00555F0C"/>
    <w:rsid w:val="00607244"/>
    <w:rsid w:val="007A01EC"/>
    <w:rsid w:val="00AD1460"/>
    <w:rsid w:val="00DD2551"/>
    <w:rsid w:val="00E747FA"/>
    <w:rsid w:val="00E811F2"/>
    <w:rsid w:val="00EA641A"/>
    <w:rsid w:val="00FE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1DE05"/>
  <w15:chartTrackingRefBased/>
  <w15:docId w15:val="{DE22F588-CFEC-F747-9731-B548C73B6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F0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0724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0724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0724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0724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0724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0724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0724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0724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0724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244"/>
    <w:rPr>
      <w:rFonts w:eastAsiaTheme="majorEastAsia" w:cstheme="majorBidi"/>
      <w:color w:val="272727" w:themeColor="text1" w:themeTint="D8"/>
    </w:rPr>
  </w:style>
  <w:style w:type="paragraph" w:styleId="Title">
    <w:name w:val="Title"/>
    <w:basedOn w:val="Normal"/>
    <w:next w:val="Normal"/>
    <w:link w:val="TitleChar"/>
    <w:uiPriority w:val="10"/>
    <w:qFormat/>
    <w:rsid w:val="0060724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07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24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07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24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07244"/>
    <w:rPr>
      <w:i/>
      <w:iCs/>
      <w:color w:val="404040" w:themeColor="text1" w:themeTint="BF"/>
    </w:rPr>
  </w:style>
  <w:style w:type="paragraph" w:styleId="ListParagraph">
    <w:name w:val="List Paragraph"/>
    <w:basedOn w:val="Normal"/>
    <w:uiPriority w:val="34"/>
    <w:qFormat/>
    <w:rsid w:val="0060724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07244"/>
    <w:rPr>
      <w:i/>
      <w:iCs/>
      <w:color w:val="0F4761" w:themeColor="accent1" w:themeShade="BF"/>
    </w:rPr>
  </w:style>
  <w:style w:type="paragraph" w:styleId="IntenseQuote">
    <w:name w:val="Intense Quote"/>
    <w:basedOn w:val="Normal"/>
    <w:next w:val="Normal"/>
    <w:link w:val="IntenseQuoteChar"/>
    <w:uiPriority w:val="30"/>
    <w:qFormat/>
    <w:rsid w:val="0060724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07244"/>
    <w:rPr>
      <w:i/>
      <w:iCs/>
      <w:color w:val="0F4761" w:themeColor="accent1" w:themeShade="BF"/>
    </w:rPr>
  </w:style>
  <w:style w:type="character" w:styleId="IntenseReference">
    <w:name w:val="Intense Reference"/>
    <w:basedOn w:val="DefaultParagraphFont"/>
    <w:uiPriority w:val="32"/>
    <w:qFormat/>
    <w:rsid w:val="006072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Hwang</dc:creator>
  <cp:keywords/>
  <dc:description/>
  <cp:lastModifiedBy>Sanjay Venkatesan</cp:lastModifiedBy>
  <cp:revision>3</cp:revision>
  <dcterms:created xsi:type="dcterms:W3CDTF">2026-06-13T13:58:00Z</dcterms:created>
  <dcterms:modified xsi:type="dcterms:W3CDTF">2026-06-22T01:15:00Z</dcterms:modified>
</cp:coreProperties>
</file>