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1532D9" w14:textId="632B85BE" w:rsidR="00FA1634" w:rsidRPr="00C16AB4" w:rsidRDefault="0028797D" w:rsidP="00A77B44">
      <w:pPr>
        <w:pStyle w:val="NormalWeb"/>
        <w:spacing w:line="480" w:lineRule="auto"/>
        <w:ind w:firstLine="0"/>
        <w:jc w:val="center"/>
        <w:rPr>
          <w:u w:val="single"/>
        </w:rPr>
      </w:pPr>
      <w:r w:rsidRPr="00C16AB4">
        <w:rPr>
          <w:u w:val="single"/>
        </w:rPr>
        <w:t>School Exclusion as a Partial Mediator Between Autism and Adolescent Mental Health</w:t>
      </w:r>
    </w:p>
    <w:p w14:paraId="10050B7F" w14:textId="6478B06D" w:rsidR="00B74E21" w:rsidRPr="00C16AB4" w:rsidRDefault="00FA1634" w:rsidP="00FA1634">
      <w:pPr>
        <w:pStyle w:val="NormalWeb"/>
        <w:spacing w:line="480" w:lineRule="auto"/>
        <w:ind w:firstLine="0"/>
        <w:jc w:val="center"/>
        <w:rPr>
          <w:b/>
          <w:bCs/>
        </w:rPr>
      </w:pPr>
      <w:r w:rsidRPr="00C16AB4">
        <w:rPr>
          <w:b/>
          <w:bCs/>
        </w:rPr>
        <w:t>Supplementary Information</w:t>
      </w:r>
    </w:p>
    <w:p w14:paraId="519D88E6" w14:textId="76BBCF46" w:rsidR="00A77B44" w:rsidRPr="00C16AB4" w:rsidRDefault="000B68D6" w:rsidP="000B68D6">
      <w:pPr>
        <w:pStyle w:val="NormalWeb"/>
        <w:spacing w:line="480" w:lineRule="auto"/>
        <w:ind w:firstLine="0"/>
      </w:pPr>
      <w:r w:rsidRPr="00C16AB4">
        <w:rPr>
          <w:b/>
          <w:bCs/>
        </w:rPr>
        <w:t xml:space="preserve">Online Resource 1. </w:t>
      </w:r>
      <w:r w:rsidRPr="00C16AB4">
        <w:t>G-computation Method</w:t>
      </w:r>
    </w:p>
    <w:p w14:paraId="4C584C2B" w14:textId="28AAFAED" w:rsidR="000B68D6" w:rsidRPr="00C16AB4" w:rsidRDefault="000B68D6" w:rsidP="000B68D6">
      <w:pPr>
        <w:pStyle w:val="NormalWeb"/>
        <w:spacing w:line="480" w:lineRule="auto"/>
        <w:ind w:firstLine="0"/>
      </w:pPr>
      <w:r w:rsidRPr="00C16AB4">
        <w:t>Mediation analyses were conducted using parametric g-computation, with the outcome model specified using linear regression and the mediator model specified using logistic regression. Counterfactual direct, indirect and total effects were estimated using Monte Carlo integration with 50,000 simulations.</w:t>
      </w:r>
    </w:p>
    <w:p w14:paraId="68B1DD36" w14:textId="77777777" w:rsidR="00E934D9" w:rsidRPr="00C16AB4" w:rsidRDefault="00E934D9" w:rsidP="000B68D6">
      <w:pPr>
        <w:pStyle w:val="NormalWeb"/>
        <w:spacing w:line="480" w:lineRule="auto"/>
        <w:ind w:firstLine="0"/>
        <w:rPr>
          <w:b/>
          <w:bCs/>
        </w:rPr>
      </w:pPr>
    </w:p>
    <w:p w14:paraId="762C96B4" w14:textId="77777777" w:rsidR="00E934D9" w:rsidRPr="00C16AB4" w:rsidRDefault="00E934D9" w:rsidP="000B68D6">
      <w:pPr>
        <w:pStyle w:val="NormalWeb"/>
        <w:spacing w:line="480" w:lineRule="auto"/>
        <w:ind w:firstLine="0"/>
        <w:rPr>
          <w:b/>
          <w:bCs/>
        </w:rPr>
      </w:pPr>
    </w:p>
    <w:p w14:paraId="090F1C5A" w14:textId="77777777" w:rsidR="00E934D9" w:rsidRPr="00C16AB4" w:rsidRDefault="00E934D9" w:rsidP="000B68D6">
      <w:pPr>
        <w:pStyle w:val="NormalWeb"/>
        <w:spacing w:line="480" w:lineRule="auto"/>
        <w:ind w:firstLine="0"/>
        <w:rPr>
          <w:b/>
          <w:bCs/>
        </w:rPr>
      </w:pPr>
    </w:p>
    <w:p w14:paraId="13007A32" w14:textId="77777777" w:rsidR="00E934D9" w:rsidRPr="00C16AB4" w:rsidRDefault="00E934D9" w:rsidP="000B68D6">
      <w:pPr>
        <w:pStyle w:val="NormalWeb"/>
        <w:spacing w:line="480" w:lineRule="auto"/>
        <w:ind w:firstLine="0"/>
        <w:rPr>
          <w:b/>
          <w:bCs/>
        </w:rPr>
      </w:pPr>
    </w:p>
    <w:p w14:paraId="486A26AC" w14:textId="77777777" w:rsidR="00E934D9" w:rsidRPr="00C16AB4" w:rsidRDefault="00E934D9" w:rsidP="000B68D6">
      <w:pPr>
        <w:pStyle w:val="NormalWeb"/>
        <w:spacing w:line="480" w:lineRule="auto"/>
        <w:ind w:firstLine="0"/>
        <w:rPr>
          <w:b/>
          <w:bCs/>
        </w:rPr>
      </w:pPr>
    </w:p>
    <w:p w14:paraId="45F9C6D3" w14:textId="77777777" w:rsidR="00E934D9" w:rsidRPr="00C16AB4" w:rsidRDefault="00E934D9" w:rsidP="000B68D6">
      <w:pPr>
        <w:pStyle w:val="NormalWeb"/>
        <w:spacing w:line="480" w:lineRule="auto"/>
        <w:ind w:firstLine="0"/>
        <w:rPr>
          <w:b/>
          <w:bCs/>
        </w:rPr>
      </w:pPr>
    </w:p>
    <w:p w14:paraId="179CA798" w14:textId="77777777" w:rsidR="00E934D9" w:rsidRPr="00C16AB4" w:rsidRDefault="00E934D9" w:rsidP="000B68D6">
      <w:pPr>
        <w:pStyle w:val="NormalWeb"/>
        <w:spacing w:line="480" w:lineRule="auto"/>
        <w:ind w:firstLine="0"/>
        <w:rPr>
          <w:b/>
          <w:bCs/>
        </w:rPr>
      </w:pPr>
    </w:p>
    <w:p w14:paraId="05656FDB" w14:textId="77777777" w:rsidR="00E934D9" w:rsidRPr="00C16AB4" w:rsidRDefault="00E934D9" w:rsidP="000B68D6">
      <w:pPr>
        <w:pStyle w:val="NormalWeb"/>
        <w:spacing w:line="480" w:lineRule="auto"/>
        <w:ind w:firstLine="0"/>
        <w:rPr>
          <w:b/>
          <w:bCs/>
        </w:rPr>
      </w:pPr>
    </w:p>
    <w:p w14:paraId="141B9EA3" w14:textId="77777777" w:rsidR="00E934D9" w:rsidRPr="00C16AB4" w:rsidRDefault="00E934D9" w:rsidP="000B68D6">
      <w:pPr>
        <w:pStyle w:val="NormalWeb"/>
        <w:spacing w:line="480" w:lineRule="auto"/>
        <w:ind w:firstLine="0"/>
        <w:rPr>
          <w:b/>
          <w:bCs/>
        </w:rPr>
      </w:pPr>
    </w:p>
    <w:p w14:paraId="09C76554" w14:textId="77777777" w:rsidR="00E934D9" w:rsidRPr="00C16AB4" w:rsidRDefault="00E934D9" w:rsidP="000B68D6">
      <w:pPr>
        <w:pStyle w:val="NormalWeb"/>
        <w:spacing w:line="480" w:lineRule="auto"/>
        <w:ind w:firstLine="0"/>
        <w:rPr>
          <w:b/>
          <w:bCs/>
        </w:rPr>
      </w:pPr>
    </w:p>
    <w:p w14:paraId="070E133C" w14:textId="77777777" w:rsidR="00E934D9" w:rsidRPr="00C16AB4" w:rsidRDefault="00E934D9" w:rsidP="000B68D6">
      <w:pPr>
        <w:pStyle w:val="NormalWeb"/>
        <w:spacing w:line="480" w:lineRule="auto"/>
        <w:ind w:firstLine="0"/>
        <w:rPr>
          <w:b/>
          <w:bCs/>
        </w:rPr>
      </w:pPr>
    </w:p>
    <w:p w14:paraId="4930D45E" w14:textId="7119D505" w:rsidR="009934F6" w:rsidRPr="00C16AB4" w:rsidRDefault="009934F6" w:rsidP="000B68D6">
      <w:pPr>
        <w:pStyle w:val="NormalWeb"/>
        <w:spacing w:line="480" w:lineRule="auto"/>
        <w:ind w:firstLine="0"/>
      </w:pPr>
      <w:r w:rsidRPr="00C16AB4">
        <w:rPr>
          <w:b/>
          <w:bCs/>
        </w:rPr>
        <w:lastRenderedPageBreak/>
        <w:t xml:space="preserve">Online Resource 2. </w:t>
      </w:r>
      <w:r w:rsidRPr="00C16AB4">
        <w:t>Causal Assumptions</w:t>
      </w:r>
    </w:p>
    <w:p w14:paraId="073D4877" w14:textId="5AF59F41" w:rsidR="009934F6" w:rsidRPr="00C16AB4" w:rsidRDefault="009934F6" w:rsidP="000B68D6">
      <w:pPr>
        <w:pStyle w:val="NormalWeb"/>
        <w:spacing w:line="480" w:lineRule="auto"/>
        <w:ind w:firstLine="0"/>
      </w:pPr>
      <w:r w:rsidRPr="00C16AB4">
        <w:t>The causal analyses relied on several assumptions required for identification of causal effects. The consistency assumption states that an individual</w:t>
      </w:r>
      <w:r w:rsidR="00303BDD" w:rsidRPr="00C16AB4">
        <w:t>’</w:t>
      </w:r>
      <w:r w:rsidRPr="00C16AB4">
        <w:t>s observed outcome under their received exposure corresponds to their potential outcome under that exposure (Robins et al., 2000). The positivity assumption requires that individuals with each combination of observed covariates have a non-zero probability of receiving each level of exposure (Hernán &amp; Robins, 2006). The no interference assumption states that an individual</w:t>
      </w:r>
      <w:r w:rsidR="00303BDD" w:rsidRPr="00C16AB4">
        <w:t>’</w:t>
      </w:r>
      <w:r w:rsidRPr="00C16AB4">
        <w:t xml:space="preserve">s outcome is not affected by the exposure received by other individuals (Tchetgen &amp; VanderWeele, 2012). The exposure-mediator interaction assumption considers whether the effect of the exposure on the outcome varies depending on </w:t>
      </w:r>
      <w:r w:rsidR="00E934D9" w:rsidRPr="00C16AB4">
        <w:t xml:space="preserve">levels of the mediator, as such interactions may influence the interpretation and estimation of mediation effects (De Stavola et al., 2015). Finally, the no unmeasured confounding assumption requires that all relevant confounders influencing the key relationships have been adequately measured and accounted for, allowing unbiased estimation of causal effects (De Stavola et al., 2015). </w:t>
      </w:r>
    </w:p>
    <w:p w14:paraId="31898693" w14:textId="77777777" w:rsidR="009934F6" w:rsidRPr="00C16AB4" w:rsidRDefault="009934F6" w:rsidP="000B68D6">
      <w:pPr>
        <w:pStyle w:val="NormalWeb"/>
        <w:spacing w:line="480" w:lineRule="auto"/>
        <w:ind w:firstLine="0"/>
      </w:pPr>
    </w:p>
    <w:p w14:paraId="2DC20073" w14:textId="77777777" w:rsidR="00E934D9" w:rsidRPr="00C16AB4" w:rsidRDefault="00E934D9" w:rsidP="000B68D6">
      <w:pPr>
        <w:pStyle w:val="NormalWeb"/>
        <w:spacing w:line="480" w:lineRule="auto"/>
        <w:ind w:firstLine="0"/>
        <w:rPr>
          <w:rFonts w:asciiTheme="minorHAnsi" w:eastAsiaTheme="minorHAnsi" w:hAnsiTheme="minorHAnsi" w:cstheme="minorBidi"/>
          <w:kern w:val="2"/>
          <w:lang w:eastAsia="en-US"/>
          <w14:ligatures w14:val="standardContextual"/>
        </w:rPr>
      </w:pPr>
    </w:p>
    <w:p w14:paraId="0E5A5EED" w14:textId="77777777" w:rsidR="00E934D9" w:rsidRPr="00C16AB4" w:rsidRDefault="00E934D9" w:rsidP="000B68D6">
      <w:pPr>
        <w:pStyle w:val="NormalWeb"/>
        <w:spacing w:line="480" w:lineRule="auto"/>
        <w:ind w:firstLine="0"/>
        <w:rPr>
          <w:rFonts w:asciiTheme="minorHAnsi" w:eastAsiaTheme="minorHAnsi" w:hAnsiTheme="minorHAnsi" w:cstheme="minorBidi"/>
          <w:kern w:val="2"/>
          <w:lang w:eastAsia="en-US"/>
          <w14:ligatures w14:val="standardContextual"/>
        </w:rPr>
      </w:pPr>
    </w:p>
    <w:p w14:paraId="1E88AE5D" w14:textId="77777777" w:rsidR="00E934D9" w:rsidRPr="00C16AB4" w:rsidRDefault="00E934D9" w:rsidP="000B68D6">
      <w:pPr>
        <w:pStyle w:val="NormalWeb"/>
        <w:spacing w:line="480" w:lineRule="auto"/>
        <w:ind w:firstLine="0"/>
        <w:rPr>
          <w:rFonts w:asciiTheme="minorHAnsi" w:eastAsiaTheme="minorHAnsi" w:hAnsiTheme="minorHAnsi" w:cstheme="minorBidi"/>
          <w:kern w:val="2"/>
          <w:lang w:eastAsia="en-US"/>
          <w14:ligatures w14:val="standardContextual"/>
        </w:rPr>
      </w:pPr>
    </w:p>
    <w:p w14:paraId="515BBCEE" w14:textId="77777777" w:rsidR="00E934D9" w:rsidRPr="00C16AB4" w:rsidRDefault="00E934D9" w:rsidP="000B68D6">
      <w:pPr>
        <w:pStyle w:val="NormalWeb"/>
        <w:spacing w:line="480" w:lineRule="auto"/>
        <w:ind w:firstLine="0"/>
        <w:rPr>
          <w:rFonts w:asciiTheme="minorHAnsi" w:eastAsiaTheme="minorHAnsi" w:hAnsiTheme="minorHAnsi" w:cstheme="minorBidi"/>
          <w:kern w:val="2"/>
          <w:lang w:eastAsia="en-US"/>
          <w14:ligatures w14:val="standardContextual"/>
        </w:rPr>
      </w:pPr>
    </w:p>
    <w:p w14:paraId="11F9FF6B" w14:textId="77777777" w:rsidR="00E934D9" w:rsidRPr="00C16AB4" w:rsidRDefault="00E934D9" w:rsidP="00A12F12">
      <w:pPr>
        <w:pStyle w:val="NormalWeb"/>
        <w:spacing w:line="480" w:lineRule="auto"/>
        <w:ind w:firstLine="0"/>
      </w:pPr>
    </w:p>
    <w:p w14:paraId="55281AEA" w14:textId="75810534" w:rsidR="009A3E4F" w:rsidRPr="00C16AB4" w:rsidRDefault="009A3E4F" w:rsidP="003372CC">
      <w:pPr>
        <w:rPr>
          <w:rFonts w:ascii="Times New Roman" w:hAnsi="Times New Roman" w:cs="Times New Roman"/>
          <w:b/>
          <w:bCs/>
        </w:rPr>
      </w:pPr>
      <w:r w:rsidRPr="00C16AB4">
        <w:rPr>
          <w:rFonts w:ascii="Times New Roman" w:hAnsi="Times New Roman" w:cs="Times New Roman"/>
          <w:b/>
          <w:bCs/>
        </w:rPr>
        <w:t xml:space="preserve">Online Resource </w:t>
      </w:r>
      <w:r w:rsidR="000B68D6" w:rsidRPr="00C16AB4">
        <w:rPr>
          <w:rFonts w:ascii="Times New Roman" w:hAnsi="Times New Roman" w:cs="Times New Roman"/>
          <w:b/>
          <w:bCs/>
        </w:rPr>
        <w:t>3</w:t>
      </w:r>
      <w:r w:rsidRPr="00C16AB4">
        <w:rPr>
          <w:rFonts w:ascii="Times New Roman" w:hAnsi="Times New Roman" w:cs="Times New Roman"/>
        </w:rPr>
        <w:t>.</w:t>
      </w:r>
      <w:r w:rsidRPr="00C16AB4">
        <w:rPr>
          <w:rFonts w:ascii="Times New Roman" w:hAnsi="Times New Roman" w:cs="Times New Roman"/>
          <w:b/>
          <w:bCs/>
        </w:rPr>
        <w:t xml:space="preserve">  </w:t>
      </w:r>
      <w:r w:rsidRPr="00C16AB4">
        <w:rPr>
          <w:rFonts w:ascii="Times New Roman" w:hAnsi="Times New Roman" w:cs="Times New Roman"/>
        </w:rPr>
        <w:t>Interaction Effects Between Presence of ASC and School Exclusion on Internalising and Externalising Outcomes</w:t>
      </w:r>
    </w:p>
    <w:tbl>
      <w:tblPr>
        <w:tblStyle w:val="PlainTable2"/>
        <w:tblW w:w="0" w:type="auto"/>
        <w:tblLook w:val="04A0" w:firstRow="1" w:lastRow="0" w:firstColumn="1" w:lastColumn="0" w:noHBand="0" w:noVBand="1"/>
      </w:tblPr>
      <w:tblGrid>
        <w:gridCol w:w="2254"/>
        <w:gridCol w:w="2254"/>
        <w:gridCol w:w="2254"/>
        <w:gridCol w:w="2254"/>
      </w:tblGrid>
      <w:tr w:rsidR="009A3E4F" w:rsidRPr="00C16AB4" w14:paraId="268B3AC6" w14:textId="77777777" w:rsidTr="00A625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7E9D628A"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lastRenderedPageBreak/>
              <w:t>Outcome</w:t>
            </w:r>
          </w:p>
        </w:tc>
        <w:tc>
          <w:tcPr>
            <w:tcW w:w="2254" w:type="dxa"/>
          </w:tcPr>
          <w:p w14:paraId="76DA38AC" w14:textId="77777777" w:rsidR="009A3E4F" w:rsidRPr="00C16AB4" w:rsidRDefault="009A3E4F" w:rsidP="00A62554">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OR</w:t>
            </w:r>
          </w:p>
        </w:tc>
        <w:tc>
          <w:tcPr>
            <w:tcW w:w="2254" w:type="dxa"/>
          </w:tcPr>
          <w:p w14:paraId="2CBD17F2" w14:textId="77777777" w:rsidR="009A3E4F" w:rsidRPr="00C16AB4" w:rsidRDefault="009A3E4F" w:rsidP="00A62554">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95% CI</w:t>
            </w:r>
          </w:p>
        </w:tc>
        <w:tc>
          <w:tcPr>
            <w:tcW w:w="2254" w:type="dxa"/>
          </w:tcPr>
          <w:p w14:paraId="6D4C6352" w14:textId="77777777" w:rsidR="009A3E4F" w:rsidRPr="00C16AB4" w:rsidRDefault="009A3E4F" w:rsidP="00A62554">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p-value</w:t>
            </w:r>
          </w:p>
        </w:tc>
      </w:tr>
      <w:tr w:rsidR="009A3E4F" w:rsidRPr="00C16AB4" w14:paraId="017DF6EC" w14:textId="77777777" w:rsidTr="00A625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465A8CAE" w14:textId="77777777" w:rsidR="009A3E4F" w:rsidRPr="00C16AB4" w:rsidRDefault="009A3E4F" w:rsidP="00A62554">
            <w:pPr>
              <w:spacing w:line="480" w:lineRule="auto"/>
              <w:rPr>
                <w:rFonts w:ascii="Times New Roman" w:hAnsi="Times New Roman" w:cs="Times New Roman"/>
                <w:b w:val="0"/>
                <w:bCs w:val="0"/>
              </w:rPr>
            </w:pPr>
            <w:r w:rsidRPr="00C16AB4">
              <w:rPr>
                <w:rFonts w:ascii="Times New Roman" w:hAnsi="Times New Roman" w:cs="Times New Roman"/>
                <w:b w:val="0"/>
                <w:bCs w:val="0"/>
              </w:rPr>
              <w:t>Externalising</w:t>
            </w:r>
          </w:p>
        </w:tc>
        <w:tc>
          <w:tcPr>
            <w:tcW w:w="2254" w:type="dxa"/>
          </w:tcPr>
          <w:p w14:paraId="1AD3C562"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0.64</w:t>
            </w:r>
          </w:p>
        </w:tc>
        <w:tc>
          <w:tcPr>
            <w:tcW w:w="2254" w:type="dxa"/>
          </w:tcPr>
          <w:p w14:paraId="4947EFBB"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(-0.41, 1.68)</w:t>
            </w:r>
          </w:p>
        </w:tc>
        <w:tc>
          <w:tcPr>
            <w:tcW w:w="2254" w:type="dxa"/>
          </w:tcPr>
          <w:p w14:paraId="67C4BC70"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0.232</w:t>
            </w:r>
          </w:p>
        </w:tc>
      </w:tr>
      <w:tr w:rsidR="009A3E4F" w:rsidRPr="00C16AB4" w14:paraId="35B17AC7" w14:textId="77777777" w:rsidTr="00A62554">
        <w:tc>
          <w:tcPr>
            <w:cnfStyle w:val="001000000000" w:firstRow="0" w:lastRow="0" w:firstColumn="1" w:lastColumn="0" w:oddVBand="0" w:evenVBand="0" w:oddHBand="0" w:evenHBand="0" w:firstRowFirstColumn="0" w:firstRowLastColumn="0" w:lastRowFirstColumn="0" w:lastRowLastColumn="0"/>
            <w:tcW w:w="2254" w:type="dxa"/>
          </w:tcPr>
          <w:p w14:paraId="5876743B" w14:textId="77777777" w:rsidR="009A3E4F" w:rsidRPr="00C16AB4" w:rsidRDefault="009A3E4F" w:rsidP="00A62554">
            <w:pPr>
              <w:spacing w:line="480" w:lineRule="auto"/>
              <w:rPr>
                <w:rFonts w:ascii="Times New Roman" w:hAnsi="Times New Roman" w:cs="Times New Roman"/>
                <w:b w:val="0"/>
                <w:bCs w:val="0"/>
              </w:rPr>
            </w:pPr>
            <w:r w:rsidRPr="00C16AB4">
              <w:rPr>
                <w:rFonts w:ascii="Times New Roman" w:hAnsi="Times New Roman" w:cs="Times New Roman"/>
                <w:b w:val="0"/>
                <w:bCs w:val="0"/>
              </w:rPr>
              <w:t>Internalising</w:t>
            </w:r>
          </w:p>
        </w:tc>
        <w:tc>
          <w:tcPr>
            <w:tcW w:w="2254" w:type="dxa"/>
          </w:tcPr>
          <w:p w14:paraId="5355D3A0"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0.79</w:t>
            </w:r>
          </w:p>
        </w:tc>
        <w:tc>
          <w:tcPr>
            <w:tcW w:w="2254" w:type="dxa"/>
          </w:tcPr>
          <w:p w14:paraId="1EA47E6A"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(-0.57, 2.15)</w:t>
            </w:r>
          </w:p>
        </w:tc>
        <w:tc>
          <w:tcPr>
            <w:tcW w:w="2254" w:type="dxa"/>
          </w:tcPr>
          <w:p w14:paraId="27926175"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0.255</w:t>
            </w:r>
          </w:p>
        </w:tc>
      </w:tr>
    </w:tbl>
    <w:p w14:paraId="74C003C0" w14:textId="77777777" w:rsidR="009A3E4F" w:rsidRPr="00C16AB4" w:rsidRDefault="009A3E4F" w:rsidP="009540C7">
      <w:pPr>
        <w:spacing w:line="480" w:lineRule="auto"/>
        <w:rPr>
          <w:rFonts w:ascii="Times New Roman" w:hAnsi="Times New Roman" w:cs="Times New Roman"/>
        </w:rPr>
      </w:pPr>
      <w:r w:rsidRPr="00C16AB4">
        <w:rPr>
          <w:rFonts w:ascii="Times New Roman" w:hAnsi="Times New Roman" w:cs="Times New Roman"/>
          <w:i/>
          <w:iCs/>
        </w:rPr>
        <w:t>Note.</w:t>
      </w:r>
      <w:r w:rsidRPr="00C16AB4">
        <w:rPr>
          <w:rFonts w:ascii="Times New Roman" w:hAnsi="Times New Roman" w:cs="Times New Roman"/>
        </w:rPr>
        <w:t xml:space="preserve"> OR = odds ratio; 95% CI = 95% confidence intervals. </w:t>
      </w:r>
    </w:p>
    <w:p w14:paraId="055CC654" w14:textId="77777777" w:rsidR="009A3E4F" w:rsidRPr="00C16AB4" w:rsidRDefault="009A3E4F" w:rsidP="009A3E4F">
      <w:pPr>
        <w:spacing w:line="480" w:lineRule="auto"/>
        <w:rPr>
          <w:rFonts w:ascii="Times New Roman" w:hAnsi="Times New Roman" w:cs="Times New Roman"/>
        </w:rPr>
      </w:pPr>
    </w:p>
    <w:p w14:paraId="53313571" w14:textId="77777777" w:rsidR="009A3E4F" w:rsidRPr="00C16AB4" w:rsidRDefault="009A3E4F" w:rsidP="009A3E4F">
      <w:pPr>
        <w:spacing w:line="480" w:lineRule="auto"/>
        <w:rPr>
          <w:rFonts w:ascii="Times New Roman" w:hAnsi="Times New Roman" w:cs="Times New Roman"/>
        </w:rPr>
      </w:pPr>
    </w:p>
    <w:p w14:paraId="21DC2158" w14:textId="77777777" w:rsidR="009A3E4F" w:rsidRPr="00C16AB4" w:rsidRDefault="009A3E4F" w:rsidP="009A3E4F">
      <w:pPr>
        <w:spacing w:line="480" w:lineRule="auto"/>
        <w:rPr>
          <w:rFonts w:ascii="Times New Roman" w:hAnsi="Times New Roman" w:cs="Times New Roman"/>
        </w:rPr>
      </w:pPr>
    </w:p>
    <w:p w14:paraId="14F7F906" w14:textId="77777777" w:rsidR="009A3E4F" w:rsidRPr="00C16AB4" w:rsidRDefault="009A3E4F" w:rsidP="009A3E4F">
      <w:pPr>
        <w:spacing w:line="480" w:lineRule="auto"/>
        <w:rPr>
          <w:rFonts w:ascii="Times New Roman" w:hAnsi="Times New Roman" w:cs="Times New Roman"/>
        </w:rPr>
      </w:pPr>
    </w:p>
    <w:p w14:paraId="25E79D4C" w14:textId="540BD733" w:rsidR="0026564C" w:rsidRPr="00C16AB4" w:rsidRDefault="0026564C">
      <w:pPr>
        <w:rPr>
          <w:rFonts w:ascii="Times New Roman" w:hAnsi="Times New Roman" w:cs="Times New Roman"/>
        </w:rPr>
      </w:pPr>
      <w:r w:rsidRPr="00C16AB4">
        <w:rPr>
          <w:rFonts w:ascii="Times New Roman" w:hAnsi="Times New Roman" w:cs="Times New Roman"/>
        </w:rPr>
        <w:br w:type="page"/>
      </w:r>
    </w:p>
    <w:p w14:paraId="705BBFD8" w14:textId="71B18EC1" w:rsidR="009A3E4F" w:rsidRPr="00C16AB4" w:rsidRDefault="009A3E4F" w:rsidP="009A3E4F">
      <w:pPr>
        <w:spacing w:line="480" w:lineRule="auto"/>
        <w:rPr>
          <w:rFonts w:ascii="Times New Roman" w:hAnsi="Times New Roman" w:cs="Times New Roman"/>
          <w:b/>
          <w:bCs/>
        </w:rPr>
      </w:pPr>
      <w:r w:rsidRPr="00C16AB4">
        <w:rPr>
          <w:rFonts w:ascii="Times New Roman" w:hAnsi="Times New Roman" w:cs="Times New Roman"/>
          <w:b/>
          <w:bCs/>
        </w:rPr>
        <w:lastRenderedPageBreak/>
        <w:t xml:space="preserve">Online Resource </w:t>
      </w:r>
      <w:r w:rsidR="009934F6" w:rsidRPr="00C16AB4">
        <w:rPr>
          <w:rFonts w:ascii="Times New Roman" w:hAnsi="Times New Roman" w:cs="Times New Roman"/>
          <w:b/>
          <w:bCs/>
        </w:rPr>
        <w:t>4</w:t>
      </w:r>
      <w:r w:rsidRPr="00C16AB4">
        <w:rPr>
          <w:rFonts w:ascii="Times New Roman" w:hAnsi="Times New Roman" w:cs="Times New Roman"/>
          <w:b/>
          <w:bCs/>
        </w:rPr>
        <w:t>.</w:t>
      </w:r>
      <w:r w:rsidRPr="00C16AB4">
        <w:rPr>
          <w:rFonts w:ascii="Times New Roman" w:hAnsi="Times New Roman" w:cs="Times New Roman"/>
        </w:rPr>
        <w:t xml:space="preserve"> Interaction Effects Between Presence of ASC and Intermediate Confounders on Internalising and Externalising Outcomes</w:t>
      </w:r>
    </w:p>
    <w:tbl>
      <w:tblPr>
        <w:tblStyle w:val="PlainTable21"/>
        <w:tblW w:w="0" w:type="auto"/>
        <w:tblLook w:val="04A0" w:firstRow="1" w:lastRow="0" w:firstColumn="1" w:lastColumn="0" w:noHBand="0" w:noVBand="1"/>
      </w:tblPr>
      <w:tblGrid>
        <w:gridCol w:w="3681"/>
        <w:gridCol w:w="1701"/>
        <w:gridCol w:w="1984"/>
        <w:gridCol w:w="1650"/>
      </w:tblGrid>
      <w:tr w:rsidR="009A3E4F" w:rsidRPr="00C16AB4" w14:paraId="53DB246D" w14:textId="77777777" w:rsidTr="00A625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0ADBB3E3"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Interaction Terms</w:t>
            </w:r>
          </w:p>
        </w:tc>
        <w:tc>
          <w:tcPr>
            <w:tcW w:w="1701" w:type="dxa"/>
          </w:tcPr>
          <w:p w14:paraId="2990CD07" w14:textId="77777777" w:rsidR="009A3E4F" w:rsidRPr="00C16AB4" w:rsidRDefault="009A3E4F" w:rsidP="00A62554">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OR</w:t>
            </w:r>
          </w:p>
        </w:tc>
        <w:tc>
          <w:tcPr>
            <w:tcW w:w="1984" w:type="dxa"/>
          </w:tcPr>
          <w:p w14:paraId="33165CE9" w14:textId="77777777" w:rsidR="009A3E4F" w:rsidRPr="00C16AB4" w:rsidRDefault="009A3E4F" w:rsidP="00A62554">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95% CI</w:t>
            </w:r>
          </w:p>
        </w:tc>
        <w:tc>
          <w:tcPr>
            <w:tcW w:w="1650" w:type="dxa"/>
          </w:tcPr>
          <w:p w14:paraId="7BF7288A" w14:textId="77777777" w:rsidR="009A3E4F" w:rsidRPr="00C16AB4" w:rsidRDefault="009A3E4F" w:rsidP="00A62554">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p-value</w:t>
            </w:r>
          </w:p>
        </w:tc>
      </w:tr>
      <w:tr w:rsidR="009A3E4F" w:rsidRPr="00C16AB4" w14:paraId="788B9AD1" w14:textId="77777777" w:rsidTr="00A625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191151D3"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ASC*pre-existing externalising difficulties</w:t>
            </w:r>
          </w:p>
        </w:tc>
        <w:tc>
          <w:tcPr>
            <w:tcW w:w="5335" w:type="dxa"/>
            <w:gridSpan w:val="3"/>
          </w:tcPr>
          <w:p w14:paraId="487CD887"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9A3E4F" w:rsidRPr="00C16AB4" w14:paraId="2FEBF6D5" w14:textId="77777777" w:rsidTr="00A62554">
        <w:tc>
          <w:tcPr>
            <w:cnfStyle w:val="001000000000" w:firstRow="0" w:lastRow="0" w:firstColumn="1" w:lastColumn="0" w:oddVBand="0" w:evenVBand="0" w:oddHBand="0" w:evenHBand="0" w:firstRowFirstColumn="0" w:firstRowLastColumn="0" w:lastRowFirstColumn="0" w:lastRowLastColumn="0"/>
            <w:tcW w:w="3681" w:type="dxa"/>
          </w:tcPr>
          <w:p w14:paraId="1EBF33B9" w14:textId="77777777" w:rsidR="009A3E4F" w:rsidRPr="00C16AB4" w:rsidRDefault="009A3E4F" w:rsidP="00A62554">
            <w:pPr>
              <w:spacing w:line="480" w:lineRule="auto"/>
              <w:rPr>
                <w:rFonts w:ascii="Times New Roman" w:hAnsi="Times New Roman" w:cs="Times New Roman"/>
                <w:b w:val="0"/>
                <w:bCs w:val="0"/>
              </w:rPr>
            </w:pPr>
            <w:r w:rsidRPr="00C16AB4">
              <w:rPr>
                <w:rFonts w:ascii="Times New Roman" w:hAnsi="Times New Roman" w:cs="Times New Roman"/>
                <w:b w:val="0"/>
                <w:bCs w:val="0"/>
              </w:rPr>
              <w:t>Externalising</w:t>
            </w:r>
          </w:p>
        </w:tc>
        <w:tc>
          <w:tcPr>
            <w:tcW w:w="1701" w:type="dxa"/>
          </w:tcPr>
          <w:p w14:paraId="282FF3FC"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0.01</w:t>
            </w:r>
          </w:p>
        </w:tc>
        <w:tc>
          <w:tcPr>
            <w:tcW w:w="1984" w:type="dxa"/>
          </w:tcPr>
          <w:p w14:paraId="52AFD1BA"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(-0.08, 0.11)</w:t>
            </w:r>
          </w:p>
        </w:tc>
        <w:tc>
          <w:tcPr>
            <w:tcW w:w="1650" w:type="dxa"/>
          </w:tcPr>
          <w:p w14:paraId="3E0DBBD7"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0.795</w:t>
            </w:r>
          </w:p>
        </w:tc>
      </w:tr>
      <w:tr w:rsidR="009A3E4F" w:rsidRPr="00C16AB4" w14:paraId="741C248B" w14:textId="77777777" w:rsidTr="00A625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0A69070C" w14:textId="77777777" w:rsidR="009A3E4F" w:rsidRPr="00C16AB4" w:rsidRDefault="009A3E4F" w:rsidP="00A62554">
            <w:pPr>
              <w:spacing w:line="480" w:lineRule="auto"/>
              <w:rPr>
                <w:rFonts w:ascii="Times New Roman" w:hAnsi="Times New Roman" w:cs="Times New Roman"/>
                <w:b w:val="0"/>
                <w:bCs w:val="0"/>
              </w:rPr>
            </w:pPr>
            <w:r w:rsidRPr="00C16AB4">
              <w:rPr>
                <w:rFonts w:ascii="Times New Roman" w:hAnsi="Times New Roman" w:cs="Times New Roman"/>
                <w:b w:val="0"/>
                <w:bCs w:val="0"/>
              </w:rPr>
              <w:t>Internalising</w:t>
            </w:r>
          </w:p>
        </w:tc>
        <w:tc>
          <w:tcPr>
            <w:tcW w:w="1701" w:type="dxa"/>
          </w:tcPr>
          <w:p w14:paraId="7A401DA4"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-0.02</w:t>
            </w:r>
          </w:p>
        </w:tc>
        <w:tc>
          <w:tcPr>
            <w:tcW w:w="1984" w:type="dxa"/>
          </w:tcPr>
          <w:p w14:paraId="08BE04F5"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(-0.14, 0.10)</w:t>
            </w:r>
          </w:p>
        </w:tc>
        <w:tc>
          <w:tcPr>
            <w:tcW w:w="1650" w:type="dxa"/>
          </w:tcPr>
          <w:p w14:paraId="7CD0DF86"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0.716</w:t>
            </w:r>
          </w:p>
        </w:tc>
      </w:tr>
      <w:tr w:rsidR="009A3E4F" w:rsidRPr="00C16AB4" w14:paraId="020C153B" w14:textId="77777777" w:rsidTr="00A62554">
        <w:tc>
          <w:tcPr>
            <w:cnfStyle w:val="001000000000" w:firstRow="0" w:lastRow="0" w:firstColumn="1" w:lastColumn="0" w:oddVBand="0" w:evenVBand="0" w:oddHBand="0" w:evenHBand="0" w:firstRowFirstColumn="0" w:firstRowLastColumn="0" w:lastRowFirstColumn="0" w:lastRowLastColumn="0"/>
            <w:tcW w:w="3681" w:type="dxa"/>
          </w:tcPr>
          <w:p w14:paraId="76B2D4EA"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 xml:space="preserve">ASC*parents mental health </w:t>
            </w:r>
          </w:p>
        </w:tc>
        <w:tc>
          <w:tcPr>
            <w:tcW w:w="5335" w:type="dxa"/>
            <w:gridSpan w:val="3"/>
          </w:tcPr>
          <w:p w14:paraId="459F0EEB"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A3E4F" w:rsidRPr="00C16AB4" w14:paraId="6AAE2CE2" w14:textId="77777777" w:rsidTr="00A625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4973354" w14:textId="77777777" w:rsidR="009A3E4F" w:rsidRPr="00C16AB4" w:rsidRDefault="009A3E4F" w:rsidP="00A62554">
            <w:pPr>
              <w:spacing w:line="480" w:lineRule="auto"/>
              <w:rPr>
                <w:rFonts w:ascii="Times New Roman" w:hAnsi="Times New Roman" w:cs="Times New Roman"/>
                <w:b w:val="0"/>
                <w:bCs w:val="0"/>
              </w:rPr>
            </w:pPr>
            <w:r w:rsidRPr="00C16AB4">
              <w:rPr>
                <w:rFonts w:ascii="Times New Roman" w:hAnsi="Times New Roman" w:cs="Times New Roman"/>
                <w:b w:val="0"/>
                <w:bCs w:val="0"/>
              </w:rPr>
              <w:t>Externalising</w:t>
            </w:r>
          </w:p>
        </w:tc>
        <w:tc>
          <w:tcPr>
            <w:tcW w:w="1701" w:type="dxa"/>
          </w:tcPr>
          <w:p w14:paraId="5798EE84"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-0.01</w:t>
            </w:r>
          </w:p>
        </w:tc>
        <w:tc>
          <w:tcPr>
            <w:tcW w:w="1984" w:type="dxa"/>
          </w:tcPr>
          <w:p w14:paraId="210315FF"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(-0.09, 0.07)</w:t>
            </w:r>
          </w:p>
        </w:tc>
        <w:tc>
          <w:tcPr>
            <w:tcW w:w="1650" w:type="dxa"/>
          </w:tcPr>
          <w:p w14:paraId="0E6F9B86"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0.750</w:t>
            </w:r>
          </w:p>
        </w:tc>
      </w:tr>
      <w:tr w:rsidR="009A3E4F" w:rsidRPr="00C16AB4" w14:paraId="62908FE7" w14:textId="77777777" w:rsidTr="00A62554">
        <w:tc>
          <w:tcPr>
            <w:cnfStyle w:val="001000000000" w:firstRow="0" w:lastRow="0" w:firstColumn="1" w:lastColumn="0" w:oddVBand="0" w:evenVBand="0" w:oddHBand="0" w:evenHBand="0" w:firstRowFirstColumn="0" w:firstRowLastColumn="0" w:lastRowFirstColumn="0" w:lastRowLastColumn="0"/>
            <w:tcW w:w="3681" w:type="dxa"/>
          </w:tcPr>
          <w:p w14:paraId="36FCC5B3" w14:textId="77777777" w:rsidR="009A3E4F" w:rsidRPr="00C16AB4" w:rsidRDefault="009A3E4F" w:rsidP="00A62554">
            <w:pPr>
              <w:spacing w:line="480" w:lineRule="auto"/>
              <w:rPr>
                <w:rFonts w:ascii="Times New Roman" w:hAnsi="Times New Roman" w:cs="Times New Roman"/>
                <w:b w:val="0"/>
                <w:bCs w:val="0"/>
              </w:rPr>
            </w:pPr>
            <w:r w:rsidRPr="00C16AB4">
              <w:rPr>
                <w:rFonts w:ascii="Times New Roman" w:hAnsi="Times New Roman" w:cs="Times New Roman"/>
                <w:b w:val="0"/>
                <w:bCs w:val="0"/>
              </w:rPr>
              <w:t xml:space="preserve">Internalising </w:t>
            </w:r>
          </w:p>
        </w:tc>
        <w:tc>
          <w:tcPr>
            <w:tcW w:w="1701" w:type="dxa"/>
          </w:tcPr>
          <w:p w14:paraId="1A393793"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-0.07</w:t>
            </w:r>
          </w:p>
        </w:tc>
        <w:tc>
          <w:tcPr>
            <w:tcW w:w="1984" w:type="dxa"/>
          </w:tcPr>
          <w:p w14:paraId="2015CA30"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(-0.17, 0.04)</w:t>
            </w:r>
          </w:p>
        </w:tc>
        <w:tc>
          <w:tcPr>
            <w:tcW w:w="1650" w:type="dxa"/>
          </w:tcPr>
          <w:p w14:paraId="7EFA475C"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0.195</w:t>
            </w:r>
          </w:p>
        </w:tc>
      </w:tr>
    </w:tbl>
    <w:p w14:paraId="5EED77F1" w14:textId="77777777" w:rsidR="009A3E4F" w:rsidRPr="00C16AB4" w:rsidRDefault="009A3E4F" w:rsidP="00A12F12">
      <w:pPr>
        <w:spacing w:line="480" w:lineRule="auto"/>
        <w:rPr>
          <w:rFonts w:ascii="Times New Roman" w:hAnsi="Times New Roman" w:cs="Times New Roman"/>
        </w:rPr>
      </w:pPr>
      <w:r w:rsidRPr="00C16AB4">
        <w:rPr>
          <w:rFonts w:ascii="Times New Roman" w:hAnsi="Times New Roman" w:cs="Times New Roman"/>
          <w:i/>
          <w:iCs/>
        </w:rPr>
        <w:t>Note.</w:t>
      </w:r>
      <w:r w:rsidRPr="00C16AB4">
        <w:rPr>
          <w:rFonts w:ascii="Times New Roman" w:hAnsi="Times New Roman" w:cs="Times New Roman"/>
        </w:rPr>
        <w:t xml:space="preserve"> ASC = Autism Spectrum Conditions; OR = odds ratio; 95% CI = 95% confidence intervals. </w:t>
      </w:r>
    </w:p>
    <w:p w14:paraId="571F4F63" w14:textId="77777777" w:rsidR="009A3E4F" w:rsidRPr="00C16AB4" w:rsidRDefault="009A3E4F" w:rsidP="009A3E4F">
      <w:pPr>
        <w:spacing w:line="480" w:lineRule="auto"/>
        <w:rPr>
          <w:rFonts w:ascii="Times New Roman" w:hAnsi="Times New Roman" w:cs="Times New Roman"/>
        </w:rPr>
        <w:sectPr w:rsidR="009A3E4F" w:rsidRPr="00C16AB4" w:rsidSect="005753BB">
          <w:headerReference w:type="default" r:id="rId6"/>
          <w:headerReference w:type="first" r:id="rId7"/>
          <w:pgSz w:w="11906" w:h="16838"/>
          <w:pgMar w:top="1440" w:right="1440" w:bottom="1440" w:left="1440" w:header="709" w:footer="709" w:gutter="0"/>
          <w:pgNumType w:start="1"/>
          <w:cols w:space="708"/>
          <w:docGrid w:linePitch="360"/>
        </w:sectPr>
      </w:pPr>
    </w:p>
    <w:p w14:paraId="673565F3" w14:textId="43BE6D7C" w:rsidR="009A3E4F" w:rsidRPr="00C16AB4" w:rsidRDefault="009A3E4F" w:rsidP="009A3E4F">
      <w:pPr>
        <w:spacing w:line="480" w:lineRule="auto"/>
        <w:rPr>
          <w:rFonts w:ascii="Times New Roman" w:hAnsi="Times New Roman" w:cs="Times New Roman"/>
        </w:rPr>
      </w:pPr>
      <w:r w:rsidRPr="00C16AB4">
        <w:rPr>
          <w:rFonts w:ascii="Times New Roman" w:hAnsi="Times New Roman" w:cs="Times New Roman"/>
          <w:b/>
          <w:bCs/>
        </w:rPr>
        <w:t xml:space="preserve">Online Resource </w:t>
      </w:r>
      <w:r w:rsidR="009934F6" w:rsidRPr="00C16AB4">
        <w:rPr>
          <w:rFonts w:ascii="Times New Roman" w:hAnsi="Times New Roman" w:cs="Times New Roman"/>
          <w:b/>
          <w:bCs/>
        </w:rPr>
        <w:t>5</w:t>
      </w:r>
      <w:r w:rsidRPr="00C16AB4">
        <w:rPr>
          <w:rFonts w:ascii="Times New Roman" w:hAnsi="Times New Roman" w:cs="Times New Roman"/>
          <w:b/>
          <w:bCs/>
        </w:rPr>
        <w:t xml:space="preserve">. </w:t>
      </w:r>
      <w:r w:rsidRPr="00C16AB4">
        <w:rPr>
          <w:rFonts w:ascii="Times New Roman" w:hAnsi="Times New Roman" w:cs="Times New Roman"/>
        </w:rPr>
        <w:t>Pairwise Pearson Correlation Matrix of Missingness Indicators for Confounders and Mediators with Exposure and Outcome Variables</w:t>
      </w:r>
    </w:p>
    <w:tbl>
      <w:tblPr>
        <w:tblStyle w:val="PlainTable21"/>
        <w:tblW w:w="0" w:type="auto"/>
        <w:tblLayout w:type="fixed"/>
        <w:tblLook w:val="04A0" w:firstRow="1" w:lastRow="0" w:firstColumn="1" w:lastColumn="0" w:noHBand="0" w:noVBand="1"/>
      </w:tblPr>
      <w:tblGrid>
        <w:gridCol w:w="2830"/>
        <w:gridCol w:w="1418"/>
        <w:gridCol w:w="1843"/>
        <w:gridCol w:w="1559"/>
        <w:gridCol w:w="1559"/>
        <w:gridCol w:w="1559"/>
        <w:gridCol w:w="1560"/>
        <w:gridCol w:w="1559"/>
      </w:tblGrid>
      <w:tr w:rsidR="009A3E4F" w:rsidRPr="00C16AB4" w14:paraId="4D89D91F" w14:textId="77777777" w:rsidTr="00A625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6950514" w14:textId="77777777" w:rsidR="009A3E4F" w:rsidRPr="00C16AB4" w:rsidRDefault="009A3E4F" w:rsidP="00A62554">
            <w:pPr>
              <w:spacing w:line="480" w:lineRule="auto"/>
              <w:rPr>
                <w:rFonts w:ascii="Times New Roman" w:hAnsi="Times New Roman" w:cs="Times New Roman"/>
              </w:rPr>
            </w:pPr>
          </w:p>
        </w:tc>
        <w:tc>
          <w:tcPr>
            <w:tcW w:w="1418" w:type="dxa"/>
          </w:tcPr>
          <w:p w14:paraId="1DF09607" w14:textId="77777777" w:rsidR="009A3E4F" w:rsidRPr="00C16AB4" w:rsidRDefault="009A3E4F" w:rsidP="00A62554">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(mi)exclusion</w:t>
            </w:r>
          </w:p>
        </w:tc>
        <w:tc>
          <w:tcPr>
            <w:tcW w:w="1843" w:type="dxa"/>
          </w:tcPr>
          <w:p w14:paraId="31B84224" w14:textId="77777777" w:rsidR="009A3E4F" w:rsidRPr="00C16AB4" w:rsidRDefault="009A3E4F" w:rsidP="00A62554">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(mi)parent mental health</w:t>
            </w:r>
          </w:p>
        </w:tc>
        <w:tc>
          <w:tcPr>
            <w:tcW w:w="1559" w:type="dxa"/>
          </w:tcPr>
          <w:p w14:paraId="04CE3061" w14:textId="77777777" w:rsidR="009A3E4F" w:rsidRPr="00C16AB4" w:rsidRDefault="009A3E4F" w:rsidP="00A62554">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(mi)prior externalising</w:t>
            </w:r>
          </w:p>
        </w:tc>
        <w:tc>
          <w:tcPr>
            <w:tcW w:w="1559" w:type="dxa"/>
          </w:tcPr>
          <w:p w14:paraId="7522AFC8" w14:textId="77777777" w:rsidR="009A3E4F" w:rsidRPr="00C16AB4" w:rsidRDefault="009A3E4F" w:rsidP="00A62554">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(mi)deprivation</w:t>
            </w:r>
          </w:p>
        </w:tc>
        <w:tc>
          <w:tcPr>
            <w:tcW w:w="1559" w:type="dxa"/>
          </w:tcPr>
          <w:p w14:paraId="4EBE94D9" w14:textId="77777777" w:rsidR="009A3E4F" w:rsidRPr="00C16AB4" w:rsidRDefault="009A3E4F" w:rsidP="00A62554">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(mi)ethnicity</w:t>
            </w:r>
          </w:p>
        </w:tc>
        <w:tc>
          <w:tcPr>
            <w:tcW w:w="1560" w:type="dxa"/>
          </w:tcPr>
          <w:p w14:paraId="00613927" w14:textId="77777777" w:rsidR="009A3E4F" w:rsidRPr="00C16AB4" w:rsidRDefault="009A3E4F" w:rsidP="00A62554">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(mi)parent engagement</w:t>
            </w:r>
          </w:p>
        </w:tc>
        <w:tc>
          <w:tcPr>
            <w:tcW w:w="1559" w:type="dxa"/>
          </w:tcPr>
          <w:p w14:paraId="2CDA4B5C" w14:textId="77777777" w:rsidR="009A3E4F" w:rsidRPr="00C16AB4" w:rsidRDefault="009A3E4F" w:rsidP="00A62554">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(mi)maternal age</w:t>
            </w:r>
          </w:p>
        </w:tc>
      </w:tr>
      <w:tr w:rsidR="009A3E4F" w:rsidRPr="00C16AB4" w14:paraId="6DD77E92" w14:textId="77777777" w:rsidTr="00A625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C5B542D"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(mi)exclusion</w:t>
            </w:r>
          </w:p>
        </w:tc>
        <w:tc>
          <w:tcPr>
            <w:tcW w:w="1418" w:type="dxa"/>
          </w:tcPr>
          <w:p w14:paraId="16B91AFE"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1.00</w:t>
            </w:r>
          </w:p>
        </w:tc>
        <w:tc>
          <w:tcPr>
            <w:tcW w:w="1843" w:type="dxa"/>
          </w:tcPr>
          <w:p w14:paraId="564D312D"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c>
          <w:tcPr>
            <w:tcW w:w="1559" w:type="dxa"/>
          </w:tcPr>
          <w:p w14:paraId="6A64804F"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c>
          <w:tcPr>
            <w:tcW w:w="1559" w:type="dxa"/>
          </w:tcPr>
          <w:p w14:paraId="2C9B454B"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c>
          <w:tcPr>
            <w:tcW w:w="1559" w:type="dxa"/>
          </w:tcPr>
          <w:p w14:paraId="5BBE2BFB"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c>
          <w:tcPr>
            <w:tcW w:w="1560" w:type="dxa"/>
          </w:tcPr>
          <w:p w14:paraId="29AA1EF1"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c>
          <w:tcPr>
            <w:tcW w:w="1559" w:type="dxa"/>
          </w:tcPr>
          <w:p w14:paraId="7E71C675"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r>
      <w:tr w:rsidR="009A3E4F" w:rsidRPr="00C16AB4" w14:paraId="77A82853" w14:textId="77777777" w:rsidTr="00A62554">
        <w:tc>
          <w:tcPr>
            <w:cnfStyle w:val="001000000000" w:firstRow="0" w:lastRow="0" w:firstColumn="1" w:lastColumn="0" w:oddVBand="0" w:evenVBand="0" w:oddHBand="0" w:evenHBand="0" w:firstRowFirstColumn="0" w:firstRowLastColumn="0" w:lastRowFirstColumn="0" w:lastRowLastColumn="0"/>
            <w:tcW w:w="2830" w:type="dxa"/>
          </w:tcPr>
          <w:p w14:paraId="7F1FA1D8"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(mi)parent mental health</w:t>
            </w:r>
          </w:p>
        </w:tc>
        <w:tc>
          <w:tcPr>
            <w:tcW w:w="1418" w:type="dxa"/>
          </w:tcPr>
          <w:p w14:paraId="7B90D094"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0.02</w:t>
            </w:r>
          </w:p>
        </w:tc>
        <w:tc>
          <w:tcPr>
            <w:tcW w:w="1843" w:type="dxa"/>
          </w:tcPr>
          <w:p w14:paraId="7D9EBA5E"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1.00</w:t>
            </w:r>
          </w:p>
        </w:tc>
        <w:tc>
          <w:tcPr>
            <w:tcW w:w="1559" w:type="dxa"/>
          </w:tcPr>
          <w:p w14:paraId="4D60AB0C"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c>
          <w:tcPr>
            <w:tcW w:w="1559" w:type="dxa"/>
          </w:tcPr>
          <w:p w14:paraId="108ED1CA"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c>
          <w:tcPr>
            <w:tcW w:w="1559" w:type="dxa"/>
          </w:tcPr>
          <w:p w14:paraId="5212F179"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c>
          <w:tcPr>
            <w:tcW w:w="1560" w:type="dxa"/>
          </w:tcPr>
          <w:p w14:paraId="3BC6868C"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c>
          <w:tcPr>
            <w:tcW w:w="1559" w:type="dxa"/>
          </w:tcPr>
          <w:p w14:paraId="4A248FA9"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r>
      <w:tr w:rsidR="009A3E4F" w:rsidRPr="00C16AB4" w14:paraId="7AA7F564" w14:textId="77777777" w:rsidTr="00A625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91FE181"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(mi)prior externalising</w:t>
            </w:r>
          </w:p>
        </w:tc>
        <w:tc>
          <w:tcPr>
            <w:tcW w:w="1418" w:type="dxa"/>
          </w:tcPr>
          <w:p w14:paraId="271AD42D"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0.02</w:t>
            </w:r>
          </w:p>
        </w:tc>
        <w:tc>
          <w:tcPr>
            <w:tcW w:w="1843" w:type="dxa"/>
          </w:tcPr>
          <w:p w14:paraId="4B4A92AC"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0.59</w:t>
            </w:r>
          </w:p>
        </w:tc>
        <w:tc>
          <w:tcPr>
            <w:tcW w:w="1559" w:type="dxa"/>
          </w:tcPr>
          <w:p w14:paraId="06E99F8A"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1.00</w:t>
            </w:r>
          </w:p>
        </w:tc>
        <w:tc>
          <w:tcPr>
            <w:tcW w:w="1559" w:type="dxa"/>
          </w:tcPr>
          <w:p w14:paraId="4B9A1672"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c>
          <w:tcPr>
            <w:tcW w:w="1559" w:type="dxa"/>
          </w:tcPr>
          <w:p w14:paraId="715BFEC9"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c>
          <w:tcPr>
            <w:tcW w:w="1560" w:type="dxa"/>
          </w:tcPr>
          <w:p w14:paraId="714A4A05"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c>
          <w:tcPr>
            <w:tcW w:w="1559" w:type="dxa"/>
          </w:tcPr>
          <w:p w14:paraId="4A069C53"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r>
      <w:tr w:rsidR="009A3E4F" w:rsidRPr="00C16AB4" w14:paraId="05FF64F6" w14:textId="77777777" w:rsidTr="00A62554">
        <w:tc>
          <w:tcPr>
            <w:cnfStyle w:val="001000000000" w:firstRow="0" w:lastRow="0" w:firstColumn="1" w:lastColumn="0" w:oddVBand="0" w:evenVBand="0" w:oddHBand="0" w:evenHBand="0" w:firstRowFirstColumn="0" w:firstRowLastColumn="0" w:lastRowFirstColumn="0" w:lastRowLastColumn="0"/>
            <w:tcW w:w="2830" w:type="dxa"/>
          </w:tcPr>
          <w:p w14:paraId="187DE3FC"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(mi)deprivation</w:t>
            </w:r>
          </w:p>
        </w:tc>
        <w:tc>
          <w:tcPr>
            <w:tcW w:w="1418" w:type="dxa"/>
          </w:tcPr>
          <w:p w14:paraId="309FE82E"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0.02</w:t>
            </w:r>
          </w:p>
        </w:tc>
        <w:tc>
          <w:tcPr>
            <w:tcW w:w="1843" w:type="dxa"/>
          </w:tcPr>
          <w:p w14:paraId="019AF7F1"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0.10</w:t>
            </w:r>
          </w:p>
        </w:tc>
        <w:tc>
          <w:tcPr>
            <w:tcW w:w="1559" w:type="dxa"/>
          </w:tcPr>
          <w:p w14:paraId="31269A1D"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0.13</w:t>
            </w:r>
          </w:p>
        </w:tc>
        <w:tc>
          <w:tcPr>
            <w:tcW w:w="1559" w:type="dxa"/>
          </w:tcPr>
          <w:p w14:paraId="30F321E7"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1.00</w:t>
            </w:r>
          </w:p>
        </w:tc>
        <w:tc>
          <w:tcPr>
            <w:tcW w:w="1559" w:type="dxa"/>
          </w:tcPr>
          <w:p w14:paraId="7A687850"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c>
          <w:tcPr>
            <w:tcW w:w="1560" w:type="dxa"/>
          </w:tcPr>
          <w:p w14:paraId="14DC9202"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c>
          <w:tcPr>
            <w:tcW w:w="1559" w:type="dxa"/>
          </w:tcPr>
          <w:p w14:paraId="6CDA1909"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r>
      <w:tr w:rsidR="009A3E4F" w:rsidRPr="00C16AB4" w14:paraId="0657AD62" w14:textId="77777777" w:rsidTr="00A625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1D0DA0E"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(mi)ethnicity</w:t>
            </w:r>
          </w:p>
        </w:tc>
        <w:tc>
          <w:tcPr>
            <w:tcW w:w="1418" w:type="dxa"/>
          </w:tcPr>
          <w:p w14:paraId="344A16C4"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-0.007</w:t>
            </w:r>
          </w:p>
        </w:tc>
        <w:tc>
          <w:tcPr>
            <w:tcW w:w="1843" w:type="dxa"/>
          </w:tcPr>
          <w:p w14:paraId="19582237"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-0.003</w:t>
            </w:r>
          </w:p>
        </w:tc>
        <w:tc>
          <w:tcPr>
            <w:tcW w:w="1559" w:type="dxa"/>
          </w:tcPr>
          <w:p w14:paraId="6525569E"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-0.002</w:t>
            </w:r>
          </w:p>
        </w:tc>
        <w:tc>
          <w:tcPr>
            <w:tcW w:w="1559" w:type="dxa"/>
          </w:tcPr>
          <w:p w14:paraId="6478E5E7"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-0.0007</w:t>
            </w:r>
          </w:p>
        </w:tc>
        <w:tc>
          <w:tcPr>
            <w:tcW w:w="1559" w:type="dxa"/>
          </w:tcPr>
          <w:p w14:paraId="0D18CE73"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1.00</w:t>
            </w:r>
          </w:p>
        </w:tc>
        <w:tc>
          <w:tcPr>
            <w:tcW w:w="1560" w:type="dxa"/>
          </w:tcPr>
          <w:p w14:paraId="0BB4CB1A"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c>
          <w:tcPr>
            <w:tcW w:w="1559" w:type="dxa"/>
          </w:tcPr>
          <w:p w14:paraId="31E05633"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r>
      <w:tr w:rsidR="009A3E4F" w:rsidRPr="00C16AB4" w14:paraId="1446D9BE" w14:textId="77777777" w:rsidTr="00A62554">
        <w:tc>
          <w:tcPr>
            <w:cnfStyle w:val="001000000000" w:firstRow="0" w:lastRow="0" w:firstColumn="1" w:lastColumn="0" w:oddVBand="0" w:evenVBand="0" w:oddHBand="0" w:evenHBand="0" w:firstRowFirstColumn="0" w:firstRowLastColumn="0" w:lastRowFirstColumn="0" w:lastRowLastColumn="0"/>
            <w:tcW w:w="2830" w:type="dxa"/>
          </w:tcPr>
          <w:p w14:paraId="6CA34DAF"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(mi)parent engagement</w:t>
            </w:r>
          </w:p>
        </w:tc>
        <w:tc>
          <w:tcPr>
            <w:tcW w:w="1418" w:type="dxa"/>
          </w:tcPr>
          <w:p w14:paraId="4FE81E8C"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0.02</w:t>
            </w:r>
          </w:p>
        </w:tc>
        <w:tc>
          <w:tcPr>
            <w:tcW w:w="1843" w:type="dxa"/>
          </w:tcPr>
          <w:p w14:paraId="16E8B0F6"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-0.005</w:t>
            </w:r>
          </w:p>
        </w:tc>
        <w:tc>
          <w:tcPr>
            <w:tcW w:w="1559" w:type="dxa"/>
          </w:tcPr>
          <w:p w14:paraId="77D98782"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-0.005</w:t>
            </w:r>
          </w:p>
        </w:tc>
        <w:tc>
          <w:tcPr>
            <w:tcW w:w="1559" w:type="dxa"/>
          </w:tcPr>
          <w:p w14:paraId="6F3084A1"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-0.01</w:t>
            </w:r>
          </w:p>
        </w:tc>
        <w:tc>
          <w:tcPr>
            <w:tcW w:w="1559" w:type="dxa"/>
          </w:tcPr>
          <w:p w14:paraId="335CFED0"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-0.004</w:t>
            </w:r>
          </w:p>
        </w:tc>
        <w:tc>
          <w:tcPr>
            <w:tcW w:w="1560" w:type="dxa"/>
          </w:tcPr>
          <w:p w14:paraId="11A841D0"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1.00</w:t>
            </w:r>
          </w:p>
        </w:tc>
        <w:tc>
          <w:tcPr>
            <w:tcW w:w="1559" w:type="dxa"/>
          </w:tcPr>
          <w:p w14:paraId="7EF190A4"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w:t>
            </w:r>
          </w:p>
        </w:tc>
      </w:tr>
      <w:tr w:rsidR="009A3E4F" w:rsidRPr="00C16AB4" w14:paraId="26E22B6E" w14:textId="77777777" w:rsidTr="00A625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D1C12BB"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(mi)maternal age</w:t>
            </w:r>
          </w:p>
        </w:tc>
        <w:tc>
          <w:tcPr>
            <w:tcW w:w="1418" w:type="dxa"/>
          </w:tcPr>
          <w:p w14:paraId="39077F6D"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0.01</w:t>
            </w:r>
          </w:p>
        </w:tc>
        <w:tc>
          <w:tcPr>
            <w:tcW w:w="1843" w:type="dxa"/>
          </w:tcPr>
          <w:p w14:paraId="6FB05D39"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0.07</w:t>
            </w:r>
          </w:p>
        </w:tc>
        <w:tc>
          <w:tcPr>
            <w:tcW w:w="1559" w:type="dxa"/>
          </w:tcPr>
          <w:p w14:paraId="5BF551BC"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0.04</w:t>
            </w:r>
          </w:p>
        </w:tc>
        <w:tc>
          <w:tcPr>
            <w:tcW w:w="1559" w:type="dxa"/>
          </w:tcPr>
          <w:p w14:paraId="6D4D8710"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0.02</w:t>
            </w:r>
          </w:p>
        </w:tc>
        <w:tc>
          <w:tcPr>
            <w:tcW w:w="1559" w:type="dxa"/>
          </w:tcPr>
          <w:p w14:paraId="524374FC"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0.09</w:t>
            </w:r>
          </w:p>
        </w:tc>
        <w:tc>
          <w:tcPr>
            <w:tcW w:w="1560" w:type="dxa"/>
          </w:tcPr>
          <w:p w14:paraId="00EBD146"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-0.03</w:t>
            </w:r>
          </w:p>
        </w:tc>
        <w:tc>
          <w:tcPr>
            <w:tcW w:w="1559" w:type="dxa"/>
          </w:tcPr>
          <w:p w14:paraId="71C82938"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1.00</w:t>
            </w:r>
          </w:p>
        </w:tc>
      </w:tr>
      <w:tr w:rsidR="009A3E4F" w:rsidRPr="00C16AB4" w14:paraId="44A99DFD" w14:textId="77777777" w:rsidTr="00A62554">
        <w:tc>
          <w:tcPr>
            <w:cnfStyle w:val="001000000000" w:firstRow="0" w:lastRow="0" w:firstColumn="1" w:lastColumn="0" w:oddVBand="0" w:evenVBand="0" w:oddHBand="0" w:evenHBand="0" w:firstRowFirstColumn="0" w:firstRowLastColumn="0" w:lastRowFirstColumn="0" w:lastRowLastColumn="0"/>
            <w:tcW w:w="2830" w:type="dxa"/>
          </w:tcPr>
          <w:p w14:paraId="4DA8D0FC"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(mi)internalising</w:t>
            </w:r>
          </w:p>
        </w:tc>
        <w:tc>
          <w:tcPr>
            <w:tcW w:w="1418" w:type="dxa"/>
          </w:tcPr>
          <w:p w14:paraId="60662BF6"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0.41</w:t>
            </w:r>
          </w:p>
        </w:tc>
        <w:tc>
          <w:tcPr>
            <w:tcW w:w="1843" w:type="dxa"/>
          </w:tcPr>
          <w:p w14:paraId="4AB16318"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-0.002</w:t>
            </w:r>
          </w:p>
        </w:tc>
        <w:tc>
          <w:tcPr>
            <w:tcW w:w="1559" w:type="dxa"/>
          </w:tcPr>
          <w:p w14:paraId="12336AAF"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-0.01</w:t>
            </w:r>
          </w:p>
        </w:tc>
        <w:tc>
          <w:tcPr>
            <w:tcW w:w="1559" w:type="dxa"/>
          </w:tcPr>
          <w:p w14:paraId="599082AE"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0.004</w:t>
            </w:r>
          </w:p>
        </w:tc>
        <w:tc>
          <w:tcPr>
            <w:tcW w:w="1559" w:type="dxa"/>
          </w:tcPr>
          <w:p w14:paraId="17F23584"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0.002</w:t>
            </w:r>
          </w:p>
        </w:tc>
        <w:tc>
          <w:tcPr>
            <w:tcW w:w="1560" w:type="dxa"/>
          </w:tcPr>
          <w:p w14:paraId="41FBB66F"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0.01</w:t>
            </w:r>
          </w:p>
        </w:tc>
        <w:tc>
          <w:tcPr>
            <w:tcW w:w="1559" w:type="dxa"/>
          </w:tcPr>
          <w:p w14:paraId="7092A3FA"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0.006</w:t>
            </w:r>
          </w:p>
        </w:tc>
      </w:tr>
      <w:tr w:rsidR="009A3E4F" w:rsidRPr="00C16AB4" w14:paraId="67ADD5AA" w14:textId="77777777" w:rsidTr="00A625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A1EC99A"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(mi)externalising</w:t>
            </w:r>
          </w:p>
        </w:tc>
        <w:tc>
          <w:tcPr>
            <w:tcW w:w="1418" w:type="dxa"/>
          </w:tcPr>
          <w:p w14:paraId="4A28F8DA"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0.41</w:t>
            </w:r>
          </w:p>
        </w:tc>
        <w:tc>
          <w:tcPr>
            <w:tcW w:w="1843" w:type="dxa"/>
          </w:tcPr>
          <w:p w14:paraId="20DFB038"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0.005</w:t>
            </w:r>
          </w:p>
        </w:tc>
        <w:tc>
          <w:tcPr>
            <w:tcW w:w="1559" w:type="dxa"/>
          </w:tcPr>
          <w:p w14:paraId="407812D6"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-0.004</w:t>
            </w:r>
          </w:p>
        </w:tc>
        <w:tc>
          <w:tcPr>
            <w:tcW w:w="1559" w:type="dxa"/>
          </w:tcPr>
          <w:p w14:paraId="597761F3"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-0.002</w:t>
            </w:r>
          </w:p>
        </w:tc>
        <w:tc>
          <w:tcPr>
            <w:tcW w:w="1559" w:type="dxa"/>
          </w:tcPr>
          <w:p w14:paraId="53F588AF"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0.002</w:t>
            </w:r>
          </w:p>
        </w:tc>
        <w:tc>
          <w:tcPr>
            <w:tcW w:w="1560" w:type="dxa"/>
          </w:tcPr>
          <w:p w14:paraId="0D898083"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0.01</w:t>
            </w:r>
          </w:p>
        </w:tc>
        <w:tc>
          <w:tcPr>
            <w:tcW w:w="1559" w:type="dxa"/>
          </w:tcPr>
          <w:p w14:paraId="6F13DA62"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0.01</w:t>
            </w:r>
          </w:p>
        </w:tc>
      </w:tr>
      <w:tr w:rsidR="009A3E4F" w:rsidRPr="00C16AB4" w14:paraId="6303B73E" w14:textId="77777777" w:rsidTr="00A62554">
        <w:tc>
          <w:tcPr>
            <w:cnfStyle w:val="001000000000" w:firstRow="0" w:lastRow="0" w:firstColumn="1" w:lastColumn="0" w:oddVBand="0" w:evenVBand="0" w:oddHBand="0" w:evenHBand="0" w:firstRowFirstColumn="0" w:firstRowLastColumn="0" w:lastRowFirstColumn="0" w:lastRowLastColumn="0"/>
            <w:tcW w:w="2830" w:type="dxa"/>
          </w:tcPr>
          <w:p w14:paraId="12EAC289"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ASD</w:t>
            </w:r>
          </w:p>
        </w:tc>
        <w:tc>
          <w:tcPr>
            <w:tcW w:w="1418" w:type="dxa"/>
          </w:tcPr>
          <w:p w14:paraId="5335CB33"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-0.02</w:t>
            </w:r>
          </w:p>
        </w:tc>
        <w:tc>
          <w:tcPr>
            <w:tcW w:w="1843" w:type="dxa"/>
          </w:tcPr>
          <w:p w14:paraId="51C13DAA"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-0.0005</w:t>
            </w:r>
          </w:p>
        </w:tc>
        <w:tc>
          <w:tcPr>
            <w:tcW w:w="1559" w:type="dxa"/>
          </w:tcPr>
          <w:p w14:paraId="7D67904D"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-0.006</w:t>
            </w:r>
          </w:p>
        </w:tc>
        <w:tc>
          <w:tcPr>
            <w:tcW w:w="1559" w:type="dxa"/>
          </w:tcPr>
          <w:p w14:paraId="0917C93F"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-0.005</w:t>
            </w:r>
          </w:p>
        </w:tc>
        <w:tc>
          <w:tcPr>
            <w:tcW w:w="1559" w:type="dxa"/>
          </w:tcPr>
          <w:p w14:paraId="70901F52"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-0.002</w:t>
            </w:r>
          </w:p>
        </w:tc>
        <w:tc>
          <w:tcPr>
            <w:tcW w:w="1560" w:type="dxa"/>
          </w:tcPr>
          <w:p w14:paraId="640E77C9"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-0.003</w:t>
            </w:r>
          </w:p>
        </w:tc>
        <w:tc>
          <w:tcPr>
            <w:tcW w:w="1559" w:type="dxa"/>
          </w:tcPr>
          <w:p w14:paraId="1A16428C"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-0.006</w:t>
            </w:r>
          </w:p>
        </w:tc>
      </w:tr>
      <w:tr w:rsidR="009A3E4F" w:rsidRPr="00C16AB4" w14:paraId="34EB6925" w14:textId="77777777" w:rsidTr="00A625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099C32E"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Physical health</w:t>
            </w:r>
          </w:p>
        </w:tc>
        <w:tc>
          <w:tcPr>
            <w:tcW w:w="1418" w:type="dxa"/>
          </w:tcPr>
          <w:p w14:paraId="45E186A4"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0.02</w:t>
            </w:r>
          </w:p>
        </w:tc>
        <w:tc>
          <w:tcPr>
            <w:tcW w:w="1843" w:type="dxa"/>
          </w:tcPr>
          <w:p w14:paraId="77F70DA1"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0.11</w:t>
            </w:r>
          </w:p>
        </w:tc>
        <w:tc>
          <w:tcPr>
            <w:tcW w:w="1559" w:type="dxa"/>
          </w:tcPr>
          <w:p w14:paraId="5BD2C156"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0.10</w:t>
            </w:r>
          </w:p>
        </w:tc>
        <w:tc>
          <w:tcPr>
            <w:tcW w:w="1559" w:type="dxa"/>
          </w:tcPr>
          <w:p w14:paraId="3F4FF701"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0.01</w:t>
            </w:r>
          </w:p>
        </w:tc>
        <w:tc>
          <w:tcPr>
            <w:tcW w:w="1559" w:type="dxa"/>
          </w:tcPr>
          <w:p w14:paraId="79C3B761"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0.002</w:t>
            </w:r>
          </w:p>
        </w:tc>
        <w:tc>
          <w:tcPr>
            <w:tcW w:w="1560" w:type="dxa"/>
          </w:tcPr>
          <w:p w14:paraId="645EF228"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0.006</w:t>
            </w:r>
          </w:p>
        </w:tc>
        <w:tc>
          <w:tcPr>
            <w:tcW w:w="1559" w:type="dxa"/>
          </w:tcPr>
          <w:p w14:paraId="297CD45B"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0.03</w:t>
            </w:r>
          </w:p>
        </w:tc>
      </w:tr>
      <w:tr w:rsidR="009A3E4F" w:rsidRPr="00C16AB4" w14:paraId="6BE17F9F" w14:textId="77777777" w:rsidTr="00A62554">
        <w:trPr>
          <w:gridAfter w:val="1"/>
          <w:wAfter w:w="1559" w:type="dxa"/>
        </w:trPr>
        <w:tc>
          <w:tcPr>
            <w:cnfStyle w:val="001000000000" w:firstRow="0" w:lastRow="0" w:firstColumn="1" w:lastColumn="0" w:oddVBand="0" w:evenVBand="0" w:oddHBand="0" w:evenHBand="0" w:firstRowFirstColumn="0" w:firstRowLastColumn="0" w:lastRowFirstColumn="0" w:lastRowLastColumn="0"/>
            <w:tcW w:w="2830" w:type="dxa"/>
          </w:tcPr>
          <w:p w14:paraId="462D9239" w14:textId="77777777" w:rsidR="009A3E4F" w:rsidRPr="00C16AB4" w:rsidRDefault="009A3E4F" w:rsidP="00A62554">
            <w:pPr>
              <w:spacing w:line="480" w:lineRule="auto"/>
              <w:rPr>
                <w:rFonts w:ascii="Times New Roman" w:hAnsi="Times New Roman" w:cs="Times New Roman"/>
              </w:rPr>
            </w:pPr>
          </w:p>
        </w:tc>
        <w:tc>
          <w:tcPr>
            <w:tcW w:w="1418" w:type="dxa"/>
          </w:tcPr>
          <w:p w14:paraId="5D4F701E"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C16AB4">
              <w:rPr>
                <w:rFonts w:ascii="Times New Roman" w:hAnsi="Times New Roman" w:cs="Times New Roman"/>
                <w:b/>
                <w:bCs/>
              </w:rPr>
              <w:t>(mi)internalising</w:t>
            </w:r>
          </w:p>
        </w:tc>
        <w:tc>
          <w:tcPr>
            <w:tcW w:w="1843" w:type="dxa"/>
          </w:tcPr>
          <w:p w14:paraId="4B8D1FD1"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C16AB4">
              <w:rPr>
                <w:rFonts w:ascii="Times New Roman" w:hAnsi="Times New Roman" w:cs="Times New Roman"/>
                <w:b/>
                <w:bCs/>
              </w:rPr>
              <w:t>(mi)externalising</w:t>
            </w:r>
          </w:p>
        </w:tc>
        <w:tc>
          <w:tcPr>
            <w:tcW w:w="1559" w:type="dxa"/>
          </w:tcPr>
          <w:p w14:paraId="000A6481"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C16AB4">
              <w:rPr>
                <w:rFonts w:ascii="Times New Roman" w:hAnsi="Times New Roman" w:cs="Times New Roman"/>
                <w:b/>
                <w:bCs/>
              </w:rPr>
              <w:t>ASD</w:t>
            </w:r>
          </w:p>
        </w:tc>
        <w:tc>
          <w:tcPr>
            <w:tcW w:w="1559" w:type="dxa"/>
          </w:tcPr>
          <w:p w14:paraId="29BE5898"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C16AB4">
              <w:rPr>
                <w:rFonts w:ascii="Times New Roman" w:hAnsi="Times New Roman" w:cs="Times New Roman"/>
                <w:b/>
                <w:bCs/>
              </w:rPr>
              <w:t>Physical health</w:t>
            </w:r>
          </w:p>
        </w:tc>
        <w:tc>
          <w:tcPr>
            <w:tcW w:w="1559" w:type="dxa"/>
          </w:tcPr>
          <w:p w14:paraId="06598DC0"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C16AB4">
              <w:rPr>
                <w:rFonts w:ascii="Times New Roman" w:hAnsi="Times New Roman" w:cs="Times New Roman"/>
                <w:b/>
                <w:bCs/>
              </w:rPr>
              <w:t>Parent household</w:t>
            </w:r>
          </w:p>
        </w:tc>
        <w:tc>
          <w:tcPr>
            <w:tcW w:w="1560" w:type="dxa"/>
          </w:tcPr>
          <w:p w14:paraId="349FA74A"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C16AB4">
              <w:rPr>
                <w:rFonts w:ascii="Times New Roman" w:hAnsi="Times New Roman" w:cs="Times New Roman"/>
                <w:b/>
                <w:bCs/>
              </w:rPr>
              <w:t>sex</w:t>
            </w:r>
          </w:p>
        </w:tc>
      </w:tr>
      <w:tr w:rsidR="009A3E4F" w:rsidRPr="00C16AB4" w14:paraId="77A2EDBD" w14:textId="77777777" w:rsidTr="00A62554">
        <w:trPr>
          <w:gridAfter w:val="1"/>
          <w:cnfStyle w:val="000000100000" w:firstRow="0" w:lastRow="0" w:firstColumn="0" w:lastColumn="0" w:oddVBand="0" w:evenVBand="0" w:oddHBand="1" w:evenHBand="0" w:firstRowFirstColumn="0" w:firstRowLastColumn="0" w:lastRowFirstColumn="0" w:lastRowLastColumn="0"/>
          <w:wAfter w:w="1559" w:type="dxa"/>
        </w:trPr>
        <w:tc>
          <w:tcPr>
            <w:cnfStyle w:val="001000000000" w:firstRow="0" w:lastRow="0" w:firstColumn="1" w:lastColumn="0" w:oddVBand="0" w:evenVBand="0" w:oddHBand="0" w:evenHBand="0" w:firstRowFirstColumn="0" w:firstRowLastColumn="0" w:lastRowFirstColumn="0" w:lastRowLastColumn="0"/>
            <w:tcW w:w="2830" w:type="dxa"/>
          </w:tcPr>
          <w:p w14:paraId="44E9EA60"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(mi)internalising</w:t>
            </w:r>
          </w:p>
        </w:tc>
        <w:tc>
          <w:tcPr>
            <w:tcW w:w="1418" w:type="dxa"/>
          </w:tcPr>
          <w:p w14:paraId="5CD14934"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1.00</w:t>
            </w:r>
          </w:p>
        </w:tc>
        <w:tc>
          <w:tcPr>
            <w:tcW w:w="1843" w:type="dxa"/>
          </w:tcPr>
          <w:p w14:paraId="63F2320B"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59" w:type="dxa"/>
          </w:tcPr>
          <w:p w14:paraId="5D76CE40"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59" w:type="dxa"/>
          </w:tcPr>
          <w:p w14:paraId="31D34990"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59" w:type="dxa"/>
          </w:tcPr>
          <w:p w14:paraId="11B9EAC3"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60" w:type="dxa"/>
          </w:tcPr>
          <w:p w14:paraId="246FFF54"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9A3E4F" w:rsidRPr="00C16AB4" w14:paraId="3D671A25" w14:textId="77777777" w:rsidTr="00A62554">
        <w:trPr>
          <w:gridAfter w:val="1"/>
          <w:wAfter w:w="1559" w:type="dxa"/>
        </w:trPr>
        <w:tc>
          <w:tcPr>
            <w:cnfStyle w:val="001000000000" w:firstRow="0" w:lastRow="0" w:firstColumn="1" w:lastColumn="0" w:oddVBand="0" w:evenVBand="0" w:oddHBand="0" w:evenHBand="0" w:firstRowFirstColumn="0" w:firstRowLastColumn="0" w:lastRowFirstColumn="0" w:lastRowLastColumn="0"/>
            <w:tcW w:w="2830" w:type="dxa"/>
          </w:tcPr>
          <w:p w14:paraId="40875CA7"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(mi)externalising</w:t>
            </w:r>
          </w:p>
        </w:tc>
        <w:tc>
          <w:tcPr>
            <w:tcW w:w="1418" w:type="dxa"/>
          </w:tcPr>
          <w:p w14:paraId="23FA4936"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0.96</w:t>
            </w:r>
          </w:p>
        </w:tc>
        <w:tc>
          <w:tcPr>
            <w:tcW w:w="1843" w:type="dxa"/>
          </w:tcPr>
          <w:p w14:paraId="53D76E96"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1.00</w:t>
            </w:r>
          </w:p>
        </w:tc>
        <w:tc>
          <w:tcPr>
            <w:tcW w:w="1559" w:type="dxa"/>
          </w:tcPr>
          <w:p w14:paraId="0ABA65C2"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59" w:type="dxa"/>
          </w:tcPr>
          <w:p w14:paraId="2BDE8138"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59" w:type="dxa"/>
          </w:tcPr>
          <w:p w14:paraId="12100E99"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60" w:type="dxa"/>
          </w:tcPr>
          <w:p w14:paraId="0D0CC17A"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A3E4F" w:rsidRPr="00C16AB4" w14:paraId="1241A516" w14:textId="77777777" w:rsidTr="00A62554">
        <w:trPr>
          <w:gridAfter w:val="1"/>
          <w:cnfStyle w:val="000000100000" w:firstRow="0" w:lastRow="0" w:firstColumn="0" w:lastColumn="0" w:oddVBand="0" w:evenVBand="0" w:oddHBand="1" w:evenHBand="0" w:firstRowFirstColumn="0" w:firstRowLastColumn="0" w:lastRowFirstColumn="0" w:lastRowLastColumn="0"/>
          <w:wAfter w:w="1559" w:type="dxa"/>
        </w:trPr>
        <w:tc>
          <w:tcPr>
            <w:cnfStyle w:val="001000000000" w:firstRow="0" w:lastRow="0" w:firstColumn="1" w:lastColumn="0" w:oddVBand="0" w:evenVBand="0" w:oddHBand="0" w:evenHBand="0" w:firstRowFirstColumn="0" w:firstRowLastColumn="0" w:lastRowFirstColumn="0" w:lastRowLastColumn="0"/>
            <w:tcW w:w="2830" w:type="dxa"/>
          </w:tcPr>
          <w:p w14:paraId="3762D974"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ASD</w:t>
            </w:r>
          </w:p>
        </w:tc>
        <w:tc>
          <w:tcPr>
            <w:tcW w:w="1418" w:type="dxa"/>
          </w:tcPr>
          <w:p w14:paraId="663D1313"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0.02</w:t>
            </w:r>
          </w:p>
        </w:tc>
        <w:tc>
          <w:tcPr>
            <w:tcW w:w="1843" w:type="dxa"/>
          </w:tcPr>
          <w:p w14:paraId="5011BB3C"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0.02</w:t>
            </w:r>
          </w:p>
        </w:tc>
        <w:tc>
          <w:tcPr>
            <w:tcW w:w="1559" w:type="dxa"/>
          </w:tcPr>
          <w:p w14:paraId="5348C5E3"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1.00</w:t>
            </w:r>
          </w:p>
        </w:tc>
        <w:tc>
          <w:tcPr>
            <w:tcW w:w="1559" w:type="dxa"/>
          </w:tcPr>
          <w:p w14:paraId="29DC6E2E"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59" w:type="dxa"/>
          </w:tcPr>
          <w:p w14:paraId="087BB6F4"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60" w:type="dxa"/>
          </w:tcPr>
          <w:p w14:paraId="0D2652C2"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9A3E4F" w:rsidRPr="00C16AB4" w14:paraId="714B92C5" w14:textId="77777777" w:rsidTr="00A62554">
        <w:trPr>
          <w:gridAfter w:val="1"/>
          <w:wAfter w:w="1559" w:type="dxa"/>
        </w:trPr>
        <w:tc>
          <w:tcPr>
            <w:cnfStyle w:val="001000000000" w:firstRow="0" w:lastRow="0" w:firstColumn="1" w:lastColumn="0" w:oddVBand="0" w:evenVBand="0" w:oddHBand="0" w:evenHBand="0" w:firstRowFirstColumn="0" w:firstRowLastColumn="0" w:lastRowFirstColumn="0" w:lastRowLastColumn="0"/>
            <w:tcW w:w="2830" w:type="dxa"/>
          </w:tcPr>
          <w:p w14:paraId="7B66F0D7"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Physical health</w:t>
            </w:r>
          </w:p>
        </w:tc>
        <w:tc>
          <w:tcPr>
            <w:tcW w:w="1418" w:type="dxa"/>
          </w:tcPr>
          <w:p w14:paraId="37325C9F"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0.03</w:t>
            </w:r>
          </w:p>
        </w:tc>
        <w:tc>
          <w:tcPr>
            <w:tcW w:w="1843" w:type="dxa"/>
          </w:tcPr>
          <w:p w14:paraId="2218049F"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0.03</w:t>
            </w:r>
          </w:p>
        </w:tc>
        <w:tc>
          <w:tcPr>
            <w:tcW w:w="1559" w:type="dxa"/>
          </w:tcPr>
          <w:p w14:paraId="0E761ED5"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0.07</w:t>
            </w:r>
          </w:p>
        </w:tc>
        <w:tc>
          <w:tcPr>
            <w:tcW w:w="1559" w:type="dxa"/>
          </w:tcPr>
          <w:p w14:paraId="64898766"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1.00</w:t>
            </w:r>
          </w:p>
        </w:tc>
        <w:tc>
          <w:tcPr>
            <w:tcW w:w="1559" w:type="dxa"/>
          </w:tcPr>
          <w:p w14:paraId="0B1C52D6"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60" w:type="dxa"/>
          </w:tcPr>
          <w:p w14:paraId="58A29C1B"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A3E4F" w:rsidRPr="00C16AB4" w14:paraId="65B8BF38" w14:textId="77777777" w:rsidTr="00A62554">
        <w:trPr>
          <w:gridAfter w:val="1"/>
          <w:cnfStyle w:val="000000100000" w:firstRow="0" w:lastRow="0" w:firstColumn="0" w:lastColumn="0" w:oddVBand="0" w:evenVBand="0" w:oddHBand="1" w:evenHBand="0" w:firstRowFirstColumn="0" w:firstRowLastColumn="0" w:lastRowFirstColumn="0" w:lastRowLastColumn="0"/>
          <w:wAfter w:w="1559" w:type="dxa"/>
        </w:trPr>
        <w:tc>
          <w:tcPr>
            <w:cnfStyle w:val="001000000000" w:firstRow="0" w:lastRow="0" w:firstColumn="1" w:lastColumn="0" w:oddVBand="0" w:evenVBand="0" w:oddHBand="0" w:evenHBand="0" w:firstRowFirstColumn="0" w:firstRowLastColumn="0" w:lastRowFirstColumn="0" w:lastRowLastColumn="0"/>
            <w:tcW w:w="2830" w:type="dxa"/>
          </w:tcPr>
          <w:p w14:paraId="7B4A7D09"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Parent household</w:t>
            </w:r>
          </w:p>
        </w:tc>
        <w:tc>
          <w:tcPr>
            <w:tcW w:w="1418" w:type="dxa"/>
          </w:tcPr>
          <w:p w14:paraId="73ABAAA4"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-0.12</w:t>
            </w:r>
          </w:p>
        </w:tc>
        <w:tc>
          <w:tcPr>
            <w:tcW w:w="1843" w:type="dxa"/>
          </w:tcPr>
          <w:p w14:paraId="1BBE56D5"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-0.12</w:t>
            </w:r>
          </w:p>
        </w:tc>
        <w:tc>
          <w:tcPr>
            <w:tcW w:w="1559" w:type="dxa"/>
          </w:tcPr>
          <w:p w14:paraId="7015E997"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-0.03</w:t>
            </w:r>
          </w:p>
        </w:tc>
        <w:tc>
          <w:tcPr>
            <w:tcW w:w="1559" w:type="dxa"/>
          </w:tcPr>
          <w:p w14:paraId="13AF3940"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-0.06</w:t>
            </w:r>
          </w:p>
        </w:tc>
        <w:tc>
          <w:tcPr>
            <w:tcW w:w="1559" w:type="dxa"/>
          </w:tcPr>
          <w:p w14:paraId="4433F53C"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1.00</w:t>
            </w:r>
          </w:p>
        </w:tc>
        <w:tc>
          <w:tcPr>
            <w:tcW w:w="1560" w:type="dxa"/>
          </w:tcPr>
          <w:p w14:paraId="1853E65A" w14:textId="77777777" w:rsidR="009A3E4F" w:rsidRPr="00C16AB4" w:rsidRDefault="009A3E4F" w:rsidP="00A62554">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9A3E4F" w:rsidRPr="00C16AB4" w14:paraId="5676522C" w14:textId="77777777" w:rsidTr="00A62554">
        <w:trPr>
          <w:gridAfter w:val="1"/>
          <w:wAfter w:w="1559" w:type="dxa"/>
        </w:trPr>
        <w:tc>
          <w:tcPr>
            <w:cnfStyle w:val="001000000000" w:firstRow="0" w:lastRow="0" w:firstColumn="1" w:lastColumn="0" w:oddVBand="0" w:evenVBand="0" w:oddHBand="0" w:evenHBand="0" w:firstRowFirstColumn="0" w:firstRowLastColumn="0" w:lastRowFirstColumn="0" w:lastRowLastColumn="0"/>
            <w:tcW w:w="2830" w:type="dxa"/>
          </w:tcPr>
          <w:p w14:paraId="7B8CADD8" w14:textId="77777777" w:rsidR="009A3E4F" w:rsidRPr="00C16AB4" w:rsidRDefault="009A3E4F" w:rsidP="00A62554">
            <w:pPr>
              <w:spacing w:line="480" w:lineRule="auto"/>
              <w:rPr>
                <w:rFonts w:ascii="Times New Roman" w:hAnsi="Times New Roman" w:cs="Times New Roman"/>
              </w:rPr>
            </w:pPr>
            <w:r w:rsidRPr="00C16AB4">
              <w:rPr>
                <w:rFonts w:ascii="Times New Roman" w:hAnsi="Times New Roman" w:cs="Times New Roman"/>
              </w:rPr>
              <w:t>sex</w:t>
            </w:r>
          </w:p>
        </w:tc>
        <w:tc>
          <w:tcPr>
            <w:tcW w:w="1418" w:type="dxa"/>
          </w:tcPr>
          <w:p w14:paraId="5EF623E3"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-0.05</w:t>
            </w:r>
          </w:p>
        </w:tc>
        <w:tc>
          <w:tcPr>
            <w:tcW w:w="1843" w:type="dxa"/>
          </w:tcPr>
          <w:p w14:paraId="23CBB560"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-0.05</w:t>
            </w:r>
          </w:p>
        </w:tc>
        <w:tc>
          <w:tcPr>
            <w:tcW w:w="1559" w:type="dxa"/>
          </w:tcPr>
          <w:p w14:paraId="58F9EBA8"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-0.07</w:t>
            </w:r>
          </w:p>
        </w:tc>
        <w:tc>
          <w:tcPr>
            <w:tcW w:w="1559" w:type="dxa"/>
          </w:tcPr>
          <w:p w14:paraId="06D26653"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-0.02</w:t>
            </w:r>
          </w:p>
        </w:tc>
        <w:tc>
          <w:tcPr>
            <w:tcW w:w="1559" w:type="dxa"/>
          </w:tcPr>
          <w:p w14:paraId="50AC2CE8"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0.004</w:t>
            </w:r>
          </w:p>
        </w:tc>
        <w:tc>
          <w:tcPr>
            <w:tcW w:w="1560" w:type="dxa"/>
          </w:tcPr>
          <w:p w14:paraId="7843A74E" w14:textId="77777777" w:rsidR="009A3E4F" w:rsidRPr="00C16AB4" w:rsidRDefault="009A3E4F" w:rsidP="00A62554">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6AB4">
              <w:rPr>
                <w:rFonts w:ascii="Times New Roman" w:hAnsi="Times New Roman" w:cs="Times New Roman"/>
              </w:rPr>
              <w:t>1.00</w:t>
            </w:r>
          </w:p>
        </w:tc>
      </w:tr>
    </w:tbl>
    <w:p w14:paraId="143B3EF9" w14:textId="7B7B131F" w:rsidR="009A3E4F" w:rsidRPr="00C16AB4" w:rsidRDefault="009A3E4F" w:rsidP="00A12F12">
      <w:pPr>
        <w:spacing w:line="480" w:lineRule="auto"/>
        <w:rPr>
          <w:rFonts w:ascii="Times New Roman" w:hAnsi="Times New Roman" w:cs="Times New Roman"/>
        </w:rPr>
      </w:pPr>
      <w:r w:rsidRPr="00C16AB4">
        <w:rPr>
          <w:rFonts w:ascii="Times New Roman" w:hAnsi="Times New Roman" w:cs="Times New Roman"/>
          <w:i/>
          <w:iCs/>
        </w:rPr>
        <w:t>Note.</w:t>
      </w:r>
      <w:r w:rsidRPr="00C16AB4">
        <w:rPr>
          <w:rFonts w:ascii="Times New Roman" w:hAnsi="Times New Roman" w:cs="Times New Roman"/>
        </w:rPr>
        <w:t xml:space="preserve"> (mi) = missingness indicator; ASC = Autism Spectrum Conditions; prior externalising = externalising difficulties before exclusion; deprivation = socioeconomic deprivation; parent engagement = parental engagement with school; physical health = child’s physical health.</w:t>
      </w:r>
    </w:p>
    <w:p w14:paraId="3C056075" w14:textId="77777777" w:rsidR="009A3E4F" w:rsidRPr="00C16AB4" w:rsidRDefault="009A3E4F" w:rsidP="009A3E4F">
      <w:pPr>
        <w:spacing w:line="480" w:lineRule="auto"/>
        <w:rPr>
          <w:rFonts w:ascii="Times New Roman" w:hAnsi="Times New Roman" w:cs="Times New Roman"/>
        </w:rPr>
      </w:pPr>
    </w:p>
    <w:p w14:paraId="303DD657" w14:textId="77777777" w:rsidR="009A3E4F" w:rsidRPr="00C16AB4" w:rsidRDefault="009A3E4F" w:rsidP="009A3E4F">
      <w:pPr>
        <w:spacing w:line="480" w:lineRule="auto"/>
        <w:rPr>
          <w:rFonts w:ascii="Times New Roman" w:hAnsi="Times New Roman" w:cs="Times New Roman"/>
        </w:rPr>
      </w:pPr>
    </w:p>
    <w:p w14:paraId="42F480C1" w14:textId="77777777" w:rsidR="00E934D9" w:rsidRPr="00C16AB4" w:rsidRDefault="00E934D9" w:rsidP="009934F6">
      <w:pPr>
        <w:pStyle w:val="NormalWeb"/>
        <w:spacing w:line="480" w:lineRule="auto"/>
        <w:ind w:firstLine="0"/>
        <w:rPr>
          <w:b/>
          <w:bCs/>
        </w:rPr>
      </w:pPr>
    </w:p>
    <w:p w14:paraId="05DC3A74" w14:textId="77777777" w:rsidR="008363E0" w:rsidRPr="00C16AB4" w:rsidRDefault="008363E0" w:rsidP="009934F6">
      <w:pPr>
        <w:pStyle w:val="NormalWeb"/>
        <w:spacing w:line="480" w:lineRule="auto"/>
        <w:ind w:firstLine="0"/>
        <w:rPr>
          <w:b/>
          <w:bCs/>
        </w:rPr>
        <w:sectPr w:rsidR="008363E0" w:rsidRPr="00C16AB4" w:rsidSect="00D41840">
          <w:pgSz w:w="16838" w:h="11906" w:orient="landscape"/>
          <w:pgMar w:top="1440" w:right="1440" w:bottom="1440" w:left="1440" w:header="708" w:footer="708" w:gutter="0"/>
          <w:cols w:space="708"/>
          <w:docGrid w:linePitch="360"/>
        </w:sectPr>
      </w:pPr>
    </w:p>
    <w:p w14:paraId="5078527E" w14:textId="77777777" w:rsidR="00E934D9" w:rsidRPr="00C16AB4" w:rsidRDefault="00E934D9" w:rsidP="009934F6">
      <w:pPr>
        <w:pStyle w:val="NormalWeb"/>
        <w:spacing w:line="480" w:lineRule="auto"/>
        <w:ind w:firstLine="0"/>
        <w:rPr>
          <w:b/>
          <w:bCs/>
        </w:rPr>
      </w:pPr>
    </w:p>
    <w:p w14:paraId="11AF96F7" w14:textId="5E8FDF59" w:rsidR="009934F6" w:rsidRPr="00C16AB4" w:rsidRDefault="009934F6" w:rsidP="009934F6">
      <w:pPr>
        <w:pStyle w:val="NormalWeb"/>
        <w:spacing w:line="480" w:lineRule="auto"/>
        <w:ind w:firstLine="0"/>
        <w:rPr>
          <w:b/>
          <w:bCs/>
        </w:rPr>
      </w:pPr>
      <w:r w:rsidRPr="00C16AB4">
        <w:rPr>
          <w:b/>
          <w:bCs/>
        </w:rPr>
        <w:t xml:space="preserve">Online Resource 6. Handling of Data </w:t>
      </w:r>
    </w:p>
    <w:p w14:paraId="183F44B8" w14:textId="68F059A7" w:rsidR="009934F6" w:rsidRPr="00C16AB4" w:rsidRDefault="009934F6" w:rsidP="009934F6">
      <w:pPr>
        <w:pStyle w:val="NormalWeb"/>
        <w:spacing w:line="480" w:lineRule="auto"/>
        <w:ind w:firstLine="0"/>
      </w:pPr>
      <w:r w:rsidRPr="00C16AB4">
        <w:t xml:space="preserve">Missing data were handled using multiple imputation by chained equations, implemented within the g-computation procedure, with the imputation model iterated for 100 cycles to </w:t>
      </w:r>
      <w:r w:rsidR="009540C7" w:rsidRPr="00C16AB4">
        <w:t>promote</w:t>
      </w:r>
      <w:r w:rsidRPr="00C16AB4">
        <w:t xml:space="preserve"> convergence. Uncertainty was estimated using 500 non-parametric bootstrap replications, with imputation and estimation repeated within each bootstrap sample and 95% confidence intervals and p-values derived from the resulting bootstrap distribution. Statistical significance was defined at p &lt; 0.05 and all models adjusted for confounders identified in the DAG. </w:t>
      </w:r>
    </w:p>
    <w:p w14:paraId="7A5E1FA1" w14:textId="77777777" w:rsidR="009A3E4F" w:rsidRPr="00C16AB4" w:rsidRDefault="009A3E4F" w:rsidP="009A3E4F">
      <w:pPr>
        <w:spacing w:line="480" w:lineRule="auto"/>
        <w:rPr>
          <w:rFonts w:ascii="Times New Roman" w:hAnsi="Times New Roman" w:cs="Times New Roman"/>
        </w:rPr>
      </w:pPr>
    </w:p>
    <w:p w14:paraId="2B6CB7A4" w14:textId="77777777" w:rsidR="009A3E4F" w:rsidRPr="00C16AB4" w:rsidRDefault="009A3E4F" w:rsidP="009A3E4F">
      <w:pPr>
        <w:spacing w:line="480" w:lineRule="auto"/>
        <w:rPr>
          <w:rFonts w:ascii="Times New Roman" w:hAnsi="Times New Roman" w:cs="Times New Roman"/>
        </w:rPr>
      </w:pPr>
    </w:p>
    <w:p w14:paraId="00A8B924" w14:textId="77777777" w:rsidR="009A3E4F" w:rsidRPr="00C16AB4" w:rsidRDefault="009A3E4F" w:rsidP="009A3E4F">
      <w:pPr>
        <w:spacing w:line="480" w:lineRule="auto"/>
        <w:rPr>
          <w:rFonts w:ascii="Times New Roman" w:hAnsi="Times New Roman" w:cs="Times New Roman"/>
        </w:rPr>
      </w:pPr>
    </w:p>
    <w:p w14:paraId="7564C579" w14:textId="77777777" w:rsidR="00E934D9" w:rsidRPr="00C16AB4" w:rsidRDefault="00E934D9" w:rsidP="009A3E4F">
      <w:pPr>
        <w:spacing w:line="480" w:lineRule="auto"/>
        <w:rPr>
          <w:rFonts w:ascii="Times New Roman" w:eastAsia="Times New Roman" w:hAnsi="Times New Roman" w:cs="Times New Roman"/>
          <w:b/>
          <w:bCs/>
          <w:color w:val="000000"/>
          <w:kern w:val="0"/>
          <w:lang w:eastAsia="en-GB"/>
          <w14:ligatures w14:val="none"/>
        </w:rPr>
      </w:pPr>
    </w:p>
    <w:p w14:paraId="0C82F6EB" w14:textId="77777777" w:rsidR="00E934D9" w:rsidRPr="00C16AB4" w:rsidRDefault="00E934D9" w:rsidP="009A3E4F">
      <w:pPr>
        <w:spacing w:line="480" w:lineRule="auto"/>
        <w:rPr>
          <w:rFonts w:ascii="Times New Roman" w:eastAsia="Times New Roman" w:hAnsi="Times New Roman" w:cs="Times New Roman"/>
          <w:b/>
          <w:bCs/>
          <w:color w:val="000000"/>
          <w:kern w:val="0"/>
          <w:lang w:eastAsia="en-GB"/>
          <w14:ligatures w14:val="none"/>
        </w:rPr>
      </w:pPr>
    </w:p>
    <w:p w14:paraId="29B1AF0C" w14:textId="77777777" w:rsidR="00E934D9" w:rsidRPr="00C16AB4" w:rsidRDefault="00E934D9" w:rsidP="009A3E4F">
      <w:pPr>
        <w:spacing w:line="480" w:lineRule="auto"/>
        <w:rPr>
          <w:rFonts w:ascii="Times New Roman" w:eastAsia="Times New Roman" w:hAnsi="Times New Roman" w:cs="Times New Roman"/>
          <w:b/>
          <w:bCs/>
          <w:color w:val="000000"/>
          <w:kern w:val="0"/>
          <w:lang w:eastAsia="en-GB"/>
          <w14:ligatures w14:val="none"/>
        </w:rPr>
      </w:pPr>
    </w:p>
    <w:p w14:paraId="04715875" w14:textId="77777777" w:rsidR="00E934D9" w:rsidRPr="00C16AB4" w:rsidRDefault="00E934D9" w:rsidP="009A3E4F">
      <w:pPr>
        <w:spacing w:line="480" w:lineRule="auto"/>
        <w:rPr>
          <w:rFonts w:ascii="Times New Roman" w:eastAsia="Times New Roman" w:hAnsi="Times New Roman" w:cs="Times New Roman"/>
          <w:b/>
          <w:bCs/>
          <w:color w:val="000000"/>
          <w:kern w:val="0"/>
          <w:lang w:eastAsia="en-GB"/>
          <w14:ligatures w14:val="none"/>
        </w:rPr>
      </w:pPr>
    </w:p>
    <w:p w14:paraId="5A27D41B" w14:textId="77777777" w:rsidR="00E934D9" w:rsidRPr="00C16AB4" w:rsidRDefault="00E934D9" w:rsidP="009A3E4F">
      <w:pPr>
        <w:spacing w:line="480" w:lineRule="auto"/>
        <w:rPr>
          <w:rFonts w:ascii="Times New Roman" w:eastAsia="Times New Roman" w:hAnsi="Times New Roman" w:cs="Times New Roman"/>
          <w:b/>
          <w:bCs/>
          <w:color w:val="000000"/>
          <w:kern w:val="0"/>
          <w:lang w:eastAsia="en-GB"/>
          <w14:ligatures w14:val="none"/>
        </w:rPr>
      </w:pPr>
    </w:p>
    <w:p w14:paraId="7E37D665" w14:textId="77777777" w:rsidR="008363E0" w:rsidRPr="00C16AB4" w:rsidRDefault="008363E0" w:rsidP="009A3E4F">
      <w:pPr>
        <w:spacing w:line="480" w:lineRule="auto"/>
        <w:rPr>
          <w:rFonts w:ascii="Times New Roman" w:eastAsia="Times New Roman" w:hAnsi="Times New Roman" w:cs="Times New Roman"/>
          <w:b/>
          <w:bCs/>
          <w:color w:val="000000"/>
          <w:kern w:val="0"/>
          <w:lang w:eastAsia="en-GB"/>
          <w14:ligatures w14:val="none"/>
        </w:rPr>
      </w:pPr>
    </w:p>
    <w:p w14:paraId="447F46E1" w14:textId="77777777" w:rsidR="008363E0" w:rsidRPr="00C16AB4" w:rsidRDefault="008363E0" w:rsidP="009A3E4F">
      <w:pPr>
        <w:spacing w:line="480" w:lineRule="auto"/>
        <w:rPr>
          <w:rFonts w:ascii="Times New Roman" w:eastAsia="Times New Roman" w:hAnsi="Times New Roman" w:cs="Times New Roman"/>
          <w:b/>
          <w:bCs/>
          <w:color w:val="000000"/>
          <w:kern w:val="0"/>
          <w:lang w:eastAsia="en-GB"/>
          <w14:ligatures w14:val="none"/>
        </w:rPr>
      </w:pPr>
    </w:p>
    <w:p w14:paraId="31B64D0F" w14:textId="77777777" w:rsidR="008363E0" w:rsidRPr="00C16AB4" w:rsidRDefault="008363E0" w:rsidP="009A3E4F">
      <w:pPr>
        <w:spacing w:line="480" w:lineRule="auto"/>
        <w:rPr>
          <w:rFonts w:ascii="Times New Roman" w:eastAsia="Times New Roman" w:hAnsi="Times New Roman" w:cs="Times New Roman"/>
          <w:b/>
          <w:bCs/>
          <w:color w:val="000000"/>
          <w:kern w:val="0"/>
          <w:lang w:eastAsia="en-GB"/>
          <w14:ligatures w14:val="none"/>
        </w:rPr>
        <w:sectPr w:rsidR="008363E0" w:rsidRPr="00C16AB4" w:rsidSect="008363E0">
          <w:pgSz w:w="11906" w:h="16838"/>
          <w:pgMar w:top="1440" w:right="1440" w:bottom="1440" w:left="1440" w:header="708" w:footer="708" w:gutter="0"/>
          <w:cols w:space="708"/>
          <w:docGrid w:linePitch="360"/>
        </w:sectPr>
      </w:pPr>
    </w:p>
    <w:p w14:paraId="49A08ACA" w14:textId="3B998DBD" w:rsidR="009A3E4F" w:rsidRPr="00C16AB4" w:rsidRDefault="009A3E4F" w:rsidP="009A3E4F">
      <w:pPr>
        <w:spacing w:line="480" w:lineRule="auto"/>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b/>
          <w:bCs/>
          <w:color w:val="000000"/>
          <w:kern w:val="0"/>
          <w:lang w:eastAsia="en-GB"/>
          <w14:ligatures w14:val="none"/>
        </w:rPr>
        <w:t xml:space="preserve">Online Resource </w:t>
      </w:r>
      <w:r w:rsidR="009934F6" w:rsidRPr="00C16AB4">
        <w:rPr>
          <w:rFonts w:ascii="Times New Roman" w:eastAsia="Times New Roman" w:hAnsi="Times New Roman" w:cs="Times New Roman"/>
          <w:b/>
          <w:bCs/>
          <w:color w:val="000000"/>
          <w:kern w:val="0"/>
          <w:lang w:eastAsia="en-GB"/>
          <w14:ligatures w14:val="none"/>
        </w:rPr>
        <w:t>7</w:t>
      </w:r>
      <w:r w:rsidRPr="00C16AB4">
        <w:rPr>
          <w:rFonts w:ascii="Times New Roman" w:eastAsia="Times New Roman" w:hAnsi="Times New Roman" w:cs="Times New Roman"/>
          <w:color w:val="000000"/>
          <w:kern w:val="0"/>
          <w:lang w:eastAsia="en-GB"/>
          <w14:ligatures w14:val="none"/>
        </w:rPr>
        <w:t>. Mediating Impact of Temporary Suspensions on the Relationship Between ASC and Mental Health Outcomes</w:t>
      </w:r>
    </w:p>
    <w:tbl>
      <w:tblPr>
        <w:tblW w:w="0" w:type="auto"/>
        <w:tblCellMar>
          <w:top w:w="15" w:type="dxa"/>
          <w:left w:w="15" w:type="dxa"/>
          <w:bottom w:w="15" w:type="dxa"/>
          <w:right w:w="15" w:type="dxa"/>
        </w:tblCellMar>
        <w:tblLook w:val="04A0" w:firstRow="1" w:lastRow="0" w:firstColumn="1" w:lastColumn="0" w:noHBand="0" w:noVBand="1"/>
      </w:tblPr>
      <w:tblGrid>
        <w:gridCol w:w="1760"/>
        <w:gridCol w:w="1561"/>
        <w:gridCol w:w="974"/>
        <w:gridCol w:w="1208"/>
        <w:gridCol w:w="1214"/>
        <w:gridCol w:w="1120"/>
        <w:gridCol w:w="1208"/>
        <w:gridCol w:w="1214"/>
        <w:gridCol w:w="1307"/>
        <w:gridCol w:w="1220"/>
        <w:gridCol w:w="1172"/>
      </w:tblGrid>
      <w:tr w:rsidR="009A3E4F" w:rsidRPr="00C16AB4" w14:paraId="0ABFEF6A" w14:textId="77777777">
        <w:trPr>
          <w:trHeight w:val="975"/>
        </w:trPr>
        <w:tc>
          <w:tcPr>
            <w:tcW w:w="0" w:type="auto"/>
            <w:tcBorders>
              <w:top w:val="single" w:sz="6" w:space="0" w:color="7F7F7F"/>
              <w:bottom w:val="single" w:sz="6" w:space="0" w:color="7F7F7F"/>
            </w:tcBorders>
            <w:tcMar>
              <w:top w:w="0" w:type="dxa"/>
              <w:left w:w="100" w:type="dxa"/>
              <w:bottom w:w="0" w:type="dxa"/>
              <w:right w:w="100" w:type="dxa"/>
            </w:tcMar>
            <w:hideMark/>
          </w:tcPr>
          <w:p w14:paraId="2EF9359C"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b/>
                <w:bCs/>
                <w:color w:val="000000"/>
                <w:kern w:val="0"/>
                <w:lang w:eastAsia="en-GB"/>
                <w14:ligatures w14:val="none"/>
              </w:rPr>
              <w:t>Outcome</w:t>
            </w:r>
          </w:p>
        </w:tc>
        <w:tc>
          <w:tcPr>
            <w:tcW w:w="0" w:type="auto"/>
            <w:tcBorders>
              <w:top w:val="single" w:sz="6" w:space="0" w:color="7F7F7F"/>
              <w:bottom w:val="single" w:sz="6" w:space="0" w:color="7F7F7F"/>
            </w:tcBorders>
            <w:tcMar>
              <w:top w:w="0" w:type="dxa"/>
              <w:left w:w="100" w:type="dxa"/>
              <w:bottom w:w="0" w:type="dxa"/>
              <w:right w:w="100" w:type="dxa"/>
            </w:tcMar>
            <w:hideMark/>
          </w:tcPr>
          <w:p w14:paraId="298A6D6D"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b/>
                <w:bCs/>
                <w:color w:val="000000"/>
                <w:kern w:val="0"/>
                <w:lang w:eastAsia="en-GB"/>
                <w14:ligatures w14:val="none"/>
              </w:rPr>
              <w:t>Sample Size</w:t>
            </w:r>
          </w:p>
        </w:tc>
        <w:tc>
          <w:tcPr>
            <w:tcW w:w="0" w:type="auto"/>
            <w:tcBorders>
              <w:top w:val="single" w:sz="6" w:space="0" w:color="7F7F7F"/>
              <w:bottom w:val="single" w:sz="6" w:space="0" w:color="7F7F7F"/>
            </w:tcBorders>
            <w:tcMar>
              <w:top w:w="0" w:type="dxa"/>
              <w:left w:w="100" w:type="dxa"/>
              <w:bottom w:w="0" w:type="dxa"/>
              <w:right w:w="100" w:type="dxa"/>
            </w:tcMar>
            <w:hideMark/>
          </w:tcPr>
          <w:p w14:paraId="3E94BA93"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b/>
                <w:bCs/>
                <w:color w:val="000000"/>
                <w:kern w:val="0"/>
                <w:lang w:eastAsia="en-GB"/>
                <w14:ligatures w14:val="none"/>
              </w:rPr>
              <w:t>TCE</w:t>
            </w:r>
          </w:p>
        </w:tc>
        <w:tc>
          <w:tcPr>
            <w:tcW w:w="0" w:type="auto"/>
            <w:tcBorders>
              <w:top w:val="single" w:sz="6" w:space="0" w:color="7F7F7F"/>
              <w:bottom w:val="single" w:sz="6" w:space="0" w:color="7F7F7F"/>
            </w:tcBorders>
            <w:tcMar>
              <w:top w:w="0" w:type="dxa"/>
              <w:left w:w="100" w:type="dxa"/>
              <w:bottom w:w="0" w:type="dxa"/>
              <w:right w:w="100" w:type="dxa"/>
            </w:tcMar>
            <w:hideMark/>
          </w:tcPr>
          <w:p w14:paraId="6AC67A48"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b/>
                <w:bCs/>
                <w:color w:val="000000"/>
                <w:kern w:val="0"/>
                <w:lang w:eastAsia="en-GB"/>
                <w14:ligatures w14:val="none"/>
              </w:rPr>
              <w:t>95% CI</w:t>
            </w:r>
          </w:p>
        </w:tc>
        <w:tc>
          <w:tcPr>
            <w:tcW w:w="0" w:type="auto"/>
            <w:tcBorders>
              <w:top w:val="single" w:sz="6" w:space="0" w:color="7F7F7F"/>
              <w:bottom w:val="single" w:sz="6" w:space="0" w:color="7F7F7F"/>
            </w:tcBorders>
            <w:tcMar>
              <w:top w:w="0" w:type="dxa"/>
              <w:left w:w="100" w:type="dxa"/>
              <w:bottom w:w="0" w:type="dxa"/>
              <w:right w:w="100" w:type="dxa"/>
            </w:tcMar>
            <w:hideMark/>
          </w:tcPr>
          <w:p w14:paraId="5B4E170A"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b/>
                <w:bCs/>
                <w:color w:val="000000"/>
                <w:kern w:val="0"/>
                <w:lang w:eastAsia="en-GB"/>
                <w14:ligatures w14:val="none"/>
              </w:rPr>
              <w:t>p-value</w:t>
            </w:r>
          </w:p>
        </w:tc>
        <w:tc>
          <w:tcPr>
            <w:tcW w:w="0" w:type="auto"/>
            <w:tcBorders>
              <w:top w:val="single" w:sz="6" w:space="0" w:color="7F7F7F"/>
              <w:bottom w:val="single" w:sz="6" w:space="0" w:color="7F7F7F"/>
            </w:tcBorders>
            <w:tcMar>
              <w:top w:w="0" w:type="dxa"/>
              <w:left w:w="100" w:type="dxa"/>
              <w:bottom w:w="0" w:type="dxa"/>
              <w:right w:w="100" w:type="dxa"/>
            </w:tcMar>
            <w:hideMark/>
          </w:tcPr>
          <w:p w14:paraId="5DD6B046"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b/>
                <w:bCs/>
                <w:color w:val="000000"/>
                <w:kern w:val="0"/>
                <w:lang w:eastAsia="en-GB"/>
                <w14:ligatures w14:val="none"/>
              </w:rPr>
              <w:t>Direct</w:t>
            </w:r>
          </w:p>
        </w:tc>
        <w:tc>
          <w:tcPr>
            <w:tcW w:w="0" w:type="auto"/>
            <w:tcBorders>
              <w:top w:val="single" w:sz="6" w:space="0" w:color="7F7F7F"/>
              <w:bottom w:val="single" w:sz="6" w:space="0" w:color="7F7F7F"/>
            </w:tcBorders>
            <w:tcMar>
              <w:top w:w="0" w:type="dxa"/>
              <w:left w:w="100" w:type="dxa"/>
              <w:bottom w:w="0" w:type="dxa"/>
              <w:right w:w="100" w:type="dxa"/>
            </w:tcMar>
            <w:hideMark/>
          </w:tcPr>
          <w:p w14:paraId="10355EE0"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b/>
                <w:bCs/>
                <w:color w:val="000000"/>
                <w:kern w:val="0"/>
                <w:lang w:eastAsia="en-GB"/>
                <w14:ligatures w14:val="none"/>
              </w:rPr>
              <w:t>95% CI</w:t>
            </w:r>
          </w:p>
        </w:tc>
        <w:tc>
          <w:tcPr>
            <w:tcW w:w="0" w:type="auto"/>
            <w:tcBorders>
              <w:top w:val="single" w:sz="6" w:space="0" w:color="7F7F7F"/>
              <w:bottom w:val="single" w:sz="6" w:space="0" w:color="7F7F7F"/>
            </w:tcBorders>
            <w:tcMar>
              <w:top w:w="0" w:type="dxa"/>
              <w:left w:w="100" w:type="dxa"/>
              <w:bottom w:w="0" w:type="dxa"/>
              <w:right w:w="100" w:type="dxa"/>
            </w:tcMar>
            <w:hideMark/>
          </w:tcPr>
          <w:p w14:paraId="6A856B00"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b/>
                <w:bCs/>
                <w:color w:val="000000"/>
                <w:kern w:val="0"/>
                <w:lang w:eastAsia="en-GB"/>
                <w14:ligatures w14:val="none"/>
              </w:rPr>
              <w:t>p-value</w:t>
            </w:r>
          </w:p>
        </w:tc>
        <w:tc>
          <w:tcPr>
            <w:tcW w:w="0" w:type="auto"/>
            <w:tcBorders>
              <w:top w:val="single" w:sz="6" w:space="0" w:color="7F7F7F"/>
              <w:bottom w:val="single" w:sz="6" w:space="0" w:color="7F7F7F"/>
            </w:tcBorders>
            <w:tcMar>
              <w:top w:w="0" w:type="dxa"/>
              <w:left w:w="100" w:type="dxa"/>
              <w:bottom w:w="0" w:type="dxa"/>
              <w:right w:w="100" w:type="dxa"/>
            </w:tcMar>
            <w:hideMark/>
          </w:tcPr>
          <w:p w14:paraId="1B66BE9C"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b/>
                <w:bCs/>
                <w:color w:val="000000"/>
                <w:kern w:val="0"/>
                <w:lang w:eastAsia="en-GB"/>
                <w14:ligatures w14:val="none"/>
              </w:rPr>
              <w:t>Indirect</w:t>
            </w:r>
          </w:p>
        </w:tc>
        <w:tc>
          <w:tcPr>
            <w:tcW w:w="0" w:type="auto"/>
            <w:tcBorders>
              <w:top w:val="single" w:sz="6" w:space="0" w:color="7F7F7F"/>
              <w:bottom w:val="single" w:sz="6" w:space="0" w:color="7F7F7F"/>
            </w:tcBorders>
            <w:tcMar>
              <w:top w:w="0" w:type="dxa"/>
              <w:left w:w="100" w:type="dxa"/>
              <w:bottom w:w="0" w:type="dxa"/>
              <w:right w:w="100" w:type="dxa"/>
            </w:tcMar>
            <w:hideMark/>
          </w:tcPr>
          <w:p w14:paraId="4FAB37D2"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b/>
                <w:bCs/>
                <w:color w:val="000000"/>
                <w:kern w:val="0"/>
                <w:lang w:eastAsia="en-GB"/>
                <w14:ligatures w14:val="none"/>
              </w:rPr>
              <w:t>95% CI</w:t>
            </w:r>
          </w:p>
        </w:tc>
        <w:tc>
          <w:tcPr>
            <w:tcW w:w="0" w:type="auto"/>
            <w:tcBorders>
              <w:top w:val="single" w:sz="6" w:space="0" w:color="7F7F7F"/>
              <w:bottom w:val="single" w:sz="6" w:space="0" w:color="7F7F7F"/>
            </w:tcBorders>
            <w:tcMar>
              <w:top w:w="0" w:type="dxa"/>
              <w:left w:w="100" w:type="dxa"/>
              <w:bottom w:w="0" w:type="dxa"/>
              <w:right w:w="100" w:type="dxa"/>
            </w:tcMar>
            <w:hideMark/>
          </w:tcPr>
          <w:p w14:paraId="76894243"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b/>
                <w:bCs/>
                <w:color w:val="000000"/>
                <w:kern w:val="0"/>
                <w:lang w:eastAsia="en-GB"/>
                <w14:ligatures w14:val="none"/>
              </w:rPr>
              <w:t>p-value</w:t>
            </w:r>
          </w:p>
        </w:tc>
      </w:tr>
      <w:tr w:rsidR="009A3E4F" w:rsidRPr="00C16AB4" w14:paraId="57703FF8" w14:textId="77777777">
        <w:trPr>
          <w:trHeight w:val="975"/>
        </w:trPr>
        <w:tc>
          <w:tcPr>
            <w:tcW w:w="0" w:type="auto"/>
            <w:tcBorders>
              <w:top w:val="single" w:sz="6" w:space="0" w:color="7F7F7F"/>
              <w:bottom w:val="single" w:sz="6" w:space="0" w:color="7F7F7F"/>
            </w:tcBorders>
            <w:tcMar>
              <w:top w:w="0" w:type="dxa"/>
              <w:left w:w="100" w:type="dxa"/>
              <w:bottom w:w="0" w:type="dxa"/>
              <w:right w:w="100" w:type="dxa"/>
            </w:tcMar>
            <w:hideMark/>
          </w:tcPr>
          <w:p w14:paraId="00507EB8"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Externalising</w:t>
            </w:r>
          </w:p>
        </w:tc>
        <w:tc>
          <w:tcPr>
            <w:tcW w:w="0" w:type="auto"/>
            <w:tcBorders>
              <w:top w:val="single" w:sz="6" w:space="0" w:color="7F7F7F"/>
              <w:bottom w:val="single" w:sz="6" w:space="0" w:color="7F7F7F"/>
            </w:tcBorders>
            <w:tcMar>
              <w:top w:w="0" w:type="dxa"/>
              <w:left w:w="100" w:type="dxa"/>
              <w:bottom w:w="0" w:type="dxa"/>
              <w:right w:w="100" w:type="dxa"/>
            </w:tcMar>
            <w:hideMark/>
          </w:tcPr>
          <w:p w14:paraId="2B19F7B7"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10225</w:t>
            </w:r>
          </w:p>
        </w:tc>
        <w:tc>
          <w:tcPr>
            <w:tcW w:w="0" w:type="auto"/>
            <w:tcBorders>
              <w:top w:val="single" w:sz="6" w:space="0" w:color="7F7F7F"/>
              <w:bottom w:val="single" w:sz="6" w:space="0" w:color="7F7F7F"/>
            </w:tcBorders>
            <w:tcMar>
              <w:top w:w="0" w:type="dxa"/>
              <w:left w:w="100" w:type="dxa"/>
              <w:bottom w:w="0" w:type="dxa"/>
              <w:right w:w="100" w:type="dxa"/>
            </w:tcMar>
            <w:hideMark/>
          </w:tcPr>
          <w:p w14:paraId="1E40FB08"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0.61</w:t>
            </w:r>
          </w:p>
        </w:tc>
        <w:tc>
          <w:tcPr>
            <w:tcW w:w="0" w:type="auto"/>
            <w:tcBorders>
              <w:top w:val="single" w:sz="6" w:space="0" w:color="7F7F7F"/>
              <w:bottom w:val="single" w:sz="6" w:space="0" w:color="7F7F7F"/>
            </w:tcBorders>
            <w:tcMar>
              <w:top w:w="0" w:type="dxa"/>
              <w:left w:w="100" w:type="dxa"/>
              <w:bottom w:w="0" w:type="dxa"/>
              <w:right w:w="100" w:type="dxa"/>
            </w:tcMar>
            <w:hideMark/>
          </w:tcPr>
          <w:p w14:paraId="3DEB11B6"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(0.05,</w:t>
            </w:r>
          </w:p>
          <w:p w14:paraId="7E13489B"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 1.17)</w:t>
            </w:r>
          </w:p>
        </w:tc>
        <w:tc>
          <w:tcPr>
            <w:tcW w:w="0" w:type="auto"/>
            <w:tcBorders>
              <w:top w:val="single" w:sz="6" w:space="0" w:color="7F7F7F"/>
              <w:bottom w:val="single" w:sz="6" w:space="0" w:color="7F7F7F"/>
            </w:tcBorders>
            <w:tcMar>
              <w:top w:w="0" w:type="dxa"/>
              <w:left w:w="100" w:type="dxa"/>
              <w:bottom w:w="0" w:type="dxa"/>
              <w:right w:w="100" w:type="dxa"/>
            </w:tcMar>
            <w:hideMark/>
          </w:tcPr>
          <w:p w14:paraId="44D56C2D"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0.034</w:t>
            </w:r>
          </w:p>
        </w:tc>
        <w:tc>
          <w:tcPr>
            <w:tcW w:w="0" w:type="auto"/>
            <w:tcBorders>
              <w:top w:val="single" w:sz="6" w:space="0" w:color="7F7F7F"/>
              <w:bottom w:val="single" w:sz="6" w:space="0" w:color="7F7F7F"/>
            </w:tcBorders>
            <w:tcMar>
              <w:top w:w="0" w:type="dxa"/>
              <w:left w:w="100" w:type="dxa"/>
              <w:bottom w:w="0" w:type="dxa"/>
              <w:right w:w="100" w:type="dxa"/>
            </w:tcMar>
            <w:hideMark/>
          </w:tcPr>
          <w:p w14:paraId="4AA3DC94"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0.59</w:t>
            </w:r>
          </w:p>
        </w:tc>
        <w:tc>
          <w:tcPr>
            <w:tcW w:w="0" w:type="auto"/>
            <w:tcBorders>
              <w:top w:val="single" w:sz="6" w:space="0" w:color="7F7F7F"/>
              <w:bottom w:val="single" w:sz="6" w:space="0" w:color="7F7F7F"/>
            </w:tcBorders>
            <w:tcMar>
              <w:top w:w="0" w:type="dxa"/>
              <w:left w:w="100" w:type="dxa"/>
              <w:bottom w:w="0" w:type="dxa"/>
              <w:right w:w="100" w:type="dxa"/>
            </w:tcMar>
            <w:hideMark/>
          </w:tcPr>
          <w:p w14:paraId="0B51F8A1"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(0.30,</w:t>
            </w:r>
          </w:p>
          <w:p w14:paraId="62BBEA50"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 1.15)</w:t>
            </w:r>
          </w:p>
        </w:tc>
        <w:tc>
          <w:tcPr>
            <w:tcW w:w="0" w:type="auto"/>
            <w:tcBorders>
              <w:top w:val="single" w:sz="6" w:space="0" w:color="7F7F7F"/>
              <w:bottom w:val="single" w:sz="6" w:space="0" w:color="7F7F7F"/>
            </w:tcBorders>
            <w:tcMar>
              <w:top w:w="0" w:type="dxa"/>
              <w:left w:w="100" w:type="dxa"/>
              <w:bottom w:w="0" w:type="dxa"/>
              <w:right w:w="100" w:type="dxa"/>
            </w:tcMar>
            <w:hideMark/>
          </w:tcPr>
          <w:p w14:paraId="5E18F73F"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0.039</w:t>
            </w:r>
          </w:p>
        </w:tc>
        <w:tc>
          <w:tcPr>
            <w:tcW w:w="0" w:type="auto"/>
            <w:tcBorders>
              <w:top w:val="single" w:sz="6" w:space="0" w:color="7F7F7F"/>
              <w:bottom w:val="single" w:sz="6" w:space="0" w:color="7F7F7F"/>
            </w:tcBorders>
            <w:tcMar>
              <w:top w:w="0" w:type="dxa"/>
              <w:left w:w="100" w:type="dxa"/>
              <w:bottom w:w="0" w:type="dxa"/>
              <w:right w:w="100" w:type="dxa"/>
            </w:tcMar>
            <w:hideMark/>
          </w:tcPr>
          <w:p w14:paraId="7ED21336"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0.02</w:t>
            </w:r>
          </w:p>
        </w:tc>
        <w:tc>
          <w:tcPr>
            <w:tcW w:w="0" w:type="auto"/>
            <w:tcBorders>
              <w:top w:val="single" w:sz="6" w:space="0" w:color="7F7F7F"/>
              <w:bottom w:val="single" w:sz="6" w:space="0" w:color="7F7F7F"/>
            </w:tcBorders>
            <w:tcMar>
              <w:top w:w="0" w:type="dxa"/>
              <w:left w:w="100" w:type="dxa"/>
              <w:bottom w:w="0" w:type="dxa"/>
              <w:right w:w="100" w:type="dxa"/>
            </w:tcMar>
            <w:hideMark/>
          </w:tcPr>
          <w:p w14:paraId="5C37EAF6"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(-0.004,</w:t>
            </w:r>
          </w:p>
          <w:p w14:paraId="683DD23B"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 0.04)</w:t>
            </w:r>
          </w:p>
        </w:tc>
        <w:tc>
          <w:tcPr>
            <w:tcW w:w="0" w:type="auto"/>
            <w:tcBorders>
              <w:top w:val="single" w:sz="6" w:space="0" w:color="7F7F7F"/>
              <w:bottom w:val="single" w:sz="6" w:space="0" w:color="7F7F7F"/>
            </w:tcBorders>
            <w:tcMar>
              <w:top w:w="0" w:type="dxa"/>
              <w:left w:w="100" w:type="dxa"/>
              <w:bottom w:w="0" w:type="dxa"/>
              <w:right w:w="100" w:type="dxa"/>
            </w:tcMar>
            <w:hideMark/>
          </w:tcPr>
          <w:p w14:paraId="26B70CBC"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0.118</w:t>
            </w:r>
          </w:p>
        </w:tc>
      </w:tr>
      <w:tr w:rsidR="009A3E4F" w:rsidRPr="00C16AB4" w14:paraId="7DF68B13" w14:textId="77777777">
        <w:trPr>
          <w:trHeight w:val="975"/>
        </w:trPr>
        <w:tc>
          <w:tcPr>
            <w:tcW w:w="0" w:type="auto"/>
            <w:tcBorders>
              <w:top w:val="single" w:sz="6" w:space="0" w:color="7F7F7F"/>
              <w:bottom w:val="single" w:sz="6" w:space="0" w:color="7F7F7F"/>
            </w:tcBorders>
            <w:tcMar>
              <w:top w:w="0" w:type="dxa"/>
              <w:left w:w="100" w:type="dxa"/>
              <w:bottom w:w="0" w:type="dxa"/>
              <w:right w:w="100" w:type="dxa"/>
            </w:tcMar>
            <w:hideMark/>
          </w:tcPr>
          <w:p w14:paraId="0852E55D"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Internalising</w:t>
            </w:r>
          </w:p>
        </w:tc>
        <w:tc>
          <w:tcPr>
            <w:tcW w:w="0" w:type="auto"/>
            <w:tcBorders>
              <w:top w:val="single" w:sz="6" w:space="0" w:color="7F7F7F"/>
              <w:bottom w:val="single" w:sz="6" w:space="0" w:color="7F7F7F"/>
            </w:tcBorders>
            <w:tcMar>
              <w:top w:w="0" w:type="dxa"/>
              <w:left w:w="100" w:type="dxa"/>
              <w:bottom w:w="0" w:type="dxa"/>
              <w:right w:w="100" w:type="dxa"/>
            </w:tcMar>
            <w:hideMark/>
          </w:tcPr>
          <w:p w14:paraId="6F35D336"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10225</w:t>
            </w:r>
          </w:p>
        </w:tc>
        <w:tc>
          <w:tcPr>
            <w:tcW w:w="0" w:type="auto"/>
            <w:tcBorders>
              <w:top w:val="single" w:sz="6" w:space="0" w:color="7F7F7F"/>
              <w:bottom w:val="single" w:sz="6" w:space="0" w:color="7F7F7F"/>
            </w:tcBorders>
            <w:tcMar>
              <w:top w:w="0" w:type="dxa"/>
              <w:left w:w="100" w:type="dxa"/>
              <w:bottom w:w="0" w:type="dxa"/>
              <w:right w:w="100" w:type="dxa"/>
            </w:tcMar>
            <w:hideMark/>
          </w:tcPr>
          <w:p w14:paraId="7EF4A1D2"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1.24</w:t>
            </w:r>
          </w:p>
        </w:tc>
        <w:tc>
          <w:tcPr>
            <w:tcW w:w="0" w:type="auto"/>
            <w:tcBorders>
              <w:top w:val="single" w:sz="6" w:space="0" w:color="7F7F7F"/>
              <w:bottom w:val="single" w:sz="6" w:space="0" w:color="7F7F7F"/>
            </w:tcBorders>
            <w:tcMar>
              <w:top w:w="0" w:type="dxa"/>
              <w:left w:w="100" w:type="dxa"/>
              <w:bottom w:w="0" w:type="dxa"/>
              <w:right w:w="100" w:type="dxa"/>
            </w:tcMar>
            <w:hideMark/>
          </w:tcPr>
          <w:p w14:paraId="09F0E203"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(0.60,</w:t>
            </w:r>
          </w:p>
          <w:p w14:paraId="791B5624"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 1.87)</w:t>
            </w:r>
          </w:p>
        </w:tc>
        <w:tc>
          <w:tcPr>
            <w:tcW w:w="0" w:type="auto"/>
            <w:tcBorders>
              <w:top w:val="single" w:sz="6" w:space="0" w:color="7F7F7F"/>
              <w:bottom w:val="single" w:sz="6" w:space="0" w:color="7F7F7F"/>
            </w:tcBorders>
            <w:tcMar>
              <w:top w:w="0" w:type="dxa"/>
              <w:left w:w="100" w:type="dxa"/>
              <w:bottom w:w="0" w:type="dxa"/>
              <w:right w:w="100" w:type="dxa"/>
            </w:tcMar>
            <w:hideMark/>
          </w:tcPr>
          <w:p w14:paraId="28C4A71A"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&lt;0.001</w:t>
            </w:r>
          </w:p>
        </w:tc>
        <w:tc>
          <w:tcPr>
            <w:tcW w:w="0" w:type="auto"/>
            <w:tcBorders>
              <w:top w:val="single" w:sz="6" w:space="0" w:color="7F7F7F"/>
              <w:bottom w:val="single" w:sz="6" w:space="0" w:color="7F7F7F"/>
            </w:tcBorders>
            <w:tcMar>
              <w:top w:w="0" w:type="dxa"/>
              <w:left w:w="100" w:type="dxa"/>
              <w:bottom w:w="0" w:type="dxa"/>
              <w:right w:w="100" w:type="dxa"/>
            </w:tcMar>
            <w:hideMark/>
          </w:tcPr>
          <w:p w14:paraId="1B4B6C3C"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1.23</w:t>
            </w:r>
          </w:p>
        </w:tc>
        <w:tc>
          <w:tcPr>
            <w:tcW w:w="0" w:type="auto"/>
            <w:tcBorders>
              <w:top w:val="single" w:sz="6" w:space="0" w:color="7F7F7F"/>
              <w:bottom w:val="single" w:sz="6" w:space="0" w:color="7F7F7F"/>
            </w:tcBorders>
            <w:tcMar>
              <w:top w:w="0" w:type="dxa"/>
              <w:left w:w="100" w:type="dxa"/>
              <w:bottom w:w="0" w:type="dxa"/>
              <w:right w:w="100" w:type="dxa"/>
            </w:tcMar>
            <w:hideMark/>
          </w:tcPr>
          <w:p w14:paraId="378400D4"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(0.60,</w:t>
            </w:r>
          </w:p>
          <w:p w14:paraId="5E20A659"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 1.87)</w:t>
            </w:r>
          </w:p>
        </w:tc>
        <w:tc>
          <w:tcPr>
            <w:tcW w:w="0" w:type="auto"/>
            <w:tcBorders>
              <w:top w:val="single" w:sz="6" w:space="0" w:color="7F7F7F"/>
              <w:bottom w:val="single" w:sz="6" w:space="0" w:color="7F7F7F"/>
            </w:tcBorders>
            <w:tcMar>
              <w:top w:w="0" w:type="dxa"/>
              <w:left w:w="100" w:type="dxa"/>
              <w:bottom w:w="0" w:type="dxa"/>
              <w:right w:w="100" w:type="dxa"/>
            </w:tcMar>
            <w:hideMark/>
          </w:tcPr>
          <w:p w14:paraId="259A7C4D"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&lt;0.001</w:t>
            </w:r>
          </w:p>
        </w:tc>
        <w:tc>
          <w:tcPr>
            <w:tcW w:w="0" w:type="auto"/>
            <w:tcBorders>
              <w:top w:val="single" w:sz="6" w:space="0" w:color="7F7F7F"/>
              <w:bottom w:val="single" w:sz="6" w:space="0" w:color="7F7F7F"/>
            </w:tcBorders>
            <w:tcMar>
              <w:top w:w="0" w:type="dxa"/>
              <w:left w:w="100" w:type="dxa"/>
              <w:bottom w:w="0" w:type="dxa"/>
              <w:right w:w="100" w:type="dxa"/>
            </w:tcMar>
            <w:hideMark/>
          </w:tcPr>
          <w:p w14:paraId="329F52E4"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0.004</w:t>
            </w:r>
          </w:p>
        </w:tc>
        <w:tc>
          <w:tcPr>
            <w:tcW w:w="0" w:type="auto"/>
            <w:tcBorders>
              <w:top w:val="single" w:sz="6" w:space="0" w:color="7F7F7F"/>
              <w:bottom w:val="single" w:sz="6" w:space="0" w:color="7F7F7F"/>
            </w:tcBorders>
            <w:tcMar>
              <w:top w:w="0" w:type="dxa"/>
              <w:left w:w="100" w:type="dxa"/>
              <w:bottom w:w="0" w:type="dxa"/>
              <w:right w:w="100" w:type="dxa"/>
            </w:tcMar>
            <w:hideMark/>
          </w:tcPr>
          <w:p w14:paraId="253BC228"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(-0.01,</w:t>
            </w:r>
          </w:p>
          <w:p w14:paraId="00943D65"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 0.02)</w:t>
            </w:r>
          </w:p>
        </w:tc>
        <w:tc>
          <w:tcPr>
            <w:tcW w:w="0" w:type="auto"/>
            <w:tcBorders>
              <w:top w:val="single" w:sz="6" w:space="0" w:color="7F7F7F"/>
              <w:bottom w:val="single" w:sz="6" w:space="0" w:color="7F7F7F"/>
            </w:tcBorders>
            <w:tcMar>
              <w:top w:w="0" w:type="dxa"/>
              <w:left w:w="100" w:type="dxa"/>
              <w:bottom w:w="0" w:type="dxa"/>
              <w:right w:w="100" w:type="dxa"/>
            </w:tcMar>
            <w:hideMark/>
          </w:tcPr>
          <w:p w14:paraId="5203FC65" w14:textId="77777777" w:rsidR="009A3E4F" w:rsidRPr="00C16AB4" w:rsidRDefault="009A3E4F" w:rsidP="009A3E4F">
            <w:pPr>
              <w:spacing w:after="0" w:line="480" w:lineRule="auto"/>
              <w:ind w:left="140" w:right="14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0.634</w:t>
            </w:r>
          </w:p>
        </w:tc>
      </w:tr>
    </w:tbl>
    <w:p w14:paraId="4EA4FBFA" w14:textId="5D9781BC" w:rsidR="005B0CA0" w:rsidRPr="00C16AB4" w:rsidRDefault="009A3E4F" w:rsidP="00373597">
      <w:pPr>
        <w:spacing w:line="480" w:lineRule="auto"/>
        <w:rPr>
          <w:rFonts w:ascii="Times New Roman" w:eastAsia="Times New Roman" w:hAnsi="Times New Roman" w:cs="Times New Roman"/>
          <w:color w:val="000000"/>
          <w:kern w:val="0"/>
          <w:lang w:eastAsia="en-GB"/>
          <w14:ligatures w14:val="none"/>
        </w:rPr>
      </w:pPr>
      <w:r w:rsidRPr="00C16AB4">
        <w:rPr>
          <w:rFonts w:ascii="Times New Roman" w:eastAsia="Times New Roman" w:hAnsi="Times New Roman" w:cs="Times New Roman"/>
          <w:kern w:val="0"/>
          <w:lang w:eastAsia="en-GB"/>
          <w14:ligatures w14:val="none"/>
        </w:rPr>
        <w:br/>
      </w:r>
      <w:r w:rsidRPr="00C16AB4">
        <w:rPr>
          <w:rFonts w:ascii="Times New Roman" w:eastAsia="Times New Roman" w:hAnsi="Times New Roman" w:cs="Times New Roman"/>
          <w:i/>
          <w:iCs/>
          <w:color w:val="000000"/>
          <w:kern w:val="0"/>
          <w:lang w:eastAsia="en-GB"/>
          <w14:ligatures w14:val="none"/>
        </w:rPr>
        <w:t xml:space="preserve">Note. </w:t>
      </w:r>
      <w:r w:rsidRPr="00C16AB4">
        <w:rPr>
          <w:rFonts w:ascii="Times New Roman" w:eastAsia="Times New Roman" w:hAnsi="Times New Roman" w:cs="Times New Roman"/>
          <w:color w:val="000000"/>
          <w:kern w:val="0"/>
          <w:lang w:eastAsia="en-GB"/>
          <w14:ligatures w14:val="none"/>
        </w:rPr>
        <w:t>TCE = total causal effect; Direct = randomised natural direct effect; Indirect = randomised natural indirect effect; CI = 95% confidence intervals. Both models adjusted for: sex, maternal age at birth, parental mental health, child’s physical health status, single-parent household, ethnicity, pre-existing externalising difficulties, parental school engagement and socioeconomic deprivation</w:t>
      </w:r>
      <w:r w:rsidR="00AE0BBD" w:rsidRPr="00C16AB4">
        <w:rPr>
          <w:rFonts w:ascii="Times New Roman" w:eastAsia="Times New Roman" w:hAnsi="Times New Roman" w:cs="Times New Roman"/>
          <w:color w:val="000000"/>
          <w:kern w:val="0"/>
          <w:lang w:eastAsia="en-GB"/>
          <w14:ligatures w14:val="none"/>
        </w:rPr>
        <w:t>.</w:t>
      </w:r>
    </w:p>
    <w:p w14:paraId="088E1E14" w14:textId="77777777" w:rsidR="00E8694D" w:rsidRPr="00C16AB4" w:rsidRDefault="00E8694D" w:rsidP="00243B18">
      <w:pPr>
        <w:sectPr w:rsidR="00E8694D" w:rsidRPr="00C16AB4" w:rsidSect="008363E0">
          <w:pgSz w:w="16838" w:h="11906" w:orient="landscape"/>
          <w:pgMar w:top="1440" w:right="1440" w:bottom="1440" w:left="1440" w:header="708" w:footer="708" w:gutter="0"/>
          <w:cols w:space="708"/>
          <w:docGrid w:linePitch="360"/>
        </w:sectPr>
      </w:pPr>
    </w:p>
    <w:p w14:paraId="74483522" w14:textId="3AA1D52E" w:rsidR="006E3927" w:rsidRPr="00C16AB4" w:rsidRDefault="00E8694D" w:rsidP="00243B18">
      <w:pPr>
        <w:rPr>
          <w:rFonts w:ascii="Times New Roman" w:hAnsi="Times New Roman" w:cs="Times New Roman"/>
          <w:b/>
          <w:bCs/>
        </w:rPr>
      </w:pPr>
      <w:r w:rsidRPr="00C16AB4">
        <w:rPr>
          <w:rFonts w:ascii="Times New Roman" w:hAnsi="Times New Roman" w:cs="Times New Roman"/>
          <w:b/>
          <w:bCs/>
        </w:rPr>
        <w:t>References</w:t>
      </w:r>
    </w:p>
    <w:p w14:paraId="09A65063" w14:textId="77777777" w:rsidR="00E8694D" w:rsidRPr="00C16AB4" w:rsidRDefault="00E8694D" w:rsidP="00E8694D">
      <w:pPr>
        <w:spacing w:after="0" w:line="480" w:lineRule="auto"/>
        <w:ind w:left="720" w:hanging="72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 xml:space="preserve">De Stavola, B. L., Daniel, R. M., Ploubidis, G. B., &amp; Micali, N. (2015). Mediation Analysis With Intermediate Confounding: Structural Equation Modeling Viewed Through the Causal Inference Lens. </w:t>
      </w:r>
      <w:r w:rsidRPr="00C16AB4">
        <w:rPr>
          <w:rFonts w:ascii="Times New Roman" w:eastAsia="Times New Roman" w:hAnsi="Times New Roman" w:cs="Times New Roman"/>
          <w:i/>
          <w:iCs/>
          <w:color w:val="000000"/>
          <w:kern w:val="0"/>
          <w:lang w:eastAsia="en-GB"/>
          <w14:ligatures w14:val="none"/>
        </w:rPr>
        <w:t>American Journal of Epidemiology</w:t>
      </w:r>
      <w:r w:rsidRPr="00C16AB4">
        <w:rPr>
          <w:rFonts w:ascii="Times New Roman" w:eastAsia="Times New Roman" w:hAnsi="Times New Roman" w:cs="Times New Roman"/>
          <w:color w:val="000000"/>
          <w:kern w:val="0"/>
          <w:lang w:eastAsia="en-GB"/>
          <w14:ligatures w14:val="none"/>
        </w:rPr>
        <w:t xml:space="preserve">, </w:t>
      </w:r>
      <w:r w:rsidRPr="00C16AB4">
        <w:rPr>
          <w:rFonts w:ascii="Times New Roman" w:eastAsia="Times New Roman" w:hAnsi="Times New Roman" w:cs="Times New Roman"/>
          <w:i/>
          <w:iCs/>
          <w:color w:val="000000"/>
          <w:kern w:val="0"/>
          <w:lang w:eastAsia="en-GB"/>
          <w14:ligatures w14:val="none"/>
        </w:rPr>
        <w:t>181</w:t>
      </w:r>
      <w:r w:rsidRPr="00C16AB4">
        <w:rPr>
          <w:rFonts w:ascii="Times New Roman" w:eastAsia="Times New Roman" w:hAnsi="Times New Roman" w:cs="Times New Roman"/>
          <w:color w:val="000000"/>
          <w:kern w:val="0"/>
          <w:lang w:eastAsia="en-GB"/>
          <w14:ligatures w14:val="none"/>
        </w:rPr>
        <w:t>(1), 64–80. https://doi.org/10.1093/aje/kwu239</w:t>
      </w:r>
    </w:p>
    <w:p w14:paraId="6BBC508D" w14:textId="77777777" w:rsidR="00340158" w:rsidRPr="00C16AB4" w:rsidRDefault="00340158" w:rsidP="00340158">
      <w:pPr>
        <w:spacing w:after="0" w:line="480" w:lineRule="auto"/>
        <w:ind w:left="720" w:hanging="720"/>
        <w:rPr>
          <w:rFonts w:ascii="Times New Roman" w:eastAsia="Times New Roman" w:hAnsi="Times New Roman" w:cs="Times New Roman"/>
          <w:color w:val="000000"/>
          <w:kern w:val="0"/>
          <w:lang w:eastAsia="en-GB"/>
          <w14:ligatures w14:val="none"/>
        </w:rPr>
      </w:pPr>
      <w:r w:rsidRPr="00C16AB4">
        <w:rPr>
          <w:rFonts w:ascii="Times New Roman" w:eastAsia="Times New Roman" w:hAnsi="Times New Roman" w:cs="Times New Roman"/>
          <w:color w:val="000000"/>
          <w:kern w:val="0"/>
          <w:lang w:eastAsia="en-GB"/>
          <w14:ligatures w14:val="none"/>
        </w:rPr>
        <w:t xml:space="preserve">Hernán, M. A., Robins, J. M. (2006). Estimating causal effects from epidemiological data. Journal of Epidemiology &amp; Community Health, 60(7), 578-586. </w:t>
      </w:r>
    </w:p>
    <w:p w14:paraId="64AE21A7" w14:textId="77777777" w:rsidR="00340158" w:rsidRPr="00C16AB4" w:rsidRDefault="00340158" w:rsidP="00340158">
      <w:pPr>
        <w:spacing w:after="0" w:line="480" w:lineRule="auto"/>
        <w:ind w:left="720" w:hanging="720"/>
        <w:rPr>
          <w:rFonts w:ascii="Times New Roman" w:eastAsia="Times New Roman" w:hAnsi="Times New Roman" w:cs="Times New Roman"/>
          <w:color w:val="000000"/>
          <w:kern w:val="0"/>
          <w:lang w:eastAsia="en-GB"/>
          <w14:ligatures w14:val="none"/>
        </w:rPr>
      </w:pPr>
      <w:r w:rsidRPr="00C16AB4">
        <w:rPr>
          <w:rFonts w:ascii="Times New Roman" w:eastAsia="Times New Roman" w:hAnsi="Times New Roman" w:cs="Times New Roman"/>
          <w:color w:val="000000"/>
          <w:kern w:val="0"/>
          <w:lang w:eastAsia="en-GB"/>
          <w14:ligatures w14:val="none"/>
        </w:rPr>
        <w:t>Robins, J. M., Hernán, M. A., &amp; Brumback, B. (2000). Marginal structural models and causal inference in epidemiology. Epidemiology, 11(5), 550-560.</w:t>
      </w:r>
    </w:p>
    <w:p w14:paraId="3974C0DE" w14:textId="2F935875" w:rsidR="00EA0920" w:rsidRPr="00C16AB4" w:rsidRDefault="00340158" w:rsidP="00340158">
      <w:pPr>
        <w:spacing w:after="0" w:line="480" w:lineRule="auto"/>
        <w:ind w:left="720" w:hanging="720"/>
        <w:rPr>
          <w:rFonts w:ascii="Times New Roman" w:eastAsia="Times New Roman" w:hAnsi="Times New Roman" w:cs="Times New Roman"/>
          <w:color w:val="000000"/>
          <w:kern w:val="0"/>
          <w:lang w:eastAsia="en-GB"/>
          <w14:ligatures w14:val="none"/>
        </w:rPr>
      </w:pPr>
      <w:r w:rsidRPr="00C16AB4">
        <w:rPr>
          <w:rFonts w:ascii="Times New Roman" w:eastAsia="Times New Roman" w:hAnsi="Times New Roman" w:cs="Times New Roman"/>
          <w:color w:val="000000"/>
          <w:kern w:val="0"/>
          <w:lang w:val="de-AT" w:eastAsia="en-GB"/>
          <w14:ligatures w14:val="none"/>
        </w:rPr>
        <w:t xml:space="preserve">Tchetgen, E. J. T., &amp; VanderWeele, T. J. (2012). </w:t>
      </w:r>
      <w:r w:rsidRPr="00C16AB4">
        <w:rPr>
          <w:rFonts w:ascii="Times New Roman" w:eastAsia="Times New Roman" w:hAnsi="Times New Roman" w:cs="Times New Roman"/>
          <w:color w:val="000000"/>
          <w:kern w:val="0"/>
          <w:lang w:eastAsia="en-GB"/>
          <w14:ligatures w14:val="none"/>
        </w:rPr>
        <w:t>On causal inference in the presence of interference. Statistical methods in medical research, 21(1),</w:t>
      </w:r>
      <w:r w:rsidR="00EA0920" w:rsidRPr="00C16AB4">
        <w:rPr>
          <w:rFonts w:ascii="Times New Roman" w:eastAsia="Times New Roman" w:hAnsi="Times New Roman" w:cs="Times New Roman"/>
          <w:color w:val="000000"/>
          <w:kern w:val="0"/>
          <w:lang w:eastAsia="en-GB"/>
          <w14:ligatures w14:val="none"/>
        </w:rPr>
        <w:t xml:space="preserve"> 55-75. </w:t>
      </w:r>
      <w:hyperlink r:id="rId8" w:history="1">
        <w:r w:rsidR="00EA0920" w:rsidRPr="00C16AB4">
          <w:rPr>
            <w:rStyle w:val="Hyperlink"/>
            <w:rFonts w:ascii="Times New Roman" w:eastAsia="Times New Roman" w:hAnsi="Times New Roman" w:cs="Times New Roman"/>
            <w:color w:val="000000" w:themeColor="text1"/>
            <w:kern w:val="0"/>
            <w:u w:val="none"/>
            <w:lang w:eastAsia="en-GB"/>
            <w14:ligatures w14:val="none"/>
          </w:rPr>
          <w:t>https://doi.org/10.1177/0962280210386779</w:t>
        </w:r>
      </w:hyperlink>
    </w:p>
    <w:p w14:paraId="5A7283B8" w14:textId="0785F781" w:rsidR="00340158" w:rsidRPr="00367E3D" w:rsidRDefault="00340158" w:rsidP="00340158">
      <w:pPr>
        <w:spacing w:after="0" w:line="480" w:lineRule="auto"/>
        <w:ind w:left="720" w:hanging="720"/>
        <w:rPr>
          <w:rFonts w:ascii="Times New Roman" w:eastAsia="Times New Roman" w:hAnsi="Times New Roman" w:cs="Times New Roman"/>
          <w:kern w:val="0"/>
          <w:lang w:eastAsia="en-GB"/>
          <w14:ligatures w14:val="none"/>
        </w:rPr>
      </w:pPr>
      <w:r w:rsidRPr="00C16AB4">
        <w:rPr>
          <w:rFonts w:ascii="Times New Roman" w:eastAsia="Times New Roman" w:hAnsi="Times New Roman" w:cs="Times New Roman"/>
          <w:color w:val="000000"/>
          <w:kern w:val="0"/>
          <w:lang w:eastAsia="en-GB"/>
          <w14:ligatures w14:val="none"/>
        </w:rPr>
        <w:t xml:space="preserve">De Stavola, B. L., Daniel, R. M., Ploubidis, G. B., &amp; Micali, N. (2015). Mediation Analysis With Intermediate Confounding: Structural Equation Modeling Viewed Through the Causal Inference Lens. </w:t>
      </w:r>
      <w:r w:rsidRPr="00C16AB4">
        <w:rPr>
          <w:rFonts w:ascii="Times New Roman" w:eastAsia="Times New Roman" w:hAnsi="Times New Roman" w:cs="Times New Roman"/>
          <w:i/>
          <w:iCs/>
          <w:color w:val="000000"/>
          <w:kern w:val="0"/>
          <w:lang w:eastAsia="en-GB"/>
          <w14:ligatures w14:val="none"/>
        </w:rPr>
        <w:t>American Journal of Epidemiology</w:t>
      </w:r>
      <w:r w:rsidRPr="00C16AB4">
        <w:rPr>
          <w:rFonts w:ascii="Times New Roman" w:eastAsia="Times New Roman" w:hAnsi="Times New Roman" w:cs="Times New Roman"/>
          <w:color w:val="000000"/>
          <w:kern w:val="0"/>
          <w:lang w:eastAsia="en-GB"/>
          <w14:ligatures w14:val="none"/>
        </w:rPr>
        <w:t xml:space="preserve">, </w:t>
      </w:r>
      <w:r w:rsidRPr="00C16AB4">
        <w:rPr>
          <w:rFonts w:ascii="Times New Roman" w:eastAsia="Times New Roman" w:hAnsi="Times New Roman" w:cs="Times New Roman"/>
          <w:i/>
          <w:iCs/>
          <w:color w:val="000000"/>
          <w:kern w:val="0"/>
          <w:lang w:eastAsia="en-GB"/>
          <w14:ligatures w14:val="none"/>
        </w:rPr>
        <w:t>181</w:t>
      </w:r>
      <w:r w:rsidRPr="00C16AB4">
        <w:rPr>
          <w:rFonts w:ascii="Times New Roman" w:eastAsia="Times New Roman" w:hAnsi="Times New Roman" w:cs="Times New Roman"/>
          <w:color w:val="000000"/>
          <w:kern w:val="0"/>
          <w:lang w:eastAsia="en-GB"/>
          <w14:ligatures w14:val="none"/>
        </w:rPr>
        <w:t>(1), 64–80. https://doi.org/10.1093/aje/kwu239</w:t>
      </w:r>
      <w:bookmarkStart w:id="0" w:name="_GoBack"/>
      <w:bookmarkEnd w:id="0"/>
    </w:p>
    <w:p w14:paraId="4CF784F1" w14:textId="77777777" w:rsidR="00340158" w:rsidRDefault="00340158" w:rsidP="00E8694D">
      <w:pPr>
        <w:spacing w:line="480" w:lineRule="auto"/>
        <w:rPr>
          <w:rFonts w:ascii="Times New Roman" w:hAnsi="Times New Roman" w:cs="Times New Roman"/>
        </w:rPr>
      </w:pPr>
    </w:p>
    <w:p w14:paraId="1D9EAA05" w14:textId="63088895" w:rsidR="00E8694D" w:rsidRPr="00A12F12" w:rsidRDefault="00E8694D" w:rsidP="00A12F12">
      <w:pPr>
        <w:spacing w:line="480" w:lineRule="auto"/>
        <w:rPr>
          <w:rFonts w:ascii="Times New Roman" w:hAnsi="Times New Roman" w:cs="Times New Roman"/>
        </w:rPr>
      </w:pPr>
    </w:p>
    <w:sectPr w:rsidR="00E8694D" w:rsidRPr="00A12F12" w:rsidSect="00A12F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244B0E" w14:textId="77777777" w:rsidR="00D6747E" w:rsidRDefault="00D6747E" w:rsidP="00577086">
      <w:pPr>
        <w:spacing w:after="0" w:line="240" w:lineRule="auto"/>
      </w:pPr>
      <w:r>
        <w:separator/>
      </w:r>
    </w:p>
  </w:endnote>
  <w:endnote w:type="continuationSeparator" w:id="0">
    <w:p w14:paraId="1D75A8A6" w14:textId="77777777" w:rsidR="00D6747E" w:rsidRDefault="00D6747E" w:rsidP="00577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7AB59D" w14:textId="77777777" w:rsidR="00D6747E" w:rsidRDefault="00D6747E" w:rsidP="00577086">
      <w:pPr>
        <w:spacing w:after="0" w:line="240" w:lineRule="auto"/>
      </w:pPr>
      <w:r>
        <w:separator/>
      </w:r>
    </w:p>
  </w:footnote>
  <w:footnote w:type="continuationSeparator" w:id="0">
    <w:p w14:paraId="0CF49C2C" w14:textId="77777777" w:rsidR="00D6747E" w:rsidRDefault="00D6747E" w:rsidP="005770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665962"/>
      <w:docPartObj>
        <w:docPartGallery w:val="Page Numbers (Top of Page)"/>
        <w:docPartUnique/>
      </w:docPartObj>
    </w:sdtPr>
    <w:sdtEndPr>
      <w:rPr>
        <w:noProof/>
      </w:rPr>
    </w:sdtEndPr>
    <w:sdtContent>
      <w:p w14:paraId="52324804" w14:textId="51B77B00" w:rsidR="00EA2E1E" w:rsidRDefault="00EA2E1E">
        <w:pPr>
          <w:pStyle w:val="Header"/>
          <w:jc w:val="right"/>
        </w:pPr>
        <w:r w:rsidRPr="00E91615">
          <w:rPr>
            <w:rFonts w:asciiTheme="majorBidi" w:hAnsiTheme="majorBidi" w:cstheme="majorBidi"/>
          </w:rPr>
          <w:fldChar w:fldCharType="begin"/>
        </w:r>
        <w:r w:rsidRPr="00E91615">
          <w:rPr>
            <w:rFonts w:asciiTheme="majorBidi" w:hAnsiTheme="majorBidi" w:cstheme="majorBidi"/>
          </w:rPr>
          <w:instrText xml:space="preserve"> PAGE   \* MERGEFORMAT </w:instrText>
        </w:r>
        <w:r w:rsidRPr="00E91615">
          <w:rPr>
            <w:rFonts w:asciiTheme="majorBidi" w:hAnsiTheme="majorBidi" w:cstheme="majorBidi"/>
          </w:rPr>
          <w:fldChar w:fldCharType="separate"/>
        </w:r>
        <w:r w:rsidR="00C16AB4">
          <w:rPr>
            <w:rFonts w:asciiTheme="majorBidi" w:hAnsiTheme="majorBidi" w:cstheme="majorBidi"/>
            <w:noProof/>
          </w:rPr>
          <w:t>9</w:t>
        </w:r>
        <w:r w:rsidRPr="00E91615">
          <w:rPr>
            <w:rFonts w:asciiTheme="majorBidi" w:hAnsiTheme="majorBidi" w:cstheme="majorBidi"/>
            <w:noProof/>
          </w:rPr>
          <w:fldChar w:fldCharType="end"/>
        </w:r>
      </w:p>
    </w:sdtContent>
  </w:sdt>
  <w:p w14:paraId="316F526A" w14:textId="77777777" w:rsidR="00EA2E1E" w:rsidRDefault="00EA2E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3683A" w14:textId="2C96A250" w:rsidR="00EA2E1E" w:rsidRDefault="00EA2E1E">
    <w:pPr>
      <w:pStyle w:val="Header"/>
      <w:jc w:val="right"/>
    </w:pPr>
  </w:p>
  <w:p w14:paraId="04207782" w14:textId="77777777" w:rsidR="00EA2E1E" w:rsidRDefault="00EA2E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B84"/>
    <w:rsid w:val="000421D7"/>
    <w:rsid w:val="00072F48"/>
    <w:rsid w:val="00087B77"/>
    <w:rsid w:val="000B68D6"/>
    <w:rsid w:val="0013298C"/>
    <w:rsid w:val="00175B75"/>
    <w:rsid w:val="00190FBC"/>
    <w:rsid w:val="001F1D0D"/>
    <w:rsid w:val="0020105E"/>
    <w:rsid w:val="00220FFB"/>
    <w:rsid w:val="002251CB"/>
    <w:rsid w:val="0023767A"/>
    <w:rsid w:val="00243B18"/>
    <w:rsid w:val="002523C7"/>
    <w:rsid w:val="0026564C"/>
    <w:rsid w:val="0028797D"/>
    <w:rsid w:val="002B4DF2"/>
    <w:rsid w:val="002D3DAE"/>
    <w:rsid w:val="002F15A6"/>
    <w:rsid w:val="00303BDD"/>
    <w:rsid w:val="003372CC"/>
    <w:rsid w:val="00340158"/>
    <w:rsid w:val="00373597"/>
    <w:rsid w:val="003B238E"/>
    <w:rsid w:val="003B4658"/>
    <w:rsid w:val="004032AA"/>
    <w:rsid w:val="0046579E"/>
    <w:rsid w:val="005753BB"/>
    <w:rsid w:val="00577086"/>
    <w:rsid w:val="005B0CA0"/>
    <w:rsid w:val="005E0368"/>
    <w:rsid w:val="005F2A61"/>
    <w:rsid w:val="006009D4"/>
    <w:rsid w:val="00654B84"/>
    <w:rsid w:val="006E1B59"/>
    <w:rsid w:val="006E3927"/>
    <w:rsid w:val="00781366"/>
    <w:rsid w:val="007E4058"/>
    <w:rsid w:val="008363E0"/>
    <w:rsid w:val="00840BA5"/>
    <w:rsid w:val="00856BED"/>
    <w:rsid w:val="00881FA2"/>
    <w:rsid w:val="008C3975"/>
    <w:rsid w:val="009540C7"/>
    <w:rsid w:val="009934F6"/>
    <w:rsid w:val="009A3E4F"/>
    <w:rsid w:val="009B7B6C"/>
    <w:rsid w:val="009D0BD4"/>
    <w:rsid w:val="00A12F12"/>
    <w:rsid w:val="00A77B44"/>
    <w:rsid w:val="00AE0BBD"/>
    <w:rsid w:val="00B1140D"/>
    <w:rsid w:val="00B66045"/>
    <w:rsid w:val="00B74E21"/>
    <w:rsid w:val="00B86598"/>
    <w:rsid w:val="00BA29CD"/>
    <w:rsid w:val="00BE50C7"/>
    <w:rsid w:val="00C16AB4"/>
    <w:rsid w:val="00D41840"/>
    <w:rsid w:val="00D45D01"/>
    <w:rsid w:val="00D53926"/>
    <w:rsid w:val="00D6747E"/>
    <w:rsid w:val="00DC5445"/>
    <w:rsid w:val="00DC7F89"/>
    <w:rsid w:val="00E35774"/>
    <w:rsid w:val="00E8694D"/>
    <w:rsid w:val="00E91615"/>
    <w:rsid w:val="00E934D9"/>
    <w:rsid w:val="00EA0920"/>
    <w:rsid w:val="00EA2E1E"/>
    <w:rsid w:val="00EA4F41"/>
    <w:rsid w:val="00EE46DE"/>
    <w:rsid w:val="00F82FD0"/>
    <w:rsid w:val="00F839DB"/>
    <w:rsid w:val="00FA1634"/>
    <w:rsid w:val="00FF76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9E693"/>
  <w15:chartTrackingRefBased/>
  <w15:docId w15:val="{3B7DE893-22A0-7649-A690-DDC8A4F5B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E4F"/>
  </w:style>
  <w:style w:type="paragraph" w:styleId="Heading1">
    <w:name w:val="heading 1"/>
    <w:basedOn w:val="Normal"/>
    <w:next w:val="Normal"/>
    <w:link w:val="Heading1Char"/>
    <w:uiPriority w:val="9"/>
    <w:qFormat/>
    <w:rsid w:val="00654B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4B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4B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4B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4B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4B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B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B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B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B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4B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4B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4B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B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B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B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B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B84"/>
    <w:rPr>
      <w:rFonts w:eastAsiaTheme="majorEastAsia" w:cstheme="majorBidi"/>
      <w:color w:val="272727" w:themeColor="text1" w:themeTint="D8"/>
    </w:rPr>
  </w:style>
  <w:style w:type="paragraph" w:styleId="Title">
    <w:name w:val="Title"/>
    <w:basedOn w:val="Normal"/>
    <w:next w:val="Normal"/>
    <w:link w:val="TitleChar"/>
    <w:uiPriority w:val="10"/>
    <w:qFormat/>
    <w:rsid w:val="00654B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B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B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B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B84"/>
    <w:pPr>
      <w:spacing w:before="160"/>
      <w:jc w:val="center"/>
    </w:pPr>
    <w:rPr>
      <w:i/>
      <w:iCs/>
      <w:color w:val="404040" w:themeColor="text1" w:themeTint="BF"/>
    </w:rPr>
  </w:style>
  <w:style w:type="character" w:customStyle="1" w:styleId="QuoteChar">
    <w:name w:val="Quote Char"/>
    <w:basedOn w:val="DefaultParagraphFont"/>
    <w:link w:val="Quote"/>
    <w:uiPriority w:val="29"/>
    <w:rsid w:val="00654B84"/>
    <w:rPr>
      <w:i/>
      <w:iCs/>
      <w:color w:val="404040" w:themeColor="text1" w:themeTint="BF"/>
    </w:rPr>
  </w:style>
  <w:style w:type="paragraph" w:styleId="ListParagraph">
    <w:name w:val="List Paragraph"/>
    <w:basedOn w:val="Normal"/>
    <w:uiPriority w:val="34"/>
    <w:qFormat/>
    <w:rsid w:val="00654B84"/>
    <w:pPr>
      <w:ind w:left="720"/>
      <w:contextualSpacing/>
    </w:pPr>
  </w:style>
  <w:style w:type="character" w:styleId="IntenseEmphasis">
    <w:name w:val="Intense Emphasis"/>
    <w:basedOn w:val="DefaultParagraphFont"/>
    <w:uiPriority w:val="21"/>
    <w:qFormat/>
    <w:rsid w:val="00654B84"/>
    <w:rPr>
      <w:i/>
      <w:iCs/>
      <w:color w:val="0F4761" w:themeColor="accent1" w:themeShade="BF"/>
    </w:rPr>
  </w:style>
  <w:style w:type="paragraph" w:styleId="IntenseQuote">
    <w:name w:val="Intense Quote"/>
    <w:basedOn w:val="Normal"/>
    <w:next w:val="Normal"/>
    <w:link w:val="IntenseQuoteChar"/>
    <w:uiPriority w:val="30"/>
    <w:qFormat/>
    <w:rsid w:val="00654B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4B84"/>
    <w:rPr>
      <w:i/>
      <w:iCs/>
      <w:color w:val="0F4761" w:themeColor="accent1" w:themeShade="BF"/>
    </w:rPr>
  </w:style>
  <w:style w:type="character" w:styleId="IntenseReference">
    <w:name w:val="Intense Reference"/>
    <w:basedOn w:val="DefaultParagraphFont"/>
    <w:uiPriority w:val="32"/>
    <w:qFormat/>
    <w:rsid w:val="00654B84"/>
    <w:rPr>
      <w:b/>
      <w:bCs/>
      <w:smallCaps/>
      <w:color w:val="0F4761" w:themeColor="accent1" w:themeShade="BF"/>
      <w:spacing w:val="5"/>
    </w:rPr>
  </w:style>
  <w:style w:type="table" w:customStyle="1" w:styleId="PlainTable21">
    <w:name w:val="Plain Table 21"/>
    <w:basedOn w:val="TableNormal"/>
    <w:next w:val="PlainTable2"/>
    <w:uiPriority w:val="42"/>
    <w:rsid w:val="009A3E4F"/>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9A3E4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9A3E4F"/>
    <w:pPr>
      <w:spacing w:before="100" w:beforeAutospacing="1" w:after="100" w:afterAutospacing="1" w:line="240" w:lineRule="auto"/>
      <w:ind w:firstLine="720"/>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0421D7"/>
    <w:rPr>
      <w:sz w:val="16"/>
      <w:szCs w:val="16"/>
    </w:rPr>
  </w:style>
  <w:style w:type="paragraph" w:styleId="CommentText">
    <w:name w:val="annotation text"/>
    <w:basedOn w:val="Normal"/>
    <w:link w:val="CommentTextChar"/>
    <w:uiPriority w:val="99"/>
    <w:semiHidden/>
    <w:unhideWhenUsed/>
    <w:rsid w:val="000421D7"/>
    <w:pPr>
      <w:spacing w:line="240" w:lineRule="auto"/>
    </w:pPr>
    <w:rPr>
      <w:sz w:val="20"/>
      <w:szCs w:val="20"/>
    </w:rPr>
  </w:style>
  <w:style w:type="character" w:customStyle="1" w:styleId="CommentTextChar">
    <w:name w:val="Comment Text Char"/>
    <w:basedOn w:val="DefaultParagraphFont"/>
    <w:link w:val="CommentText"/>
    <w:uiPriority w:val="99"/>
    <w:semiHidden/>
    <w:rsid w:val="000421D7"/>
    <w:rPr>
      <w:sz w:val="20"/>
      <w:szCs w:val="20"/>
    </w:rPr>
  </w:style>
  <w:style w:type="paragraph" w:styleId="CommentSubject">
    <w:name w:val="annotation subject"/>
    <w:basedOn w:val="CommentText"/>
    <w:next w:val="CommentText"/>
    <w:link w:val="CommentSubjectChar"/>
    <w:uiPriority w:val="99"/>
    <w:semiHidden/>
    <w:unhideWhenUsed/>
    <w:rsid w:val="000421D7"/>
    <w:rPr>
      <w:b/>
      <w:bCs/>
    </w:rPr>
  </w:style>
  <w:style w:type="character" w:customStyle="1" w:styleId="CommentSubjectChar">
    <w:name w:val="Comment Subject Char"/>
    <w:basedOn w:val="CommentTextChar"/>
    <w:link w:val="CommentSubject"/>
    <w:uiPriority w:val="99"/>
    <w:semiHidden/>
    <w:rsid w:val="000421D7"/>
    <w:rPr>
      <w:b/>
      <w:bCs/>
      <w:sz w:val="20"/>
      <w:szCs w:val="20"/>
    </w:rPr>
  </w:style>
  <w:style w:type="character" w:styleId="Hyperlink">
    <w:name w:val="Hyperlink"/>
    <w:basedOn w:val="DefaultParagraphFont"/>
    <w:uiPriority w:val="99"/>
    <w:unhideWhenUsed/>
    <w:rsid w:val="00D53926"/>
    <w:rPr>
      <w:color w:val="467886" w:themeColor="hyperlink"/>
      <w:u w:val="single"/>
    </w:rPr>
  </w:style>
  <w:style w:type="character" w:customStyle="1" w:styleId="UnresolvedMention">
    <w:name w:val="Unresolved Mention"/>
    <w:basedOn w:val="DefaultParagraphFont"/>
    <w:uiPriority w:val="99"/>
    <w:semiHidden/>
    <w:unhideWhenUsed/>
    <w:rsid w:val="00D53926"/>
    <w:rPr>
      <w:color w:val="605E5C"/>
      <w:shd w:val="clear" w:color="auto" w:fill="E1DFDD"/>
    </w:rPr>
  </w:style>
  <w:style w:type="paragraph" w:styleId="Header">
    <w:name w:val="header"/>
    <w:basedOn w:val="Normal"/>
    <w:link w:val="HeaderChar"/>
    <w:uiPriority w:val="99"/>
    <w:unhideWhenUsed/>
    <w:rsid w:val="005770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7086"/>
  </w:style>
  <w:style w:type="paragraph" w:styleId="Footer">
    <w:name w:val="footer"/>
    <w:basedOn w:val="Normal"/>
    <w:link w:val="FooterChar"/>
    <w:uiPriority w:val="99"/>
    <w:unhideWhenUsed/>
    <w:rsid w:val="005770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7086"/>
  </w:style>
  <w:style w:type="paragraph" w:styleId="Revision">
    <w:name w:val="Revision"/>
    <w:hidden/>
    <w:uiPriority w:val="99"/>
    <w:semiHidden/>
    <w:rsid w:val="000B68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962280210386779" TargetMode="Externa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954</Words>
  <Characters>5440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yeoman</dc:creator>
  <cp:keywords/>
  <dc:description/>
  <cp:lastModifiedBy>Victor,Maria Flora</cp:lastModifiedBy>
  <cp:revision>2</cp:revision>
  <dcterms:created xsi:type="dcterms:W3CDTF">2026-09-18T09:56:00Z</dcterms:created>
  <dcterms:modified xsi:type="dcterms:W3CDTF">2026-09-18T09:56:00Z</dcterms:modified>
</cp:coreProperties>
</file>