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9AC93E" w14:textId="29C14300" w:rsidR="00F23885" w:rsidRPr="009833D1" w:rsidRDefault="00BD5DCA" w:rsidP="009833D1">
      <w:pPr>
        <w:spacing w:line="480" w:lineRule="auto"/>
        <w:jc w:val="center"/>
        <w:rPr>
          <w:b/>
          <w:bCs w:val="0"/>
        </w:rPr>
      </w:pPr>
      <w:r w:rsidRPr="009833D1">
        <w:rPr>
          <w:b/>
          <w:bCs w:val="0"/>
        </w:rPr>
        <w:t>Supplemental Materials</w:t>
      </w:r>
    </w:p>
    <w:p w14:paraId="48E22ECD" w14:textId="114C553B" w:rsidR="009833D1" w:rsidRPr="00496911" w:rsidRDefault="009833D1" w:rsidP="009833D1">
      <w:pPr>
        <w:widowControl w:val="0"/>
        <w:autoSpaceDE w:val="0"/>
        <w:autoSpaceDN w:val="0"/>
        <w:spacing w:line="480" w:lineRule="auto"/>
        <w:ind w:firstLine="720"/>
        <w:rPr>
          <w:rFonts w:eastAsia="Times New Roman"/>
        </w:rPr>
      </w:pPr>
      <w:r w:rsidRPr="009833D1">
        <w:rPr>
          <w:i/>
          <w:iCs/>
        </w:rPr>
        <w:t>Data processing.</w:t>
      </w:r>
      <w:r>
        <w:rPr>
          <w:i/>
          <w:iCs/>
        </w:rPr>
        <w:t xml:space="preserve"> </w:t>
      </w:r>
      <w:r>
        <w:t>C</w:t>
      </w:r>
      <w:r w:rsidRPr="009833D1">
        <w:t xml:space="preserve">onversation </w:t>
      </w:r>
      <w:r>
        <w:t>were</w:t>
      </w:r>
      <w:r w:rsidRPr="009833D1">
        <w:t xml:space="preserve"> audio recorded and orthographically transcribed by annotators who were naïve to participants’ diagnostic status and study hypotheses. </w:t>
      </w:r>
      <w:r>
        <w:t>Undergraduate student a</w:t>
      </w:r>
      <w:r w:rsidRPr="009833D1">
        <w:t xml:space="preserve">nnotators were trained according to the protocol outlined in prior studies from our lab </w:t>
      </w:r>
      <w:r w:rsidRPr="009833D1">
        <w:fldChar w:fldCharType="begin"/>
      </w:r>
      <w:r w:rsidRPr="009833D1">
        <w:instrText xml:space="preserve"> ADDIN ZOTERO_ITEM CSL_CITATION {"citationID":"X3PSYUtA","properties":{"formattedCitation":"(Boorse et al., 2019; Cola et al., 2022; Parish-Morris et al., 2017)","plainCitation":"(Boorse et al., 2019; Cola et al., 2022; Parish-Morris et al., 2017)","noteIndex":0},"citationItems":[{"id":1146,"uris":["http://zotero.org/users/5371895/items/MY8X32UE"],"itemData":{"id":1146,"type":"article-journal","abstract":"Background: Narrative abilities are linked to social impairment in autism spectrum disorder (ASD), such that reductions in words about cognitive processes (e.g., think, know) are thought to reflect underlying deficits in social cognition, including Theory of Mind. However, research suggests that typically developing (TD) boys and girls tell narratives in sex-specific ways, including differential reliance on cognitive process words. Given that most studies of narration in ASD have been conducted in predominantly male samples, it is possible that prior results showing reduced cognitive processing language in ASD may not generalize to autistic girls. To answer this question, we measured the relative frequency of two kinds of words in stories told by autistic girls and boys: nouns (words that indicate object-oriented storytelling) and cognitive process words (words like think and know that indicate mentalizing or attention to other peoples’ internal states).\nMethods: One hundred two verbally fluent school-aged children [girls with ASD (N = 21) and TD (N = 19), and boys with ASD (N = 41) and TD (N = 21)] were matched on age, IQ, and maternal education. Children told a story from a sequence of pictures, and word frequencies (nouns, cognitive process words) were compared.\nResults: Autistic children of both sexes consistently produced a greater number of nouns than TD controls, indicating object-focused storytelling. There were no sex differences in cognitive process word use in the TD group, but autistic girls produced significantly more cognitive process words than autistic boys, despite comparable autism symptom severity. Thus, autistic girls showed a unique narrative profile that overlapped with autistic boys and typical girls/boys. Noun use correlated significantly with parent reports of social symptom severity in all groups, but cognitive process word use correlated with social ability in boys only.\nConclusion: This study extends prior research on autistic children’s storytelling by measuring sex differences in the narratives of a relatively large, well-matched sample of children with and without ASD. Importantly, prior research showing that autistic children use fewer cognitive process words is true for boys only, while object-focused language is a sex-neutral linguistic marker of ASD. These findings suggest that sex-sensitive screening and diagnostic methods—preferably using objective metrics like natural language processing—may be helpful for identifying autistic girls, and could guide the development of future personalized treatment strategies.","container-title":"Molecular Autism","DOI":"10.1186/s13229-019-0268-2","ISSN":"2040-2392","issue":"14","language":"en","source":"Crossref","title":"Linguistic markers of autism in girls: evidence of a “blended phenotype” during storytelling","title-short":"Linguistic markers of autism in girls","URL":"https://molecularautism.biomedcentral.com/articles/10.1186/s13229-019-0268-2","volume":"10","author":[{"family":"Boorse","given":"Jaclin"},{"family":"Cola","given":"Meredith"},{"family":"Plate","given":"Samantha"},{"family":"Yankowitz","given":"Lisa"},{"family":"Pandey","given":"Juhi"},{"family":"Schultz","given":"Robert T."},{"family":"Parish-Morris","given":"Julia"}],"accessed":{"date-parts":[["2019",5,15]]},"issued":{"date-parts":[["2019",3,17]]}}},{"id":1185,"uris":["http://zotero.org/users/5371895/items/SM9GKFSK"],"itemData":{"id":1185,"type":"article-journal","abstract":"Background:  Autistic individuals frequently experience social communication challenges. Girls are diagnosed with autism less often than boys even when their symptoms are equally severe, which may be due to insufficient under‑standing of the way autism manifests in girls. Differences in the behavioral presentation of autism, including how people talk about social topics, could contribute to these persistent problems with identification. Despite a growing body of research suggesting that autistic girls and boys present distinct symptom profiles in a variety of domains, including social attention, friendships, social motivation, and language, differences in the way that autistic boys and girls communicate verbally are not yet well understood. Closely analyzing boys’ and girls’ socially-focused language during semi-structured clinical assessments could shed light on potential sex differences in the behavioral presen‑tation of autistic individuals that may prove useful for identifying and effectively supporting autistic girls. Here, we compare social word use in verbally fluent autistic girls and boys during the interview sections of the ADOS-2 Module 3 and measure associations with clinical phenotype. Methods:  School-aged girls and boys with autism (N = 101, 25 females; aged 6–15) were matched on age, IQ, and parent/clinician ratings of autism symptom severity. Our primary analysis compared the number of social words produced by autistic boys and girls (normalized to account for differences in total word production). Social words are words that make reference to other people, including friends and family. Results:  There was a significant main effect of sex on social word production, such that autistic girls used more social words than autistic boys. To identify the specific types of words driving this effect, additional subcategories of friend and family words were analyzed. There was a significant effect of sex on friend words, with girls using significantly more friend words than boys. However, there was no significant main effect of sex on family words, suggesting that sex differences in social word production may be driven by girls talking more about friends compared to boys, not family. To assess relationships between word use and clinical phenotype, we modeled ADOS-2 Social Affect (SA) scores as a function of social word production. In the overall sample, social word use correlated significantly with ADOS-2 SA scores, indicating that participants who used more social words were rated as less socially impaired by clinicians. However, when examined in each sex separately, this result only held for boys.","container-title":"Molecular Autism","DOI":"10.1186/s13229-021-00483-1","ISSN":"2040-2392","issue":"1","journalAbbreviation":"Molecular Autism","language":"en","page":"5","source":"DOI.org (Crossref)","title":"Friend matters: sex differences in social language during autism diagnostic interviews","title-short":"Friend matters","volume":"13","author":[{"family":"Cola","given":"Meredith"},{"family":"Yankowitz","given":"Lisa D."},{"family":"Tena","given":"Kimberly"},{"family":"Russell","given":"Alison"},{"family":"Bateman","given":"Leila"},{"family":"Knox","given":"Azia"},{"family":"Plate","given":"Samantha"},{"family":"Cubit","given":"Laura S."},{"family":"Zampella","given":"Casey J."},{"family":"Pandey","given":"Juhi"},{"family":"Schultz","given":"Robert T."},{"family":"Parish-Morris","given":"Julia"}],"issued":{"date-parts":[["2022",12]]}}},{"id":709,"uris":["http://zotero.org/users/5371895/items/LSAWZDIV"],"itemData":{"id":709,"type":"article-journal","abstract":"Background: Autism spectrum disorder (ASD) is diagnosed more frequently in boys than girls, even when girls are equally symptomatic. Cutting-edge behavioral imaging has detected “camouflaging” in girls with ASD, wherein social behaviors appear superficially typical, complicating diagnosis. The present study explores a new kind of camouflage based on language differences. Pauses during conversation can be filled with words like UM or UH, but research suggests that these two words are pragmatically distinct (e.g., UM is used to signal longer pauses, and may correlate with greater social communicative sophistication than UH). Large-scale research suggests that women and younger people produce higher rates of UM during conversational pauses than do men and older people, who produce relatively more UH. Although it has been argued that children and adolescents with ASD use UM less often than typical peers, prior research has not included sufficient numbers of girls to examine whether sex explains this effect. Here, we explore UM vs. UH in school-aged boys and girls with ASD, and ask whether filled pauses relate to dimensional measures of autism symptom severity.\nMethods: Sixty-five verbal school-aged participants with ASD (49 boys, 16 girls, IQ estimates in the average range) participated, along with a small comparison group of typically developing children (8 boys, 9 girls). Speech samples from the Autism Diagnostic Observation Schedule were orthographically transcribed and time-aligned, with filled pauses marked. Parents completed the Social Communication Questionnaire and the Vineland Adaptive Behavior Scales.\nResults: Girls used UH less often than boys across both diagnostic groups. UH suppression resulted in higher UM ratios for girls than boys, and overall filled pause rates were higher for typical children than for children with ASD. Higher UM ratios correlated with better socialization in boys with ASD, but this effect was driven by increased use of UH by boys with greater symptoms.\nConclusions: Pragmatic language markers distinguish girls and boys with ASD, mirroring sex differences in the general population. One implication of this finding is that typical-sounding disfluency patterns (i.e., reduced relative UH production leading to higher UM ratios) may normalize the way girls with ASD sound relative to other children, serving as “linguistic camouflage” for a naïve listener and distinguishing them from boys with ASD. This first-of-its-kind study highlights the importance of continued commitment to understanding how sex and gender change the way that ASD manifests, and illustrates the potential of natural language to contribute to objective “behavioral imaging” diagnostics for ASD.","container-title":"Molecular Autism","DOI":"10.1186/s13229-017-0164-6","ISSN":"2040-2392","issue":"1","journalAbbreviation":"Molecular Autism","language":"en","page":"48","source":"DOI.org (Crossref)","title":"Linguistic camouflage in girls with autism spectrum disorder","volume":"8","author":[{"family":"Parish-Morris","given":"Julia"},{"family":"Liberman","given":"Mark Y."},{"family":"Cieri","given":"Christopher"},{"family":"Herrington","given":"John D."},{"family":"Yerys","given":"Benjamin E."},{"family":"Bateman","given":"Leila"},{"family":"Donaher","given":"Joseph"},{"family":"Ferguson","given":"Emily"},{"family":"Pandey","given":"Juhi"},{"family":"Schultz","given":"Robert T."}],"issued":{"date-parts":[["2017",12]]}}}],"schema":"https://github.com/citation-style-language/schema/raw/master/csl-citation.json"} </w:instrText>
      </w:r>
      <w:r w:rsidRPr="009833D1">
        <w:fldChar w:fldCharType="separate"/>
      </w:r>
      <w:r w:rsidRPr="009833D1">
        <w:t>(</w:t>
      </w:r>
      <w:proofErr w:type="spellStart"/>
      <w:r w:rsidRPr="009833D1">
        <w:t>Boorse</w:t>
      </w:r>
      <w:proofErr w:type="spellEnd"/>
      <w:r w:rsidRPr="009833D1">
        <w:t xml:space="preserve"> et al., 2019; Cola et al., 2022; Parish-Morris et al., 2017)</w:t>
      </w:r>
      <w:r w:rsidRPr="009833D1">
        <w:fldChar w:fldCharType="end"/>
      </w:r>
      <w:r>
        <w:t xml:space="preserve">. </w:t>
      </w:r>
      <w:r>
        <w:rPr>
          <w:rFonts w:eastAsia="Times New Roman"/>
        </w:rPr>
        <w:t>The a</w:t>
      </w:r>
      <w:r w:rsidRPr="00496911">
        <w:rPr>
          <w:rFonts w:eastAsia="Times New Roman"/>
        </w:rPr>
        <w:t>nnotators trained on a modified Quick Transcription protocol for</w:t>
      </w:r>
      <w:r>
        <w:rPr>
          <w:rFonts w:eastAsia="Times New Roman"/>
        </w:rPr>
        <w:t xml:space="preserve"> the</w:t>
      </w:r>
      <w:r w:rsidRPr="00496911">
        <w:rPr>
          <w:rFonts w:eastAsia="Times New Roman"/>
        </w:rPr>
        <w:t xml:space="preserve"> </w:t>
      </w:r>
      <w:proofErr w:type="spellStart"/>
      <w:r w:rsidRPr="00496911">
        <w:rPr>
          <w:rFonts w:eastAsia="Times New Roman"/>
        </w:rPr>
        <w:t>XTrans</w:t>
      </w:r>
      <w:proofErr w:type="spellEnd"/>
      <w:r w:rsidRPr="00496911">
        <w:rPr>
          <w:rFonts w:eastAsia="Times New Roman"/>
        </w:rPr>
        <w:t xml:space="preserve"> software </w:t>
      </w:r>
      <w:r>
        <w:t>(</w:t>
      </w:r>
      <w:r w:rsidRPr="00420B53">
        <w:t>Kimball</w:t>
      </w:r>
      <w:r>
        <w:t xml:space="preserve"> et al., 2004; Linguistic Data Consortium, 2018)</w:t>
      </w:r>
      <w:r>
        <w:rPr>
          <w:rFonts w:eastAsia="Times New Roman"/>
        </w:rPr>
        <w:t>. All annotators</w:t>
      </w:r>
      <w:r w:rsidRPr="00496911">
        <w:rPr>
          <w:rFonts w:eastAsia="Times New Roman"/>
        </w:rPr>
        <w:t xml:space="preserve"> </w:t>
      </w:r>
      <w:r>
        <w:rPr>
          <w:rFonts w:eastAsia="Times New Roman"/>
        </w:rPr>
        <w:t>were</w:t>
      </w:r>
      <w:r w:rsidRPr="00496911">
        <w:rPr>
          <w:rFonts w:eastAsia="Times New Roman"/>
        </w:rPr>
        <w:t xml:space="preserve"> trained on segmenting and transcription</w:t>
      </w:r>
      <w:r>
        <w:rPr>
          <w:rFonts w:eastAsia="Times New Roman"/>
        </w:rPr>
        <w:t xml:space="preserve"> processes. Standard lab processes required annotators to achieve </w:t>
      </w:r>
      <w:r w:rsidRPr="00496911">
        <w:rPr>
          <w:rFonts w:eastAsia="Times New Roman"/>
        </w:rPr>
        <w:t>a minimum</w:t>
      </w:r>
      <w:r>
        <w:rPr>
          <w:rFonts w:eastAsia="Times New Roman"/>
        </w:rPr>
        <w:t xml:space="preserve"> of</w:t>
      </w:r>
      <w:r w:rsidRPr="00496911">
        <w:rPr>
          <w:rFonts w:eastAsia="Times New Roman"/>
        </w:rPr>
        <w:t xml:space="preserve"> 92% word-level reliability that </w:t>
      </w:r>
      <w:r>
        <w:rPr>
          <w:rFonts w:eastAsia="Times New Roman"/>
        </w:rPr>
        <w:t>had to</w:t>
      </w:r>
      <w:r w:rsidRPr="00496911">
        <w:rPr>
          <w:rFonts w:eastAsia="Times New Roman"/>
        </w:rPr>
        <w:t xml:space="preserve"> be met consistently </w:t>
      </w:r>
      <w:r>
        <w:rPr>
          <w:rFonts w:eastAsia="Times New Roman"/>
        </w:rPr>
        <w:t xml:space="preserve">to qualify for </w:t>
      </w:r>
      <w:r w:rsidRPr="00496911">
        <w:rPr>
          <w:rFonts w:eastAsia="Times New Roman"/>
        </w:rPr>
        <w:t>transcrib</w:t>
      </w:r>
      <w:r>
        <w:rPr>
          <w:rFonts w:eastAsia="Times New Roman"/>
        </w:rPr>
        <w:t>ing new files</w:t>
      </w:r>
      <w:r w:rsidRPr="00496911">
        <w:rPr>
          <w:rFonts w:eastAsia="Times New Roman"/>
        </w:rPr>
        <w:t xml:space="preserve"> </w:t>
      </w:r>
      <w:r w:rsidRPr="00496911">
        <w:t>(Parish-Morris et al., 2016)</w:t>
      </w:r>
      <w:r w:rsidRPr="00496911">
        <w:rPr>
          <w:rFonts w:eastAsia="Times New Roman"/>
        </w:rPr>
        <w:t xml:space="preserve">. All annotators </w:t>
      </w:r>
      <w:r>
        <w:rPr>
          <w:rFonts w:eastAsia="Times New Roman"/>
        </w:rPr>
        <w:t>were</w:t>
      </w:r>
      <w:r w:rsidRPr="00496911">
        <w:rPr>
          <w:rFonts w:eastAsia="Times New Roman"/>
        </w:rPr>
        <w:t xml:space="preserve"> trained on transcription using a standardized process that include</w:t>
      </w:r>
      <w:r>
        <w:rPr>
          <w:rFonts w:eastAsia="Times New Roman"/>
        </w:rPr>
        <w:t>d</w:t>
      </w:r>
      <w:r w:rsidRPr="00496911">
        <w:rPr>
          <w:rFonts w:eastAsia="Times New Roman"/>
        </w:rPr>
        <w:t xml:space="preserve"> multiple opportunities to receive feedback on transcription from the supervising research assistant.</w:t>
      </w:r>
      <w:r>
        <w:rPr>
          <w:rFonts w:eastAsia="Times New Roman"/>
        </w:rPr>
        <w:t xml:space="preserve"> Standard lab procedures required that f</w:t>
      </w:r>
      <w:r w:rsidRPr="00A02209">
        <w:rPr>
          <w:rFonts w:eastAsia="Times New Roman"/>
        </w:rPr>
        <w:t>inal transcripts c</w:t>
      </w:r>
      <w:r>
        <w:rPr>
          <w:rFonts w:eastAsia="Times New Roman"/>
        </w:rPr>
        <w:t>ould</w:t>
      </w:r>
      <w:r w:rsidRPr="00A02209">
        <w:rPr>
          <w:rFonts w:eastAsia="Times New Roman"/>
        </w:rPr>
        <w:t xml:space="preserve"> only be checked and approved by senior annotators who possess</w:t>
      </w:r>
      <w:r>
        <w:rPr>
          <w:rFonts w:eastAsia="Times New Roman"/>
        </w:rPr>
        <w:t>ed</w:t>
      </w:r>
      <w:r w:rsidRPr="00A02209">
        <w:rPr>
          <w:rFonts w:eastAsia="Times New Roman"/>
        </w:rPr>
        <w:t xml:space="preserve"> a minimum of six months of experience in </w:t>
      </w:r>
      <w:proofErr w:type="spellStart"/>
      <w:r w:rsidRPr="00A02209">
        <w:rPr>
          <w:rFonts w:eastAsia="Times New Roman"/>
        </w:rPr>
        <w:t>XTrans</w:t>
      </w:r>
      <w:proofErr w:type="spellEnd"/>
      <w:r w:rsidRPr="00A02209">
        <w:rPr>
          <w:rFonts w:eastAsia="Times New Roman"/>
        </w:rPr>
        <w:t xml:space="preserve"> transcription</w:t>
      </w:r>
      <w:r>
        <w:rPr>
          <w:rFonts w:eastAsia="Times New Roman"/>
        </w:rPr>
        <w:t xml:space="preserve">. </w:t>
      </w:r>
      <w:r w:rsidRPr="00496911">
        <w:rPr>
          <w:rFonts w:eastAsia="Times New Roman"/>
        </w:rPr>
        <w:t xml:space="preserve">As part of </w:t>
      </w:r>
      <w:r>
        <w:rPr>
          <w:rFonts w:eastAsia="Times New Roman"/>
        </w:rPr>
        <w:t xml:space="preserve">the </w:t>
      </w:r>
      <w:r w:rsidRPr="00496911">
        <w:rPr>
          <w:rFonts w:eastAsia="Times New Roman"/>
        </w:rPr>
        <w:t xml:space="preserve">transcription pipeline, </w:t>
      </w:r>
      <w:r>
        <w:rPr>
          <w:rFonts w:eastAsia="Times New Roman"/>
        </w:rPr>
        <w:t>each</w:t>
      </w:r>
      <w:r w:rsidRPr="00E3609D">
        <w:rPr>
          <w:rFonts w:eastAsia="Times New Roman"/>
        </w:rPr>
        <w:t xml:space="preserve"> transcript </w:t>
      </w:r>
      <w:r>
        <w:rPr>
          <w:rFonts w:eastAsia="Times New Roman"/>
        </w:rPr>
        <w:t>was</w:t>
      </w:r>
      <w:r w:rsidRPr="00E3609D">
        <w:rPr>
          <w:rFonts w:eastAsia="Times New Roman"/>
        </w:rPr>
        <w:t xml:space="preserve"> processed by </w:t>
      </w:r>
      <w:r w:rsidRPr="00496911">
        <w:rPr>
          <w:rFonts w:eastAsia="Times New Roman"/>
        </w:rPr>
        <w:t xml:space="preserve">multiple </w:t>
      </w:r>
      <w:r w:rsidRPr="00E3609D">
        <w:rPr>
          <w:rFonts w:eastAsia="Times New Roman"/>
        </w:rPr>
        <w:t>annotators.</w:t>
      </w:r>
      <w:r>
        <w:rPr>
          <w:rFonts w:eastAsia="Times New Roman"/>
        </w:rPr>
        <w:t xml:space="preserve"> T</w:t>
      </w:r>
      <w:r w:rsidRPr="00496911">
        <w:rPr>
          <w:rFonts w:eastAsia="Times New Roman"/>
        </w:rPr>
        <w:t xml:space="preserve">he </w:t>
      </w:r>
      <w:r>
        <w:rPr>
          <w:rFonts w:eastAsia="Times New Roman"/>
        </w:rPr>
        <w:t>initial</w:t>
      </w:r>
      <w:r w:rsidRPr="00496911">
        <w:rPr>
          <w:rFonts w:eastAsia="Times New Roman"/>
        </w:rPr>
        <w:t xml:space="preserve"> annotator segment</w:t>
      </w:r>
      <w:r>
        <w:rPr>
          <w:rFonts w:eastAsia="Times New Roman"/>
        </w:rPr>
        <w:t>ed</w:t>
      </w:r>
      <w:r w:rsidRPr="00496911">
        <w:rPr>
          <w:rFonts w:eastAsia="Times New Roman"/>
        </w:rPr>
        <w:t xml:space="preserve"> speech streams into pause groups (generally 6</w:t>
      </w:r>
      <w:r>
        <w:rPr>
          <w:rFonts w:eastAsia="Times New Roman"/>
        </w:rPr>
        <w:t>–</w:t>
      </w:r>
      <w:r w:rsidRPr="00496911">
        <w:rPr>
          <w:rFonts w:eastAsia="Times New Roman"/>
        </w:rPr>
        <w:t>8 seconds long) and label</w:t>
      </w:r>
      <w:r>
        <w:rPr>
          <w:rFonts w:eastAsia="Times New Roman"/>
        </w:rPr>
        <w:t>ed</w:t>
      </w:r>
      <w:r w:rsidRPr="00496911">
        <w:rPr>
          <w:rFonts w:eastAsia="Times New Roman"/>
        </w:rPr>
        <w:t xml:space="preserve"> each segment </w:t>
      </w:r>
      <w:r>
        <w:rPr>
          <w:rFonts w:eastAsia="Times New Roman"/>
        </w:rPr>
        <w:t xml:space="preserve">by speaker </w:t>
      </w:r>
      <w:r w:rsidRPr="00496911">
        <w:rPr>
          <w:rFonts w:eastAsia="Times New Roman"/>
        </w:rPr>
        <w:t xml:space="preserve">as coming from either the participant or the </w:t>
      </w:r>
      <w:r>
        <w:rPr>
          <w:rFonts w:eastAsia="Times New Roman"/>
        </w:rPr>
        <w:t>examiner</w:t>
      </w:r>
      <w:r w:rsidRPr="00496911">
        <w:rPr>
          <w:rFonts w:eastAsia="Times New Roman"/>
        </w:rPr>
        <w:t>; the second and third annotators independently transcribe</w:t>
      </w:r>
      <w:r>
        <w:rPr>
          <w:rFonts w:eastAsia="Times New Roman"/>
        </w:rPr>
        <w:t>d</w:t>
      </w:r>
      <w:r w:rsidRPr="00496911">
        <w:rPr>
          <w:rFonts w:eastAsia="Times New Roman"/>
        </w:rPr>
        <w:t xml:space="preserve"> words and sounds produced by speakers</w:t>
      </w:r>
      <w:r>
        <w:rPr>
          <w:rFonts w:eastAsia="Times New Roman"/>
        </w:rPr>
        <w:t xml:space="preserve"> </w:t>
      </w:r>
      <w:r>
        <w:rPr>
          <w:rFonts w:eastAsia="Times New Roman"/>
          <w:noProof/>
        </w:rPr>
        <w:t>(Cola et al., 2022; Parish-Morris et al., 2016)</w:t>
      </w:r>
      <w:r w:rsidRPr="00496911">
        <w:rPr>
          <w:rFonts w:eastAsia="Times New Roman"/>
        </w:rPr>
        <w:t xml:space="preserve">. </w:t>
      </w:r>
      <w:r w:rsidRPr="00E3609D">
        <w:rPr>
          <w:rFonts w:eastAsia="Times New Roman"/>
        </w:rPr>
        <w:t xml:space="preserve">Subsequently, internal scripts in R and Python </w:t>
      </w:r>
      <w:r>
        <w:rPr>
          <w:rFonts w:eastAsia="Times New Roman"/>
        </w:rPr>
        <w:t>were</w:t>
      </w:r>
      <w:r w:rsidRPr="00E3609D">
        <w:rPr>
          <w:rFonts w:eastAsia="Times New Roman"/>
        </w:rPr>
        <w:t xml:space="preserve"> executed to generate a </w:t>
      </w:r>
      <w:r>
        <w:rPr>
          <w:rFonts w:eastAsia="Times New Roman"/>
        </w:rPr>
        <w:t>“</w:t>
      </w:r>
      <w:r w:rsidRPr="00E3609D">
        <w:rPr>
          <w:rFonts w:eastAsia="Times New Roman"/>
        </w:rPr>
        <w:t>differences file,</w:t>
      </w:r>
      <w:r>
        <w:rPr>
          <w:rFonts w:eastAsia="Times New Roman"/>
        </w:rPr>
        <w:t>”</w:t>
      </w:r>
      <w:r w:rsidRPr="00E3609D">
        <w:rPr>
          <w:rFonts w:eastAsia="Times New Roman"/>
        </w:rPr>
        <w:t xml:space="preserve"> which </w:t>
      </w:r>
      <w:r>
        <w:rPr>
          <w:rFonts w:eastAsia="Times New Roman"/>
        </w:rPr>
        <w:t>detected</w:t>
      </w:r>
      <w:r w:rsidRPr="00E3609D">
        <w:rPr>
          <w:rFonts w:eastAsia="Times New Roman"/>
        </w:rPr>
        <w:t xml:space="preserve"> any sections with transcription inconsistencies.</w:t>
      </w:r>
      <w:r>
        <w:rPr>
          <w:rFonts w:eastAsia="Times New Roman"/>
        </w:rPr>
        <w:t xml:space="preserve"> </w:t>
      </w:r>
      <w:r w:rsidRPr="00E3609D">
        <w:rPr>
          <w:rFonts w:eastAsia="Times New Roman"/>
        </w:rPr>
        <w:t>Two independent annotators transcribe</w:t>
      </w:r>
      <w:r>
        <w:rPr>
          <w:rFonts w:eastAsia="Times New Roman"/>
        </w:rPr>
        <w:t>d</w:t>
      </w:r>
      <w:r w:rsidRPr="00E3609D">
        <w:rPr>
          <w:rFonts w:eastAsia="Times New Roman"/>
        </w:rPr>
        <w:t xml:space="preserve"> </w:t>
      </w:r>
      <w:r>
        <w:rPr>
          <w:rFonts w:eastAsia="Times New Roman"/>
        </w:rPr>
        <w:t>each</w:t>
      </w:r>
      <w:r w:rsidRPr="00E3609D">
        <w:rPr>
          <w:rFonts w:eastAsia="Times New Roman"/>
        </w:rPr>
        <w:t xml:space="preserve"> file, and a pre-adjudication word-level agreement of more than 90% </w:t>
      </w:r>
      <w:r>
        <w:rPr>
          <w:rFonts w:eastAsia="Times New Roman"/>
        </w:rPr>
        <w:t>wa</w:t>
      </w:r>
      <w:r w:rsidRPr="00E3609D">
        <w:rPr>
          <w:rFonts w:eastAsia="Times New Roman"/>
        </w:rPr>
        <w:t>s mandatory.</w:t>
      </w:r>
      <w:r>
        <w:rPr>
          <w:rFonts w:eastAsia="Times New Roman"/>
        </w:rPr>
        <w:t xml:space="preserve"> Lastly</w:t>
      </w:r>
      <w:r w:rsidRPr="00496911">
        <w:rPr>
          <w:rFonts w:eastAsia="Times New Roman"/>
        </w:rPr>
        <w:t>, a senior annotator review</w:t>
      </w:r>
      <w:r>
        <w:rPr>
          <w:rFonts w:eastAsia="Times New Roman"/>
        </w:rPr>
        <w:t>ed</w:t>
      </w:r>
      <w:r w:rsidRPr="00496911">
        <w:rPr>
          <w:rFonts w:eastAsia="Times New Roman"/>
        </w:rPr>
        <w:t xml:space="preserve"> the differences file and adjudicate</w:t>
      </w:r>
      <w:r>
        <w:rPr>
          <w:rFonts w:eastAsia="Times New Roman"/>
        </w:rPr>
        <w:t>d</w:t>
      </w:r>
      <w:r w:rsidRPr="00496911">
        <w:rPr>
          <w:rFonts w:eastAsia="Times New Roman"/>
        </w:rPr>
        <w:t xml:space="preserve"> any </w:t>
      </w:r>
      <w:r>
        <w:rPr>
          <w:rFonts w:eastAsia="Times New Roman"/>
        </w:rPr>
        <w:t>inconsistencies</w:t>
      </w:r>
      <w:r w:rsidRPr="00496911">
        <w:rPr>
          <w:rFonts w:eastAsia="Times New Roman"/>
        </w:rPr>
        <w:t xml:space="preserve"> to </w:t>
      </w:r>
      <w:r>
        <w:rPr>
          <w:rFonts w:eastAsia="Times New Roman"/>
        </w:rPr>
        <w:t>create</w:t>
      </w:r>
      <w:r w:rsidRPr="00496911">
        <w:rPr>
          <w:rFonts w:eastAsia="Times New Roman"/>
        </w:rPr>
        <w:t xml:space="preserve"> the final transcript. After the</w:t>
      </w:r>
      <w:r>
        <w:rPr>
          <w:rFonts w:eastAsia="Times New Roman"/>
        </w:rPr>
        <w:t xml:space="preserve"> transcription</w:t>
      </w:r>
      <w:r w:rsidRPr="00496911">
        <w:rPr>
          <w:rFonts w:eastAsia="Times New Roman"/>
        </w:rPr>
        <w:t xml:space="preserve"> process </w:t>
      </w:r>
      <w:r>
        <w:rPr>
          <w:rFonts w:eastAsia="Times New Roman"/>
        </w:rPr>
        <w:t>was</w:t>
      </w:r>
      <w:r w:rsidRPr="00496911">
        <w:rPr>
          <w:rFonts w:eastAsia="Times New Roman"/>
        </w:rPr>
        <w:t xml:space="preserve"> completed, the files </w:t>
      </w:r>
      <w:r>
        <w:rPr>
          <w:rFonts w:eastAsia="Times New Roman"/>
        </w:rPr>
        <w:t>were</w:t>
      </w:r>
      <w:r w:rsidRPr="00496911">
        <w:rPr>
          <w:rFonts w:eastAsia="Times New Roman"/>
        </w:rPr>
        <w:t xml:space="preserve"> converted to basic text </w:t>
      </w:r>
      <w:r w:rsidRPr="00496911">
        <w:rPr>
          <w:rFonts w:eastAsia="Times New Roman"/>
        </w:rPr>
        <w:lastRenderedPageBreak/>
        <w:t xml:space="preserve">format, imported into R, and processed for analysis using the </w:t>
      </w:r>
      <w:proofErr w:type="spellStart"/>
      <w:r w:rsidRPr="00496911">
        <w:rPr>
          <w:rFonts w:eastAsia="Times New Roman"/>
        </w:rPr>
        <w:t>qdap</w:t>
      </w:r>
      <w:proofErr w:type="spellEnd"/>
      <w:r w:rsidRPr="00496911">
        <w:rPr>
          <w:rFonts w:eastAsia="Times New Roman"/>
        </w:rPr>
        <w:t xml:space="preserve"> package </w:t>
      </w:r>
      <w:r w:rsidRPr="00496911">
        <w:rPr>
          <w:rFonts w:eastAsia="Times New Roman"/>
          <w:noProof/>
        </w:rPr>
        <w:t>(Rinker, 2018)</w:t>
      </w:r>
      <w:r w:rsidRPr="00496911">
        <w:rPr>
          <w:rFonts w:eastAsia="Times New Roman"/>
        </w:rPr>
        <w:t xml:space="preserve">. </w:t>
      </w:r>
      <w:r w:rsidRPr="00E3609D">
        <w:rPr>
          <w:rFonts w:eastAsia="Times New Roman"/>
        </w:rPr>
        <w:t xml:space="preserve">This package is </w:t>
      </w:r>
      <w:r>
        <w:rPr>
          <w:rFonts w:eastAsia="Times New Roman"/>
        </w:rPr>
        <w:t xml:space="preserve">designed </w:t>
      </w:r>
      <w:r w:rsidRPr="00E3609D">
        <w:rPr>
          <w:rFonts w:eastAsia="Times New Roman"/>
        </w:rPr>
        <w:t xml:space="preserve">to </w:t>
      </w:r>
      <w:r>
        <w:rPr>
          <w:rFonts w:eastAsia="Times New Roman"/>
        </w:rPr>
        <w:t>aid</w:t>
      </w:r>
      <w:r w:rsidRPr="00E3609D">
        <w:rPr>
          <w:rFonts w:eastAsia="Times New Roman"/>
        </w:rPr>
        <w:t xml:space="preserve"> </w:t>
      </w:r>
      <w:r>
        <w:rPr>
          <w:rFonts w:eastAsia="Times New Roman"/>
        </w:rPr>
        <w:t>in</w:t>
      </w:r>
      <w:r w:rsidRPr="00E3609D">
        <w:rPr>
          <w:rFonts w:eastAsia="Times New Roman"/>
        </w:rPr>
        <w:t xml:space="preserve"> quantitative discourse analysis, transcript analysis, and natural language processing.</w:t>
      </w:r>
      <w:r>
        <w:rPr>
          <w:rFonts w:eastAsia="Times New Roman"/>
        </w:rPr>
        <w:t xml:space="preserve"> </w:t>
      </w:r>
      <w:r w:rsidRPr="00496911">
        <w:rPr>
          <w:rFonts w:eastAsia="Times New Roman"/>
        </w:rPr>
        <w:t xml:space="preserve">Text files </w:t>
      </w:r>
      <w:r>
        <w:rPr>
          <w:rFonts w:eastAsia="Times New Roman"/>
        </w:rPr>
        <w:t>were then</w:t>
      </w:r>
      <w:r w:rsidRPr="00496911">
        <w:rPr>
          <w:rFonts w:eastAsia="Times New Roman"/>
        </w:rPr>
        <w:t xml:space="preserve"> fed into LIW</w:t>
      </w:r>
      <w:r>
        <w:rPr>
          <w:rFonts w:eastAsia="Times New Roman"/>
        </w:rPr>
        <w:t>C-22</w:t>
      </w:r>
      <w:r w:rsidRPr="00496911">
        <w:rPr>
          <w:rFonts w:eastAsia="Times New Roman"/>
        </w:rPr>
        <w:t xml:space="preserve"> </w:t>
      </w:r>
      <w:r>
        <w:rPr>
          <w:rFonts w:eastAsia="Times New Roman"/>
        </w:rPr>
        <w:t xml:space="preserve">(Linguistic Inquiry &amp; Word Count) </w:t>
      </w:r>
      <w:r w:rsidRPr="00496911">
        <w:rPr>
          <w:rFonts w:eastAsia="Times New Roman"/>
        </w:rPr>
        <w:t xml:space="preserve">software </w:t>
      </w:r>
      <w:r>
        <w:rPr>
          <w:rFonts w:eastAsia="Times New Roman"/>
          <w:noProof/>
        </w:rPr>
        <w:t>(Boyd et al., 2022)</w:t>
      </w:r>
      <w:r>
        <w:rPr>
          <w:rFonts w:eastAsia="Times New Roman"/>
        </w:rPr>
        <w:t>. LIWC-22</w:t>
      </w:r>
      <w:r w:rsidRPr="00496911">
        <w:rPr>
          <w:rFonts w:eastAsia="Times New Roman"/>
        </w:rPr>
        <w:t xml:space="preserve"> is a computerized language analysis program that calculates the </w:t>
      </w:r>
      <w:r>
        <w:rPr>
          <w:rFonts w:eastAsia="Times New Roman"/>
        </w:rPr>
        <w:t>total</w:t>
      </w:r>
      <w:r w:rsidRPr="00496911">
        <w:rPr>
          <w:rFonts w:eastAsia="Times New Roman"/>
        </w:rPr>
        <w:t xml:space="preserve"> number of words </w:t>
      </w:r>
      <w:r>
        <w:rPr>
          <w:rFonts w:eastAsia="Times New Roman"/>
        </w:rPr>
        <w:t>a speaker uses</w:t>
      </w:r>
      <w:r w:rsidRPr="00496911">
        <w:rPr>
          <w:rFonts w:eastAsia="Times New Roman"/>
        </w:rPr>
        <w:t xml:space="preserve">, </w:t>
      </w:r>
      <w:r>
        <w:rPr>
          <w:rFonts w:eastAsia="Times New Roman"/>
        </w:rPr>
        <w:t>and the</w:t>
      </w:r>
      <w:r w:rsidRPr="00496911">
        <w:rPr>
          <w:rFonts w:eastAsia="Times New Roman"/>
        </w:rPr>
        <w:t xml:space="preserve"> </w:t>
      </w:r>
      <w:r>
        <w:rPr>
          <w:rFonts w:eastAsia="Times New Roman"/>
        </w:rPr>
        <w:t>number</w:t>
      </w:r>
      <w:r w:rsidRPr="00496911">
        <w:rPr>
          <w:rFonts w:eastAsia="Times New Roman"/>
        </w:rPr>
        <w:t xml:space="preserve"> of social category words</w:t>
      </w:r>
      <w:r>
        <w:rPr>
          <w:rFonts w:eastAsia="Times New Roman"/>
        </w:rPr>
        <w:t>.</w:t>
      </w:r>
    </w:p>
    <w:p w14:paraId="7E773DAC" w14:textId="282A3834" w:rsidR="009833D1" w:rsidRPr="009833D1" w:rsidRDefault="009833D1" w:rsidP="009833D1">
      <w:pPr>
        <w:spacing w:line="480" w:lineRule="auto"/>
        <w:rPr>
          <w:i/>
          <w:iCs/>
        </w:rPr>
      </w:pPr>
    </w:p>
    <w:p w14:paraId="48B31743" w14:textId="77777777" w:rsidR="00BD5DCA" w:rsidRPr="00BD5DCA" w:rsidRDefault="00BD5DCA" w:rsidP="00BD5DCA">
      <w:pPr>
        <w:spacing w:line="480" w:lineRule="auto"/>
      </w:pPr>
    </w:p>
    <w:sectPr w:rsidR="00BD5DCA" w:rsidRPr="00BD5DC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1DAAFA" w14:textId="77777777" w:rsidR="002005E5" w:rsidRDefault="002005E5" w:rsidP="009833D1">
      <w:r>
        <w:separator/>
      </w:r>
    </w:p>
  </w:endnote>
  <w:endnote w:type="continuationSeparator" w:id="0">
    <w:p w14:paraId="1A121484" w14:textId="77777777" w:rsidR="002005E5" w:rsidRDefault="002005E5" w:rsidP="009833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F1B7E3" w14:textId="77777777" w:rsidR="002005E5" w:rsidRDefault="002005E5" w:rsidP="009833D1">
      <w:r>
        <w:separator/>
      </w:r>
    </w:p>
  </w:footnote>
  <w:footnote w:type="continuationSeparator" w:id="0">
    <w:p w14:paraId="793C2AEC" w14:textId="77777777" w:rsidR="002005E5" w:rsidRDefault="002005E5" w:rsidP="009833D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3"/>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DCA"/>
    <w:rsid w:val="00144EAB"/>
    <w:rsid w:val="002005E5"/>
    <w:rsid w:val="0061039C"/>
    <w:rsid w:val="006D2AB4"/>
    <w:rsid w:val="008174ED"/>
    <w:rsid w:val="00865306"/>
    <w:rsid w:val="009833D1"/>
    <w:rsid w:val="00BD5DCA"/>
    <w:rsid w:val="00F238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5A9A0D7"/>
  <w15:chartTrackingRefBased/>
  <w15:docId w15:val="{034B8FDF-F973-0E46-BEBF-92C27EFC2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bCs/>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5D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5D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5DC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5DC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D5DCA"/>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D5DCA"/>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D5DCA"/>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D5DCA"/>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D5DCA"/>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5D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5D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5DCA"/>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5DCA"/>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D5DCA"/>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D5DC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D5DC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D5DC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D5DC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D5DC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5D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5DC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5DC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D5DC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D5DCA"/>
    <w:rPr>
      <w:i/>
      <w:iCs/>
      <w:color w:val="404040" w:themeColor="text1" w:themeTint="BF"/>
    </w:rPr>
  </w:style>
  <w:style w:type="paragraph" w:styleId="ListParagraph">
    <w:name w:val="List Paragraph"/>
    <w:basedOn w:val="Normal"/>
    <w:uiPriority w:val="34"/>
    <w:qFormat/>
    <w:rsid w:val="00BD5DCA"/>
    <w:pPr>
      <w:ind w:left="720"/>
      <w:contextualSpacing/>
    </w:pPr>
  </w:style>
  <w:style w:type="character" w:styleId="IntenseEmphasis">
    <w:name w:val="Intense Emphasis"/>
    <w:basedOn w:val="DefaultParagraphFont"/>
    <w:uiPriority w:val="21"/>
    <w:qFormat/>
    <w:rsid w:val="00BD5DCA"/>
    <w:rPr>
      <w:i/>
      <w:iCs/>
      <w:color w:val="0F4761" w:themeColor="accent1" w:themeShade="BF"/>
    </w:rPr>
  </w:style>
  <w:style w:type="paragraph" w:styleId="IntenseQuote">
    <w:name w:val="Intense Quote"/>
    <w:basedOn w:val="Normal"/>
    <w:next w:val="Normal"/>
    <w:link w:val="IntenseQuoteChar"/>
    <w:uiPriority w:val="30"/>
    <w:qFormat/>
    <w:rsid w:val="00BD5D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5DCA"/>
    <w:rPr>
      <w:i/>
      <w:iCs/>
      <w:color w:val="0F4761" w:themeColor="accent1" w:themeShade="BF"/>
    </w:rPr>
  </w:style>
  <w:style w:type="character" w:styleId="IntenseReference">
    <w:name w:val="Intense Reference"/>
    <w:basedOn w:val="DefaultParagraphFont"/>
    <w:uiPriority w:val="32"/>
    <w:qFormat/>
    <w:rsid w:val="00BD5DCA"/>
    <w:rPr>
      <w:b/>
      <w:bCs w:val="0"/>
      <w:smallCaps/>
      <w:color w:val="0F4761" w:themeColor="accent1" w:themeShade="BF"/>
      <w:spacing w:val="5"/>
    </w:rPr>
  </w:style>
  <w:style w:type="paragraph" w:styleId="Header">
    <w:name w:val="header"/>
    <w:basedOn w:val="Normal"/>
    <w:link w:val="HeaderChar"/>
    <w:uiPriority w:val="99"/>
    <w:unhideWhenUsed/>
    <w:rsid w:val="009833D1"/>
    <w:pPr>
      <w:tabs>
        <w:tab w:val="center" w:pos="4680"/>
        <w:tab w:val="right" w:pos="9360"/>
      </w:tabs>
    </w:pPr>
  </w:style>
  <w:style w:type="character" w:customStyle="1" w:styleId="HeaderChar">
    <w:name w:val="Header Char"/>
    <w:basedOn w:val="DefaultParagraphFont"/>
    <w:link w:val="Header"/>
    <w:uiPriority w:val="99"/>
    <w:rsid w:val="009833D1"/>
  </w:style>
  <w:style w:type="paragraph" w:styleId="Footer">
    <w:name w:val="footer"/>
    <w:basedOn w:val="Normal"/>
    <w:link w:val="FooterChar"/>
    <w:uiPriority w:val="99"/>
    <w:unhideWhenUsed/>
    <w:rsid w:val="009833D1"/>
    <w:pPr>
      <w:tabs>
        <w:tab w:val="center" w:pos="4680"/>
        <w:tab w:val="right" w:pos="9360"/>
      </w:tabs>
    </w:pPr>
  </w:style>
  <w:style w:type="character" w:customStyle="1" w:styleId="FooterChar">
    <w:name w:val="Footer Char"/>
    <w:basedOn w:val="DefaultParagraphFont"/>
    <w:link w:val="Footer"/>
    <w:uiPriority w:val="99"/>
    <w:rsid w:val="009833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2036</Words>
  <Characters>11607</Characters>
  <Application>Microsoft Office Word</Application>
  <DocSecurity>0</DocSecurity>
  <Lines>96</Lines>
  <Paragraphs>27</Paragraphs>
  <ScaleCrop>false</ScaleCrop>
  <Company/>
  <LinksUpToDate>false</LinksUpToDate>
  <CharactersWithSpaces>13616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Cola, Meredith L</dc:creator>
  <cp:keywords/>
  <dc:description/>
  <cp:lastModifiedBy>Cola, Meredith L</cp:lastModifiedBy>
  <cp:revision>2</cp:revision>
  <dcterms:created xsi:type="dcterms:W3CDTF">2025-08-19T15:58:00Z</dcterms:created>
  <dcterms:modified xsi:type="dcterms:W3CDTF">2025-08-19T16:06:00Z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2c8cef-6f2b-4af1-b4ac-d815ff795cd6_Enabled">
    <vt:lpwstr>true</vt:lpwstr>
  </property>
  <property fmtid="{D5CDD505-2E9C-101B-9397-08002B2CF9AE}" pid="3" name="MSIP_Label_792c8cef-6f2b-4af1-b4ac-d815ff795cd6_SetDate">
    <vt:lpwstr>2025-08-19T15:59:27Z</vt:lpwstr>
  </property>
  <property fmtid="{D5CDD505-2E9C-101B-9397-08002B2CF9AE}" pid="4" name="MSIP_Label_792c8cef-6f2b-4af1-b4ac-d815ff795cd6_Method">
    <vt:lpwstr>Standard</vt:lpwstr>
  </property>
  <property fmtid="{D5CDD505-2E9C-101B-9397-08002B2CF9AE}" pid="5" name="MSIP_Label_792c8cef-6f2b-4af1-b4ac-d815ff795cd6_Name">
    <vt:lpwstr>VUMC General</vt:lpwstr>
  </property>
  <property fmtid="{D5CDD505-2E9C-101B-9397-08002B2CF9AE}" pid="6" name="MSIP_Label_792c8cef-6f2b-4af1-b4ac-d815ff795cd6_SiteId">
    <vt:lpwstr>ef575030-1424-4ed8-b83c-12c533d879ab</vt:lpwstr>
  </property>
  <property fmtid="{D5CDD505-2E9C-101B-9397-08002B2CF9AE}" pid="7" name="MSIP_Label_792c8cef-6f2b-4af1-b4ac-d815ff795cd6_ActionId">
    <vt:lpwstr>4533b602-c456-4211-aa50-d99dc52ae90c</vt:lpwstr>
  </property>
  <property fmtid="{D5CDD505-2E9C-101B-9397-08002B2CF9AE}" pid="8" name="MSIP_Label_792c8cef-6f2b-4af1-b4ac-d815ff795cd6_ContentBits">
    <vt:lpwstr>0</vt:lpwstr>
  </property>
</Properties>
</file>