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CA" w:rsidRPr="00B33285" w:rsidRDefault="00F174CA" w:rsidP="00F174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4FC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1: Runs of Homozygosity in INF61 family case. </w:t>
      </w:r>
      <w:proofErr w:type="spellStart"/>
      <w:r w:rsidRPr="003614FC">
        <w:rPr>
          <w:rFonts w:ascii="Times New Roman" w:hAnsi="Times New Roman" w:cs="Times New Roman"/>
          <w:sz w:val="24"/>
          <w:szCs w:val="24"/>
        </w:rPr>
        <w:t>F_RoH</w:t>
      </w:r>
      <w:proofErr w:type="spellEnd"/>
      <w:r w:rsidRPr="003614FC">
        <w:rPr>
          <w:rFonts w:ascii="Times New Roman" w:hAnsi="Times New Roman" w:cs="Times New Roman"/>
          <w:sz w:val="24"/>
          <w:szCs w:val="24"/>
        </w:rPr>
        <w:t xml:space="preserve"> stands for inbreeding coefficient which indicates the proportion of genetic loci from which the offspring of consanguineous couples may have higher degrees of homozygosity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&lt;EndNote&gt;&lt;Cite&gt;&lt;Author&gt;Sund&lt;/Author&gt;&lt;Year&gt;2013&lt;/Year&gt;&lt;RecNum&gt;72&lt;/RecNum&gt;&lt;DisplayText&gt;(67)&lt;/DisplayText&gt;&lt;record&gt;&lt;rec-number&gt;72&lt;/rec-number&gt;&lt;foreign-keys&gt;&lt;key app="EN" db-id="2tfp9azfpezvwmexvpnxefp7zd5v9vwrvtxx" timestamp="1741973465"&gt;72&lt;/key&gt;&lt;/foreign-keys&gt;&lt;ref-type name="Journal Article"&gt;17&lt;/ref-type&gt;&lt;contributors&gt;&lt;authors&gt;&lt;author&gt;Sund, K. L.&lt;/author&gt;&lt;author&gt;Zimmerman, S. L.&lt;/author&gt;&lt;author&gt;Thomas, C.&lt;/author&gt;&lt;author&gt;Mitchell, A. L.&lt;/author&gt;&lt;author&gt;Prada, C. E.&lt;/author&gt;&lt;author&gt;Grote, L.&lt;/author&gt;&lt;author&gt;Bao, L.&lt;/author&gt;&lt;author&gt;Martin, L. J.&lt;/author&gt;&lt;author&gt;Smolarek, T. A.&lt;/author&gt;&lt;/authors&gt;&lt;/contributors&gt;&lt;auth-address&gt;Division of Human Genetics, Department of Pediatrics, Cincinnati Children&amp;apos;s Hospital Medical Center, Cincinnati, Ohio, USA. Kristen.Sund@cchmc.org&lt;/auth-address&gt;&lt;titles&gt;&lt;title&gt;Regions of homozygosity identified by SNP microarray analysis aid in the diagnosis of autosomal recessive disease and incidentally detect parental blood relationships&lt;/title&gt;&lt;secondary-title&gt;Genet Med&lt;/secondary-title&gt;&lt;/titles&gt;&lt;periodical&gt;&lt;full-title&gt;Genet Med&lt;/full-title&gt;&lt;/periodical&gt;&lt;pages&gt;70-8&lt;/pages&gt;&lt;volume&gt;15&lt;/volume&gt;&lt;number&gt;1&lt;/number&gt;&lt;edition&gt;20120802&lt;/edition&gt;&lt;keywords&gt;&lt;keyword&gt;*Chromosome Mapping&lt;/keyword&gt;&lt;keyword&gt;Chromosomes, Human, X&lt;/keyword&gt;&lt;keyword&gt;Consanguinity&lt;/keyword&gt;&lt;keyword&gt;Female&lt;/keyword&gt;&lt;keyword&gt;*Genes, Recessive&lt;/keyword&gt;&lt;keyword&gt;Genetic Diseases, Inborn/*diagnosis&lt;/keyword&gt;&lt;keyword&gt;*Homozygote&lt;/keyword&gt;&lt;keyword&gt;Humans&lt;/keyword&gt;&lt;keyword&gt;Male&lt;/keyword&gt;&lt;keyword&gt;Medical Records&lt;/keyword&gt;&lt;keyword&gt;Oligonucleotide Array Sequence Analysis&lt;/keyword&gt;&lt;keyword&gt;*Pedigree&lt;/keyword&gt;&lt;keyword&gt;*Polymorphism, Single Nucleotide&lt;/keyword&gt;&lt;keyword&gt;Siblings&lt;/keyword&gt;&lt;/keywords&gt;&lt;dates&gt;&lt;year&gt;2013&lt;/year&gt;&lt;pub-dates&gt;&lt;date&gt;Jan&lt;/date&gt;&lt;/pub-dates&gt;&lt;/dates&gt;&lt;isbn&gt;1098-3600&lt;/isbn&gt;&lt;accession-num&gt;22858719&lt;/accession-num&gt;&lt;urls&gt;&lt;/urls&gt;&lt;electronic-resource-num&gt;10.1038/gim.2012.94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(67)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3614FC">
        <w:rPr>
          <w:rFonts w:ascii="Times New Roman" w:hAnsi="Times New Roman" w:cs="Times New Roman"/>
          <w:sz w:val="24"/>
          <w:szCs w:val="24"/>
        </w:rPr>
        <w:t>. This value is calculated by measuring the length of runs of homozygosity within each chromosome greater than 5 mega bases as divided by the</w:t>
      </w:r>
      <w:r>
        <w:rPr>
          <w:rFonts w:ascii="Times New Roman" w:hAnsi="Times New Roman" w:cs="Times New Roman"/>
          <w:sz w:val="24"/>
          <w:szCs w:val="24"/>
        </w:rPr>
        <w:t xml:space="preserve"> average</w:t>
      </w:r>
      <w:r w:rsidRPr="003614FC">
        <w:rPr>
          <w:rFonts w:ascii="Times New Roman" w:hAnsi="Times New Roman" w:cs="Times New Roman"/>
          <w:sz w:val="24"/>
          <w:szCs w:val="24"/>
        </w:rPr>
        <w:t xml:space="preserve"> total base pairs</w:t>
      </w:r>
      <w:r>
        <w:rPr>
          <w:rFonts w:ascii="Times New Roman" w:hAnsi="Times New Roman" w:cs="Times New Roman"/>
          <w:sz w:val="24"/>
          <w:szCs w:val="24"/>
        </w:rPr>
        <w:t xml:space="preserve"> in the human genome</w:t>
      </w:r>
      <w:r w:rsidRPr="003614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614FC">
        <w:rPr>
          <w:rFonts w:ascii="Times New Roman" w:hAnsi="Times New Roman" w:cs="Times New Roman"/>
          <w:sz w:val="24"/>
          <w:szCs w:val="24"/>
        </w:rPr>
        <w:t>RoH</w:t>
      </w:r>
      <w:proofErr w:type="spellEnd"/>
      <w:r w:rsidRPr="003614FC">
        <w:rPr>
          <w:rFonts w:ascii="Times New Roman" w:hAnsi="Times New Roman" w:cs="Times New Roman"/>
          <w:sz w:val="24"/>
          <w:szCs w:val="24"/>
        </w:rPr>
        <w:t xml:space="preserve">=regions of homozygosity. </w:t>
      </w:r>
      <w:proofErr w:type="spellStart"/>
      <w:r w:rsidRPr="003614FC">
        <w:rPr>
          <w:rFonts w:ascii="Times New Roman" w:hAnsi="Times New Roman" w:cs="Times New Roman"/>
          <w:sz w:val="24"/>
          <w:szCs w:val="24"/>
        </w:rPr>
        <w:t>F_RoH</w:t>
      </w:r>
      <w:proofErr w:type="spellEnd"/>
      <w:r w:rsidRPr="003614FC">
        <w:rPr>
          <w:rFonts w:ascii="Times New Roman" w:hAnsi="Times New Roman" w:cs="Times New Roman"/>
          <w:sz w:val="24"/>
          <w:szCs w:val="24"/>
        </w:rPr>
        <w:t xml:space="preserve"> value greater than 0.0156 indicates closer degree of relationship between parents of offspring and more likely occurrence of homozygous variants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&lt;EndNote&gt;&lt;Cite&gt;&lt;Author&gt;Sund&lt;/Author&gt;&lt;Year&gt;2013&lt;/Year&gt;&lt;RecNum&gt;72&lt;/RecNum&gt;&lt;DisplayText&gt;(67)&lt;/DisplayText&gt;&lt;record&gt;&lt;rec-number&gt;72&lt;/rec-number&gt;&lt;foreign-keys&gt;&lt;key app="EN" db-id="2tfp9azfpezvwmexvpnxefp7zd5v9vwrvtxx" timestamp="1741973465"&gt;72&lt;/key&gt;&lt;/foreign-keys&gt;&lt;ref-type name="Journal Article"&gt;17&lt;/ref-type&gt;&lt;contributors&gt;&lt;authors&gt;&lt;author&gt;Sund, K. L.&lt;/author&gt;&lt;author&gt;Zimmerman, S. L.&lt;/author&gt;&lt;author&gt;Thomas, C.&lt;/author&gt;&lt;author&gt;Mitchell, A. L.&lt;/author&gt;&lt;author&gt;Prada, C. E.&lt;/author&gt;&lt;author&gt;Grote, L.&lt;/author&gt;&lt;author&gt;Bao, L.&lt;/author&gt;&lt;author&gt;Martin, L. J.&lt;/author&gt;&lt;author&gt;Smolarek, T. A.&lt;/author&gt;&lt;/authors&gt;&lt;/contributors&gt;&lt;auth-address&gt;Division of Human Genetics, Department of Pediatrics, Cincinnati Children&amp;apos;s Hospital Medical Center, Cincinnati, Ohio, USA. Kristen.Sund@cchmc.org&lt;/auth-address&gt;&lt;titles&gt;&lt;title&gt;Regions of homozygosity identified by SNP microarray analysis aid in the diagnosis of autosomal recessive disease and incidentally detect parental blood relationships&lt;/title&gt;&lt;secondary-title&gt;Genet Med&lt;/secondary-title&gt;&lt;/titles&gt;&lt;periodical&gt;&lt;full-title&gt;Genet Med&lt;/full-title&gt;&lt;/periodical&gt;&lt;pages&gt;70-8&lt;/pages&gt;&lt;volume&gt;15&lt;/volume&gt;&lt;number&gt;1&lt;/number&gt;&lt;edition&gt;20120802&lt;/edition&gt;&lt;keywords&gt;&lt;keyword&gt;*Chromosome Mapping&lt;/keyword&gt;&lt;keyword&gt;Chromosomes, Human, X&lt;/keyword&gt;&lt;keyword&gt;Consanguinity&lt;/keyword&gt;&lt;keyword&gt;Female&lt;/keyword&gt;&lt;keyword&gt;*Genes, Recessive&lt;/keyword&gt;&lt;keyword&gt;Genetic Diseases, Inborn/*diagnosis&lt;/keyword&gt;&lt;keyword&gt;*Homozygote&lt;/keyword&gt;&lt;keyword&gt;Humans&lt;/keyword&gt;&lt;keyword&gt;Male&lt;/keyword&gt;&lt;keyword&gt;Medical Records&lt;/keyword&gt;&lt;keyword&gt;Oligonucleotide Array Sequence Analysis&lt;/keyword&gt;&lt;keyword&gt;*Pedigree&lt;/keyword&gt;&lt;keyword&gt;*Polymorphism, Single Nucleotide&lt;/keyword&gt;&lt;keyword&gt;Siblings&lt;/keyword&gt;&lt;/keywords&gt;&lt;dates&gt;&lt;year&gt;2013&lt;/year&gt;&lt;pub-dates&gt;&lt;date&gt;Jan&lt;/date&gt;&lt;/pub-dates&gt;&lt;/dates&gt;&lt;isbn&gt;1098-3600&lt;/isbn&gt;&lt;accession-num&gt;22858719&lt;/accession-num&gt;&lt;urls&gt;&lt;/urls&gt;&lt;electronic-resource-num&gt;10.1038/gim.2012.94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(67)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3614FC">
        <w:rPr>
          <w:rFonts w:ascii="Times New Roman" w:hAnsi="Times New Roman" w:cs="Times New Roman"/>
          <w:sz w:val="24"/>
          <w:szCs w:val="24"/>
        </w:rPr>
        <w:t>.</w:t>
      </w:r>
    </w:p>
    <w:p w:rsidR="00867618" w:rsidRDefault="00F174CA"/>
    <w:tbl>
      <w:tblPr>
        <w:tblStyle w:val="TableGrid"/>
        <w:tblpPr w:leftFromText="180" w:rightFromText="180" w:vertAnchor="page" w:horzAnchor="margin" w:tblpY="435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174CA" w:rsidRPr="00644609" w:rsidTr="00AA3289">
        <w:trPr>
          <w:trHeight w:val="478"/>
        </w:trPr>
        <w:tc>
          <w:tcPr>
            <w:tcW w:w="3116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  <w:b/>
                <w:bCs/>
              </w:rPr>
              <w:t>ID</w:t>
            </w:r>
          </w:p>
        </w:tc>
        <w:tc>
          <w:tcPr>
            <w:tcW w:w="3117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proofErr w:type="spellStart"/>
            <w:r w:rsidRPr="00644609">
              <w:rPr>
                <w:rFonts w:ascii="Times New Roman" w:hAnsi="Times New Roman" w:cs="Times New Roman"/>
                <w:b/>
                <w:bCs/>
              </w:rPr>
              <w:t>F_RoH</w:t>
            </w:r>
            <w:proofErr w:type="spellEnd"/>
          </w:p>
        </w:tc>
        <w:tc>
          <w:tcPr>
            <w:tcW w:w="3117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  <w:b/>
                <w:bCs/>
              </w:rPr>
              <w:t>Chromosomes with ROH</w:t>
            </w:r>
          </w:p>
        </w:tc>
      </w:tr>
      <w:tr w:rsidR="00F174CA" w:rsidRPr="00644609" w:rsidTr="00AA3289">
        <w:trPr>
          <w:trHeight w:val="485"/>
        </w:trPr>
        <w:tc>
          <w:tcPr>
            <w:tcW w:w="3116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</w:rPr>
              <w:t>INF61-1</w:t>
            </w:r>
          </w:p>
        </w:tc>
        <w:tc>
          <w:tcPr>
            <w:tcW w:w="3117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</w:rPr>
              <w:t>0.01179</w:t>
            </w:r>
          </w:p>
        </w:tc>
        <w:tc>
          <w:tcPr>
            <w:tcW w:w="3117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</w:rPr>
              <w:t>1, 8, 19</w:t>
            </w:r>
          </w:p>
        </w:tc>
      </w:tr>
      <w:tr w:rsidR="00F174CA" w:rsidRPr="00644609" w:rsidTr="00AA3289">
        <w:trPr>
          <w:trHeight w:val="478"/>
        </w:trPr>
        <w:tc>
          <w:tcPr>
            <w:tcW w:w="3116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</w:rPr>
              <w:t>INF61-2</w:t>
            </w:r>
          </w:p>
        </w:tc>
        <w:tc>
          <w:tcPr>
            <w:tcW w:w="3117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</w:rPr>
              <w:t>0.03562</w:t>
            </w:r>
          </w:p>
        </w:tc>
        <w:tc>
          <w:tcPr>
            <w:tcW w:w="3117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</w:rPr>
              <w:t xml:space="preserve">6, 11, 14, 26, </w:t>
            </w:r>
            <w:r w:rsidRPr="00644609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</w:tr>
      <w:tr w:rsidR="00F174CA" w:rsidRPr="00644609" w:rsidTr="00AA3289">
        <w:trPr>
          <w:trHeight w:val="485"/>
        </w:trPr>
        <w:tc>
          <w:tcPr>
            <w:tcW w:w="3116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</w:rPr>
              <w:t>INF61-3</w:t>
            </w:r>
          </w:p>
        </w:tc>
        <w:tc>
          <w:tcPr>
            <w:tcW w:w="3117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</w:rPr>
              <w:t>0.05099</w:t>
            </w:r>
          </w:p>
        </w:tc>
        <w:tc>
          <w:tcPr>
            <w:tcW w:w="3117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</w:rPr>
              <w:t xml:space="preserve">3, 7, 8, 10, 11, 16, 17, </w:t>
            </w:r>
            <w:r w:rsidRPr="00644609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</w:tr>
      <w:tr w:rsidR="00F174CA" w:rsidRPr="00644609" w:rsidTr="00AA3289">
        <w:trPr>
          <w:trHeight w:val="485"/>
        </w:trPr>
        <w:tc>
          <w:tcPr>
            <w:tcW w:w="3116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</w:rPr>
              <w:t>INF61-4</w:t>
            </w:r>
          </w:p>
        </w:tc>
        <w:tc>
          <w:tcPr>
            <w:tcW w:w="3117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</w:rPr>
              <w:t>0.03113</w:t>
            </w:r>
          </w:p>
        </w:tc>
        <w:tc>
          <w:tcPr>
            <w:tcW w:w="3117" w:type="dxa"/>
            <w:hideMark/>
          </w:tcPr>
          <w:p w:rsidR="00F174CA" w:rsidRPr="00644609" w:rsidRDefault="00F174CA" w:rsidP="00AA3289">
            <w:pPr>
              <w:rPr>
                <w:rFonts w:ascii="Times New Roman" w:hAnsi="Times New Roman" w:cs="Times New Roman"/>
              </w:rPr>
            </w:pPr>
            <w:r w:rsidRPr="00644609">
              <w:rPr>
                <w:rFonts w:ascii="Times New Roman" w:hAnsi="Times New Roman" w:cs="Times New Roman"/>
              </w:rPr>
              <w:t>1, 7, 10, 11</w:t>
            </w:r>
          </w:p>
        </w:tc>
      </w:tr>
    </w:tbl>
    <w:p w:rsidR="00F174CA" w:rsidRDefault="00F174CA"/>
    <w:p w:rsidR="00F174CA" w:rsidRDefault="00F174CA"/>
    <w:p w:rsidR="00F174CA" w:rsidRDefault="00F174CA" w:rsidP="00F174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4FC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2: Clinical parameters and variant details of patient with identified single heterozygous </w:t>
      </w:r>
      <w:r w:rsidRPr="003614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DMC1 </w:t>
      </w:r>
      <w:r w:rsidRPr="003614FC">
        <w:rPr>
          <w:rFonts w:ascii="Times New Roman" w:hAnsi="Times New Roman" w:cs="Times New Roman"/>
          <w:b/>
          <w:bCs/>
          <w:sz w:val="24"/>
          <w:szCs w:val="24"/>
        </w:rPr>
        <w:t>variant.</w:t>
      </w:r>
      <w:r w:rsidRPr="003614FC">
        <w:rPr>
          <w:rFonts w:ascii="Times New Roman" w:hAnsi="Times New Roman" w:cs="Times New Roman"/>
          <w:sz w:val="24"/>
          <w:szCs w:val="24"/>
        </w:rPr>
        <w:t xml:space="preserve"> Crypto= </w:t>
      </w:r>
      <w:proofErr w:type="spellStart"/>
      <w:r w:rsidRPr="003614FC">
        <w:rPr>
          <w:rFonts w:ascii="Times New Roman" w:hAnsi="Times New Roman" w:cs="Times New Roman"/>
          <w:sz w:val="24"/>
          <w:szCs w:val="24"/>
        </w:rPr>
        <w:t>Cryptozoospermia</w:t>
      </w:r>
      <w:proofErr w:type="spellEnd"/>
      <w:r w:rsidRPr="003614FC">
        <w:rPr>
          <w:rFonts w:ascii="Times New Roman" w:hAnsi="Times New Roman" w:cs="Times New Roman"/>
          <w:sz w:val="24"/>
          <w:szCs w:val="24"/>
        </w:rPr>
        <w:t xml:space="preserve">; AZF del= Azoospermia factor deletion; Norm= Normal; </w:t>
      </w:r>
      <w:proofErr w:type="spellStart"/>
      <w:r w:rsidRPr="003614FC">
        <w:rPr>
          <w:rFonts w:ascii="Times New Roman" w:hAnsi="Times New Roman" w:cs="Times New Roman"/>
          <w:sz w:val="24"/>
          <w:szCs w:val="24"/>
        </w:rPr>
        <w:t>Neg</w:t>
      </w:r>
      <w:proofErr w:type="spellEnd"/>
      <w:r w:rsidRPr="003614FC">
        <w:rPr>
          <w:rFonts w:ascii="Times New Roman" w:hAnsi="Times New Roman" w:cs="Times New Roman"/>
          <w:sz w:val="24"/>
          <w:szCs w:val="24"/>
        </w:rPr>
        <w:t xml:space="preserve">= Negative; AA= amino acid; </w:t>
      </w:r>
      <w:proofErr w:type="spellStart"/>
      <w:r w:rsidRPr="003614FC">
        <w:rPr>
          <w:rFonts w:ascii="Times New Roman" w:hAnsi="Times New Roman" w:cs="Times New Roman"/>
          <w:sz w:val="24"/>
          <w:szCs w:val="24"/>
        </w:rPr>
        <w:t>Zygosity</w:t>
      </w:r>
      <w:proofErr w:type="spellEnd"/>
      <w:r w:rsidRPr="003614FC">
        <w:rPr>
          <w:rFonts w:ascii="Times New Roman" w:hAnsi="Times New Roman" w:cs="Times New Roman"/>
          <w:sz w:val="24"/>
          <w:szCs w:val="24"/>
        </w:rPr>
        <w:t xml:space="preserve">= Inheritance pattern of the variant; Het= Heterozygous; MAF= Minor allele frequency; P= </w:t>
      </w:r>
      <w:proofErr w:type="spellStart"/>
      <w:r w:rsidRPr="003614FC">
        <w:rPr>
          <w:rFonts w:ascii="Times New Roman" w:hAnsi="Times New Roman" w:cs="Times New Roman"/>
          <w:sz w:val="24"/>
          <w:szCs w:val="24"/>
        </w:rPr>
        <w:t>Polyphen</w:t>
      </w:r>
      <w:proofErr w:type="spellEnd"/>
      <w:r w:rsidRPr="003614FC">
        <w:rPr>
          <w:rFonts w:ascii="Times New Roman" w:hAnsi="Times New Roman" w:cs="Times New Roman"/>
          <w:sz w:val="24"/>
          <w:szCs w:val="24"/>
        </w:rPr>
        <w:t xml:space="preserve">; F= </w:t>
      </w:r>
      <w:proofErr w:type="spellStart"/>
      <w:r w:rsidRPr="003614FC">
        <w:rPr>
          <w:rFonts w:ascii="Times New Roman" w:hAnsi="Times New Roman" w:cs="Times New Roman"/>
          <w:sz w:val="24"/>
          <w:szCs w:val="24"/>
        </w:rPr>
        <w:t>phyloP</w:t>
      </w:r>
      <w:proofErr w:type="spellEnd"/>
      <w:r w:rsidRPr="003614FC">
        <w:rPr>
          <w:rFonts w:ascii="Times New Roman" w:hAnsi="Times New Roman" w:cs="Times New Roman"/>
          <w:sz w:val="24"/>
          <w:szCs w:val="24"/>
        </w:rPr>
        <w:t xml:space="preserve">; S= SIFT; T= </w:t>
      </w:r>
      <w:proofErr w:type="spellStart"/>
      <w:r w:rsidRPr="003614FC">
        <w:rPr>
          <w:rFonts w:ascii="Times New Roman" w:hAnsi="Times New Roman" w:cs="Times New Roman"/>
          <w:sz w:val="24"/>
          <w:szCs w:val="24"/>
        </w:rPr>
        <w:t>MutationTaster</w:t>
      </w:r>
      <w:proofErr w:type="spellEnd"/>
      <w:r w:rsidRPr="003614FC">
        <w:rPr>
          <w:rFonts w:ascii="Times New Roman" w:hAnsi="Times New Roman" w:cs="Times New Roman"/>
          <w:sz w:val="24"/>
          <w:szCs w:val="24"/>
        </w:rPr>
        <w:t>; C= CADD; R= REVEL</w:t>
      </w:r>
      <w:r>
        <w:rPr>
          <w:rFonts w:ascii="Times New Roman" w:hAnsi="Times New Roman" w:cs="Times New Roman"/>
          <w:sz w:val="24"/>
          <w:szCs w:val="24"/>
        </w:rPr>
        <w:t xml:space="preserve">; A= </w:t>
      </w:r>
      <w:proofErr w:type="spellStart"/>
      <w:r>
        <w:rPr>
          <w:rFonts w:ascii="Times New Roman" w:hAnsi="Times New Roman" w:cs="Times New Roman"/>
          <w:sz w:val="24"/>
          <w:szCs w:val="24"/>
        </w:rPr>
        <w:t>SpliceAI</w:t>
      </w:r>
      <w:proofErr w:type="spellEnd"/>
      <w:r w:rsidRPr="003614FC">
        <w:rPr>
          <w:rFonts w:ascii="Times New Roman" w:hAnsi="Times New Roman" w:cs="Times New Roman"/>
          <w:sz w:val="24"/>
          <w:szCs w:val="24"/>
        </w:rPr>
        <w:t xml:space="preserve">; Del= deleterious. *Minor allele frequency (MAF) values are from </w:t>
      </w:r>
      <w:proofErr w:type="spellStart"/>
      <w:r w:rsidRPr="003614FC">
        <w:rPr>
          <w:rFonts w:ascii="Times New Roman" w:hAnsi="Times New Roman" w:cs="Times New Roman"/>
          <w:sz w:val="24"/>
          <w:szCs w:val="24"/>
        </w:rPr>
        <w:t>gnomAD</w:t>
      </w:r>
      <w:proofErr w:type="spellEnd"/>
      <w:r w:rsidRPr="003614FC">
        <w:rPr>
          <w:rFonts w:ascii="Times New Roman" w:hAnsi="Times New Roman" w:cs="Times New Roman"/>
          <w:sz w:val="24"/>
          <w:szCs w:val="24"/>
        </w:rPr>
        <w:t xml:space="preserve"> v4.1.0. </w:t>
      </w:r>
    </w:p>
    <w:p w:rsidR="00F174CA" w:rsidRDefault="00F174CA"/>
    <w:tbl>
      <w:tblPr>
        <w:tblStyle w:val="TableGrid"/>
        <w:tblpPr w:leftFromText="180" w:rightFromText="180" w:vertAnchor="page" w:horzAnchor="margin" w:tblpXSpec="center" w:tblpY="11148"/>
        <w:tblW w:w="11502" w:type="dxa"/>
        <w:tblLook w:val="04A0" w:firstRow="1" w:lastRow="0" w:firstColumn="1" w:lastColumn="0" w:noHBand="0" w:noVBand="1"/>
      </w:tblPr>
      <w:tblGrid>
        <w:gridCol w:w="669"/>
        <w:gridCol w:w="1169"/>
        <w:gridCol w:w="952"/>
        <w:gridCol w:w="912"/>
        <w:gridCol w:w="1180"/>
        <w:gridCol w:w="649"/>
        <w:gridCol w:w="1109"/>
        <w:gridCol w:w="1348"/>
        <w:gridCol w:w="967"/>
        <w:gridCol w:w="1210"/>
        <w:gridCol w:w="1337"/>
      </w:tblGrid>
      <w:tr w:rsidR="00F174CA" w:rsidRPr="00EC7BE0" w:rsidTr="00AA3289">
        <w:trPr>
          <w:trHeight w:val="701"/>
        </w:trPr>
        <w:tc>
          <w:tcPr>
            <w:tcW w:w="669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1169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Phenotype</w:t>
            </w:r>
          </w:p>
        </w:tc>
        <w:tc>
          <w:tcPr>
            <w:tcW w:w="952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Sperm conc. (mil/ml)</w:t>
            </w:r>
          </w:p>
        </w:tc>
        <w:tc>
          <w:tcPr>
            <w:tcW w:w="912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Volume (ml)</w:t>
            </w:r>
          </w:p>
        </w:tc>
        <w:tc>
          <w:tcPr>
            <w:tcW w:w="1180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Karyotype</w:t>
            </w:r>
          </w:p>
        </w:tc>
        <w:tc>
          <w:tcPr>
            <w:tcW w:w="649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AZF del</w:t>
            </w:r>
          </w:p>
        </w:tc>
        <w:tc>
          <w:tcPr>
            <w:tcW w:w="1109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DNA coding change</w:t>
            </w:r>
          </w:p>
        </w:tc>
        <w:tc>
          <w:tcPr>
            <w:tcW w:w="1348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Protein change (AA)</w:t>
            </w:r>
          </w:p>
        </w:tc>
        <w:tc>
          <w:tcPr>
            <w:tcW w:w="967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7B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Zygosity</w:t>
            </w:r>
            <w:proofErr w:type="spellEnd"/>
          </w:p>
        </w:tc>
        <w:tc>
          <w:tcPr>
            <w:tcW w:w="1210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MAF*</w:t>
            </w:r>
          </w:p>
        </w:tc>
        <w:tc>
          <w:tcPr>
            <w:tcW w:w="1337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 silico predictions                          (P, F, S, T, D, C, 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A</w:t>
            </w:r>
            <w:r w:rsidRPr="00EC7B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F174CA" w:rsidRPr="00EC7BE0" w:rsidTr="00AA3289">
        <w:trPr>
          <w:trHeight w:val="394"/>
        </w:trPr>
        <w:tc>
          <w:tcPr>
            <w:tcW w:w="669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sz w:val="18"/>
                <w:szCs w:val="18"/>
              </w:rPr>
              <w:t>P122</w:t>
            </w:r>
          </w:p>
        </w:tc>
        <w:tc>
          <w:tcPr>
            <w:tcW w:w="1169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sz w:val="18"/>
                <w:szCs w:val="18"/>
              </w:rPr>
              <w:t>Crypto</w:t>
            </w:r>
          </w:p>
        </w:tc>
        <w:tc>
          <w:tcPr>
            <w:tcW w:w="952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2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sz w:val="18"/>
                <w:szCs w:val="18"/>
              </w:rPr>
              <w:t>Norm</w:t>
            </w:r>
          </w:p>
        </w:tc>
        <w:tc>
          <w:tcPr>
            <w:tcW w:w="1180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sz w:val="18"/>
                <w:szCs w:val="18"/>
              </w:rPr>
              <w:t>46, XY</w:t>
            </w:r>
          </w:p>
        </w:tc>
        <w:tc>
          <w:tcPr>
            <w:tcW w:w="649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7BE0">
              <w:rPr>
                <w:rFonts w:ascii="Times New Roman" w:hAnsi="Times New Roman" w:cs="Times New Roman"/>
                <w:sz w:val="18"/>
                <w:szCs w:val="18"/>
              </w:rPr>
              <w:t>Neg</w:t>
            </w:r>
            <w:proofErr w:type="spellEnd"/>
          </w:p>
        </w:tc>
        <w:tc>
          <w:tcPr>
            <w:tcW w:w="1109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sz w:val="18"/>
                <w:szCs w:val="18"/>
              </w:rPr>
              <w:t>c.479A&gt;G</w:t>
            </w:r>
          </w:p>
        </w:tc>
        <w:tc>
          <w:tcPr>
            <w:tcW w:w="1348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sz w:val="18"/>
                <w:szCs w:val="18"/>
              </w:rPr>
              <w:t>p.Asp160Gly</w:t>
            </w:r>
          </w:p>
        </w:tc>
        <w:tc>
          <w:tcPr>
            <w:tcW w:w="967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1210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sz w:val="18"/>
                <w:szCs w:val="18"/>
              </w:rPr>
              <w:t>0.000001240</w:t>
            </w:r>
          </w:p>
        </w:tc>
        <w:tc>
          <w:tcPr>
            <w:tcW w:w="1337" w:type="dxa"/>
            <w:hideMark/>
          </w:tcPr>
          <w:p w:rsidR="00F174CA" w:rsidRPr="00EC7BE0" w:rsidRDefault="00F174CA" w:rsidP="00AA32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BE0">
              <w:rPr>
                <w:rFonts w:ascii="Times New Roman" w:hAnsi="Times New Roman" w:cs="Times New Roman"/>
                <w:sz w:val="18"/>
                <w:szCs w:val="18"/>
              </w:rPr>
              <w:t>Del, 6.30, Del, Del, 0.998, 0.703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0.96</w:t>
            </w:r>
          </w:p>
        </w:tc>
      </w:tr>
    </w:tbl>
    <w:p w:rsidR="00F174CA" w:rsidRDefault="00F174CA">
      <w:bookmarkStart w:id="0" w:name="_GoBack"/>
      <w:bookmarkEnd w:id="0"/>
    </w:p>
    <w:sectPr w:rsidR="00F174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4CA" w:rsidRDefault="00F174CA" w:rsidP="00F174CA">
      <w:pPr>
        <w:spacing w:after="0" w:line="240" w:lineRule="auto"/>
      </w:pPr>
      <w:r>
        <w:separator/>
      </w:r>
    </w:p>
  </w:endnote>
  <w:endnote w:type="continuationSeparator" w:id="0">
    <w:p w:rsidR="00F174CA" w:rsidRDefault="00F174CA" w:rsidP="00F1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4CA" w:rsidRDefault="00F174CA" w:rsidP="00F174CA">
      <w:pPr>
        <w:spacing w:after="0" w:line="240" w:lineRule="auto"/>
      </w:pPr>
      <w:r>
        <w:separator/>
      </w:r>
    </w:p>
  </w:footnote>
  <w:footnote w:type="continuationSeparator" w:id="0">
    <w:p w:rsidR="00F174CA" w:rsidRDefault="00F174CA" w:rsidP="00F17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4CA"/>
    <w:rsid w:val="009A39E4"/>
    <w:rsid w:val="00B74C59"/>
    <w:rsid w:val="00F1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4CA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4CA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4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74CA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174CA"/>
  </w:style>
  <w:style w:type="paragraph" w:styleId="Footer">
    <w:name w:val="footer"/>
    <w:basedOn w:val="Normal"/>
    <w:link w:val="FooterChar"/>
    <w:uiPriority w:val="99"/>
    <w:unhideWhenUsed/>
    <w:rsid w:val="00F174CA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174CA"/>
  </w:style>
  <w:style w:type="table" w:styleId="TableGrid">
    <w:name w:val="Table Grid"/>
    <w:basedOn w:val="TableNormal"/>
    <w:uiPriority w:val="39"/>
    <w:rsid w:val="00F174C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4CA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4CA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4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74CA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174CA"/>
  </w:style>
  <w:style w:type="paragraph" w:styleId="Footer">
    <w:name w:val="footer"/>
    <w:basedOn w:val="Normal"/>
    <w:link w:val="FooterChar"/>
    <w:uiPriority w:val="99"/>
    <w:unhideWhenUsed/>
    <w:rsid w:val="00F174CA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174CA"/>
  </w:style>
  <w:style w:type="table" w:styleId="TableGrid">
    <w:name w:val="Table Grid"/>
    <w:basedOn w:val="TableNormal"/>
    <w:uiPriority w:val="39"/>
    <w:rsid w:val="00F174C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Camela Rodriguez</dc:creator>
  <cp:lastModifiedBy>Camela Rodriguez</cp:lastModifiedBy>
  <cp:revision>1</cp:revision>
  <dcterms:created xsi:type="dcterms:W3CDTF">2025-07-17T22:49:00Z</dcterms:created>
  <dcterms:modified xsi:type="dcterms:W3CDTF">2025-07-17T22:50:00Z</dcterms:modified>
</cp:coreProperties>
</file>