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78" w:rsidRPr="00980B31" w:rsidRDefault="00A10F78" w:rsidP="00A10F78">
      <w:pPr>
        <w:tabs>
          <w:tab w:val="left" w:pos="7056"/>
        </w:tabs>
      </w:pPr>
    </w:p>
    <w:p w:rsidR="00A10F78" w:rsidRPr="00980B31" w:rsidRDefault="00A10F78" w:rsidP="00A10F78">
      <w:pPr>
        <w:spacing w:line="480" w:lineRule="auto"/>
        <w:jc w:val="both"/>
        <w:rPr>
          <w:rFonts w:ascii="Arial" w:hAnsi="Arial" w:cs="Arial"/>
        </w:rPr>
      </w:pPr>
      <w:r w:rsidRPr="00980B31">
        <w:rPr>
          <w:rFonts w:ascii="Arial" w:hAnsi="Arial" w:cs="Arial"/>
          <w:noProof/>
          <w:lang w:val="en-PH" w:eastAsia="en-PH"/>
        </w:rPr>
        <w:drawing>
          <wp:inline distT="0" distB="0" distL="0" distR="0" wp14:anchorId="715AE833" wp14:editId="478AF306">
            <wp:extent cx="6348730" cy="2435142"/>
            <wp:effectExtent l="0" t="0" r="0" b="3810"/>
            <wp:docPr id="197" name="Picture 19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7905" t="28485" r="2153" b="25518"/>
                    <a:stretch/>
                  </pic:blipFill>
                  <pic:spPr bwMode="auto">
                    <a:xfrm>
                      <a:off x="0" y="0"/>
                      <a:ext cx="6387113" cy="2449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F78" w:rsidRPr="00984282" w:rsidRDefault="00A10F78" w:rsidP="00A10F78">
      <w:pPr>
        <w:tabs>
          <w:tab w:val="left" w:pos="7056"/>
        </w:tabs>
      </w:pPr>
      <w:proofErr w:type="gramStart"/>
      <w:r w:rsidRPr="00980B31">
        <w:rPr>
          <w:rFonts w:ascii="Arial" w:hAnsi="Arial" w:cs="Arial"/>
          <w:b/>
          <w:bCs/>
          <w:sz w:val="20"/>
          <w:szCs w:val="20"/>
        </w:rPr>
        <w:t>Supplemental Figure 1.</w:t>
      </w:r>
      <w:proofErr w:type="gramEnd"/>
      <w:r w:rsidRPr="00980B3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80B31">
        <w:rPr>
          <w:rFonts w:ascii="Arial" w:hAnsi="Arial" w:cs="Arial"/>
          <w:sz w:val="20"/>
          <w:szCs w:val="20"/>
        </w:rPr>
        <w:t>Plots represent the top 10 over-represented GO terms considering (A) biological process, (B) cellular component and (C) molecular function. X axis represents differential expression percentage in each category, where zero represents no differential expression.</w:t>
      </w:r>
      <w:r w:rsidRPr="003947A6">
        <w:rPr>
          <w:rFonts w:ascii="Arial" w:hAnsi="Arial" w:cs="Arial"/>
          <w:sz w:val="20"/>
          <w:szCs w:val="20"/>
        </w:rPr>
        <w:t xml:space="preserve"> </w:t>
      </w:r>
    </w:p>
    <w:p w:rsidR="008931BD" w:rsidRDefault="008931BD">
      <w:bookmarkStart w:id="0" w:name="_GoBack"/>
      <w:bookmarkEnd w:id="0"/>
    </w:p>
    <w:sectPr w:rsidR="008931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0635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1C34" w:rsidRDefault="00A10F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C34" w:rsidRDefault="00A10F7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78"/>
    <w:rsid w:val="008931BD"/>
    <w:rsid w:val="00A1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7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0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F78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F7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7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0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F78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F7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Kyla Cris Millan</dc:creator>
  <cp:lastModifiedBy>Kyla Cris Millan</cp:lastModifiedBy>
  <cp:revision>1</cp:revision>
  <dcterms:created xsi:type="dcterms:W3CDTF">2025-10-11T02:07:00Z</dcterms:created>
  <dcterms:modified xsi:type="dcterms:W3CDTF">2025-10-11T02:07:00Z</dcterms:modified>
</cp:coreProperties>
</file>