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07A" w:rsidRDefault="006F407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F407A">
        <w:rPr>
          <w:rFonts w:ascii="Times New Roman" w:hAnsi="Times New Roman" w:cs="Times New Roman"/>
          <w:b/>
          <w:sz w:val="24"/>
          <w:szCs w:val="24"/>
        </w:rPr>
        <w:t xml:space="preserve">Supplementary Table S1. </w:t>
      </w:r>
      <w:bookmarkEnd w:id="0"/>
      <w:r w:rsidRPr="006F407A">
        <w:rPr>
          <w:rFonts w:ascii="Times New Roman" w:hAnsi="Times New Roman" w:cs="Times New Roman"/>
          <w:b/>
          <w:sz w:val="24"/>
          <w:szCs w:val="24"/>
        </w:rPr>
        <w:t>Overview of variables used for vignette construction and outcome assessment</w:t>
      </w:r>
    </w:p>
    <w:p w:rsidR="006F407A" w:rsidRDefault="006F407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52"/>
        <w:gridCol w:w="1922"/>
        <w:gridCol w:w="3515"/>
        <w:gridCol w:w="1773"/>
      </w:tblGrid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Category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Variable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Definition / Coding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Unit / Type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Patient demographics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Age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Age at the start of IVF/ICSI cycle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Years (continuous)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Duration of marriage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Time from marriage to IVF cycle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Years (continuous)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Duration of infertility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Time attempting conception without success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Years (continuous)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Chronic diseases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Presence of chronic systemic disease (e.g. DM, HT)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Yes/No, categorical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Regular medication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Use of regular systemic medication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Yes/No, categorical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Weight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Measured at cycle start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kg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Height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Measured at cycle start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cm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BMI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Weight / height²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kg/m² (continuous)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Menstrual and obstetric history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Menstrual regularity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Cycle regularity (e.g. regular 25–35 days, irregular)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Categorical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Gravida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Number of prior pregnancies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Count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Parity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Number of prior births ≥20 weeks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Count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Abortion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Number of spontaneous or induced abortions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Count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Curettage history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History of uterine curettage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Yes/No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Ectopic pregnancy history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History of ectopic pregnancy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Yes/No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Male factor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Total progressive motile sperm count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Total progressively motile sperm in ejaculate used for IVF/ICSI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Million (continuous)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Ovarian reserve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Antral follicle count (AFC)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Total AFC at baseline ultrasound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Count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Infertility etiology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Infertility etiology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Primary cause(s): male factor, diminished ovarian reserve, endometriosis, tubal factor, unexplained, combined, other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Categorical (single or combined)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Treatment history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Previous controlled ovarian stimulation cycles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Number of prior COS cycles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Count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Previous embryo transfers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Number of prior embryo transfer procedures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Count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Basal hormones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Basal E2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Estradiol on cycle day 2–3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pg/mL (continuous)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Basal FSH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FSH on cycle day 2–3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IU/L (continuous)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Basal LH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LH on cycle day 2–3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IU/L (continuous)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Treatment protocol (observed)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Stimulation protocol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Actual protocol used: antagonist, progestin-primed ovarian stimulation (PPOS), long agonist, other agonist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Categorical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Ovulation trigger type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Actual trigger: hCG, GnRH agonist, dual trigger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Categorical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Laboratory outcomes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Total oocyte count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Total number of retrieved oocytes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Count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M2 oocyte count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Number of metaphase II oocytes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Count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Usable embryo count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Number of embryos deemed suitable for transfer or cryopreservation according to local criteria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Count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Clinical outcome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Clinical pregnancy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Presence of intrauterine gestational sac with fetal heartbeat on ultrasound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Binary (Yes/No)</w:t>
            </w:r>
          </w:p>
        </w:tc>
      </w:tr>
      <w:tr w:rsidR="006F407A" w:rsidRPr="006F407A" w:rsidTr="006F407A"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Clinical pregnancy probability (LLM output)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Percentage likelihood estimated by each LLM based on vignette</w:t>
            </w:r>
          </w:p>
        </w:tc>
        <w:tc>
          <w:tcPr>
            <w:tcW w:w="0" w:type="auto"/>
            <w:hideMark/>
          </w:tcPr>
          <w:p w:rsidR="006F407A" w:rsidRPr="006F407A" w:rsidRDefault="006F407A" w:rsidP="006F40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407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Percent (model output)</w:t>
            </w:r>
          </w:p>
        </w:tc>
      </w:tr>
    </w:tbl>
    <w:p w:rsidR="006F407A" w:rsidRPr="006F407A" w:rsidRDefault="006F407A">
      <w:pPr>
        <w:rPr>
          <w:rFonts w:ascii="Times New Roman" w:hAnsi="Times New Roman" w:cs="Times New Roman"/>
          <w:b/>
          <w:sz w:val="24"/>
          <w:szCs w:val="24"/>
        </w:rPr>
      </w:pPr>
    </w:p>
    <w:sectPr w:rsidR="006F407A" w:rsidRPr="006F4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7A"/>
    <w:rsid w:val="001E7AC5"/>
    <w:rsid w:val="00673218"/>
    <w:rsid w:val="006F407A"/>
    <w:rsid w:val="00FC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B7CB0"/>
  <w15:chartTrackingRefBased/>
  <w15:docId w15:val="{63F9C820-D964-47D1-A72C-BD72B7AE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120"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  <w:ind w:firstLine="0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F407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2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 Dinç</dc:creator>
  <cp:keywords/>
  <dc:description/>
  <cp:lastModifiedBy>Can Dinç</cp:lastModifiedBy>
  <cp:revision>1</cp:revision>
  <dcterms:created xsi:type="dcterms:W3CDTF">2025-11-11T12:18:00Z</dcterms:created>
  <dcterms:modified xsi:type="dcterms:W3CDTF">2025-11-11T12:46:00Z</dcterms:modified>
</cp:coreProperties>
</file>