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AA9" w:rsidRPr="006C7197" w:rsidRDefault="004D0AA9" w:rsidP="004D0AA9">
      <w:pPr>
        <w:widowControl w:val="0"/>
        <w:tabs>
          <w:tab w:val="center" w:pos="4680"/>
          <w:tab w:val="right" w:pos="9360"/>
        </w:tabs>
        <w:spacing w:line="340" w:lineRule="exact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Supplementary information</w:t>
      </w:r>
    </w:p>
    <w:p w:rsidR="004D0AA9" w:rsidRPr="00D57125" w:rsidRDefault="004D0AA9" w:rsidP="004D0AA9">
      <w:pPr>
        <w:pStyle w:val="FigureCaption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bookmarkStart w:id="0" w:name="ae_185"/>
      <w:proofErr w:type="gramStart"/>
      <w:r w:rsidRPr="00D57125">
        <w:rPr>
          <w:b/>
          <w:color w:val="000000"/>
          <w:sz w:val="20"/>
          <w:szCs w:val="20"/>
          <w:lang w:val="en-US"/>
        </w:rPr>
        <w:t>SUPPLEMENTARY TABLE 1.</w:t>
      </w:r>
      <w:proofErr w:type="gramEnd"/>
      <w:r w:rsidRPr="00D57125">
        <w:rPr>
          <w:b/>
          <w:color w:val="000000"/>
          <w:sz w:val="20"/>
          <w:szCs w:val="20"/>
          <w:lang w:val="en-US"/>
        </w:rPr>
        <w:t xml:space="preserve"> Univariate logistic regression p-values of pregnancy at 2 weeks, clinical pregnancy at 6 weeks, and ongoing clinical pregnancy at 12 </w:t>
      </w:r>
      <w:proofErr w:type="spellStart"/>
      <w:r w:rsidRPr="00D57125">
        <w:rPr>
          <w:b/>
          <w:color w:val="000000"/>
          <w:sz w:val="20"/>
          <w:szCs w:val="20"/>
          <w:lang w:val="en-US"/>
        </w:rPr>
        <w:t>weeks</w:t>
      </w:r>
      <w:r w:rsidRPr="00D57125">
        <w:rPr>
          <w:b/>
          <w:color w:val="000000"/>
          <w:sz w:val="20"/>
          <w:szCs w:val="20"/>
          <w:vertAlign w:val="superscript"/>
          <w:lang w:val="en-US"/>
        </w:rPr>
        <w:t>a</w:t>
      </w:r>
      <w:bookmarkEnd w:id="0"/>
      <w:proofErr w:type="spellEnd"/>
    </w:p>
    <w:tbl>
      <w:tblPr>
        <w:tblW w:w="9498" w:type="dxa"/>
        <w:tblInd w:w="-5" w:type="dxa"/>
        <w:tblLayout w:type="fixed"/>
        <w:tblCellMar>
          <w:left w:w="85" w:type="dxa"/>
        </w:tblCellMar>
        <w:tblLook w:val="0400" w:firstRow="0" w:lastRow="0" w:firstColumn="0" w:lastColumn="0" w:noHBand="0" w:noVBand="1"/>
      </w:tblPr>
      <w:tblGrid>
        <w:gridCol w:w="4678"/>
        <w:gridCol w:w="1559"/>
        <w:gridCol w:w="1560"/>
        <w:gridCol w:w="1701"/>
      </w:tblGrid>
      <w:tr w:rsidR="004D0AA9" w:rsidTr="00F107C9">
        <w:trPr>
          <w:trHeight w:val="6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  <w:t xml:space="preserve">Variables </w:t>
            </w: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-156"/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  <w:t>Pregnancy</w:t>
            </w:r>
          </w:p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-156"/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  <w:t>at 2 weeks, p-value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  <w:t>Clinical pregnancy at 6 weeks, p-value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  <w:t>On-going clinical pregnancy at 12 weeks, p-value</w:t>
            </w:r>
          </w:p>
        </w:tc>
      </w:tr>
      <w:tr w:rsidR="004D0AA9" w:rsidTr="00F107C9">
        <w:trPr>
          <w:trHeight w:val="9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Randomization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p=0.039*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p=0.006*</w:t>
            </w:r>
          </w:p>
        </w:tc>
      </w:tr>
      <w:tr w:rsidR="004D0AA9" w:rsidTr="00F107C9">
        <w:trPr>
          <w:trHeight w:val="1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Recruitment year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p=0.663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p=0.247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p=0.672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Patient’s age at recruitment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8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p=0.096*</w:t>
            </w:r>
          </w:p>
        </w:tc>
      </w:tr>
      <w:tr w:rsidR="004D0AA9" w:rsidTr="00F107C9">
        <w:trPr>
          <w:trHeight w:val="1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vertAlign w:val="superscript"/>
                <w:lang w:val="en-US"/>
              </w:rPr>
            </w:pPr>
            <w:r w:rsidRPr="00D57125">
              <w:rPr>
                <w:rFonts w:eastAsia="Calibri" w:cstheme="minorHAnsi"/>
                <w:bCs/>
                <w:sz w:val="18"/>
                <w:szCs w:val="18"/>
                <w:lang w:val="en-US"/>
              </w:rPr>
              <w:t>Oocyte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 provider’s age at recruitment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p=0.065*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p=0.060*</w:t>
            </w:r>
          </w:p>
        </w:tc>
      </w:tr>
      <w:tr w:rsidR="004D0AA9" w:rsidTr="00F107C9">
        <w:trPr>
          <w:trHeight w:val="20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Ethnicity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p=0.268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p=0.597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8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p=0.598</w:t>
            </w:r>
          </w:p>
        </w:tc>
      </w:tr>
      <w:tr w:rsidR="004D0AA9" w:rsidTr="00F107C9">
        <w:trPr>
          <w:trHeight w:val="20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Relationship status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p=0.160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p=0.107</w:t>
            </w:r>
          </w:p>
        </w:tc>
      </w:tr>
      <w:tr w:rsidR="004D0AA9" w:rsidTr="00F107C9">
        <w:trPr>
          <w:trHeight w:val="4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211"/>
              </w:tabs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BMI (kg/m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4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p=0.530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p=0.890</w:t>
            </w:r>
          </w:p>
        </w:tc>
      </w:tr>
      <w:tr w:rsidR="004D0AA9" w:rsidTr="00F107C9">
        <w:trPr>
          <w:trHeight w:val="3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Chronic disease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p=0.873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p=0.718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p=0.320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On regular medication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p=0.635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p=0.933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p=0.553</w:t>
            </w:r>
          </w:p>
        </w:tc>
      </w:tr>
      <w:tr w:rsidR="004D0AA9" w:rsidTr="00F107C9">
        <w:trPr>
          <w:trHeight w:val="32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Exercise regularly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p=0.817</w:t>
            </w:r>
          </w:p>
        </w:tc>
      </w:tr>
      <w:tr w:rsidR="004D0AA9" w:rsidTr="00F107C9">
        <w:trPr>
          <w:trHeight w:val="2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Smoking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p=0.720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p=0.905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p=0.834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Alcohol use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p=0.964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p=0.742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p=0.447</w:t>
            </w:r>
          </w:p>
        </w:tc>
      </w:tr>
      <w:tr w:rsidR="004D0AA9" w:rsidTr="00F107C9">
        <w:trPr>
          <w:trHeight w:val="2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Recreational drug use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p=0.718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p=0.809</w:t>
            </w:r>
          </w:p>
        </w:tc>
      </w:tr>
      <w:tr w:rsidR="004D0AA9" w:rsidTr="00F107C9">
        <w:trPr>
          <w:trHeight w:val="1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Gravidity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p=0.454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p=0.443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p=0.422</w:t>
            </w:r>
          </w:p>
        </w:tc>
      </w:tr>
      <w:tr w:rsidR="004D0AA9" w:rsidTr="00F107C9">
        <w:trPr>
          <w:trHeight w:val="10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Parity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p=0.696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p=0.918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p=0.802</w:t>
            </w:r>
          </w:p>
        </w:tc>
      </w:tr>
      <w:tr w:rsidR="004D0AA9" w:rsidTr="00F107C9">
        <w:trPr>
          <w:trHeight w:val="8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lastRenderedPageBreak/>
              <w:t xml:space="preserve">Infertility type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p=0.531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p=0.759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p=0.535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Infertility etiology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p=0.019*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p=0.068*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p=0.243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Infertility duration by month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p=0.440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Recurrent implantation failure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p=0.895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p=0.305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Recurrent pregnancy loss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p=0.600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p=0.469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p=0.362</w:t>
            </w:r>
          </w:p>
        </w:tc>
      </w:tr>
      <w:tr w:rsidR="004D0AA9" w:rsidTr="00F107C9">
        <w:trPr>
          <w:trHeight w:val="17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Total number of all types of pregnancy loss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p=0.843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p=0.745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Used </w:t>
            </w:r>
            <w:r w:rsidRPr="00D57125">
              <w:rPr>
                <w:rFonts w:eastAsia="Calibri" w:cstheme="minorHAnsi"/>
                <w:bCs/>
                <w:sz w:val="18"/>
                <w:szCs w:val="18"/>
                <w:lang w:val="en-US"/>
              </w:rPr>
              <w:t xml:space="preserve">oocyte 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or embryo donation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p=0.203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p=0.675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p=0.326</w:t>
            </w:r>
          </w:p>
        </w:tc>
      </w:tr>
      <w:tr w:rsidR="004D0AA9" w:rsidTr="00F107C9">
        <w:trPr>
          <w:trHeight w:val="19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sz w:val="18"/>
                <w:szCs w:val="18"/>
                <w:lang w:val="en-US"/>
              </w:rPr>
              <w:t xml:space="preserve">Oocyte 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provider’s total antral follicle count (AFC)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vertAlign w:val="superscript"/>
                <w:lang w:val="en-US"/>
              </w:rPr>
              <w:t xml:space="preserve">e 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p=0.045*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p=0.335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p=0.292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vertAlign w:val="superscript"/>
                <w:lang w:val="en-US"/>
              </w:rPr>
            </w:pPr>
            <w:r w:rsidRPr="00D57125">
              <w:rPr>
                <w:rFonts w:eastAsia="Calibri" w:cstheme="minorHAnsi"/>
                <w:bCs/>
                <w:sz w:val="18"/>
                <w:szCs w:val="18"/>
                <w:lang w:val="en-US"/>
              </w:rPr>
              <w:t xml:space="preserve">Oocyte 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provider’s AMH (</w:t>
            </w:r>
            <w:proofErr w:type="spellStart"/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pmol</w:t>
            </w:r>
            <w:proofErr w:type="spellEnd"/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/L)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p=0.131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p=0.459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p=0.347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Total number of previous ovum pick-ups (OPU)</w:t>
            </w: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vertAlign w:val="superscript"/>
                <w:lang w:val="en-US"/>
              </w:rPr>
              <w:t>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p=0.010*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p=0.016*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48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p=0.014*</w:t>
            </w:r>
          </w:p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</w:p>
        </w:tc>
      </w:tr>
      <w:tr w:rsidR="004D0AA9" w:rsidTr="00F107C9">
        <w:trPr>
          <w:trHeight w:val="3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Had embryo transfer before or since last pregnancy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p=0.215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p=0.542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Total number of frozen embryos from the same cycle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p=0.010*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p=0.053*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48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p=0.017*</w:t>
            </w:r>
          </w:p>
        </w:tc>
      </w:tr>
      <w:tr w:rsidR="004D0AA9" w:rsidTr="00F107C9">
        <w:trPr>
          <w:trHeight w:val="17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PGT-A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p=0.868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p=0.632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p=0.828</w:t>
            </w:r>
          </w:p>
        </w:tc>
      </w:tr>
      <w:tr w:rsidR="004D0AA9" w:rsidTr="00F107C9">
        <w:trPr>
          <w:trHeight w:val="17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Number of embryos transferred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p=0.627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p=0.619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left="8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p=0.435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>Ploidy status of the transferred embryo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p=0.065*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p=0.148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Cs/>
                <w:color w:val="000000"/>
                <w:sz w:val="18"/>
                <w:szCs w:val="18"/>
                <w:lang w:val="en-US"/>
              </w:rPr>
              <w:t xml:space="preserve">Quality of the transferred </w:t>
            </w:r>
            <w:r w:rsidRPr="00D57125">
              <w:rPr>
                <w:rFonts w:eastAsia="Calibri" w:cstheme="minorHAnsi"/>
                <w:bCs/>
                <w:color w:val="000000" w:themeColor="text1"/>
                <w:sz w:val="18"/>
                <w:szCs w:val="18"/>
                <w:lang w:val="en-US"/>
              </w:rPr>
              <w:t>embryo of the frozen cycle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ind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p=0.006*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p=0.030*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7" w:right="48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p=0.007*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  <w:t xml:space="preserve">Luteal support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p=0.636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p=0.525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p=0.812</w:t>
            </w:r>
          </w:p>
        </w:tc>
      </w:tr>
      <w:tr w:rsidR="004D0AA9" w:rsidTr="00F107C9">
        <w:trPr>
          <w:trHeight w:val="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color w:val="000000"/>
                <w:sz w:val="18"/>
                <w:szCs w:val="18"/>
                <w:lang w:val="en-US"/>
              </w:rPr>
              <w:t>Endometrial thickness on the embryo transferred day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-15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p=0.106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  <w:t>p=0.353</w:t>
            </w:r>
          </w:p>
        </w:tc>
      </w:tr>
      <w:tr w:rsidR="004D0AA9" w:rsidTr="00F107C9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rPr>
                <w:rFonts w:eastAsia="Calibri" w:cstheme="minorHAnsi"/>
                <w:b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b/>
                <w:sz w:val="18"/>
                <w:szCs w:val="18"/>
                <w:lang w:val="en-US"/>
              </w:rPr>
              <w:lastRenderedPageBreak/>
              <w:t>Catheter used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-156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p=0.203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9" w:rsidRPr="00D57125" w:rsidRDefault="004D0AA9" w:rsidP="00F10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eastAsia="Calibri" w:cstheme="minorHAnsi"/>
                <w:color w:val="000000"/>
                <w:sz w:val="18"/>
                <w:szCs w:val="18"/>
                <w:lang w:val="en-US"/>
              </w:rPr>
            </w:pPr>
            <w:r w:rsidRPr="00D57125">
              <w:rPr>
                <w:rFonts w:eastAsia="Calibri" w:cstheme="minorHAnsi"/>
                <w:sz w:val="18"/>
                <w:szCs w:val="18"/>
                <w:lang w:val="en-US"/>
              </w:rPr>
              <w:t>p=0.138</w:t>
            </w:r>
          </w:p>
        </w:tc>
      </w:tr>
    </w:tbl>
    <w:p w:rsidR="004D0AA9" w:rsidRPr="00D57125" w:rsidRDefault="004D0AA9" w:rsidP="004D0AA9">
      <w:pPr>
        <w:pStyle w:val="myPara"/>
        <w:widowControl w:val="0"/>
        <w:rPr>
          <w:bCs/>
          <w:color w:val="000000"/>
          <w:sz w:val="18"/>
          <w:szCs w:val="18"/>
          <w:lang w:val="en-US"/>
        </w:rPr>
      </w:pPr>
      <w:bookmarkStart w:id="1" w:name="ae_186"/>
      <w:proofErr w:type="gramStart"/>
      <w:r w:rsidRPr="00D57125">
        <w:rPr>
          <w:bCs/>
          <w:color w:val="000000"/>
          <w:sz w:val="18"/>
          <w:szCs w:val="18"/>
          <w:vertAlign w:val="superscript"/>
          <w:lang w:val="en-US"/>
        </w:rPr>
        <w:t>a</w:t>
      </w:r>
      <w:proofErr w:type="gramEnd"/>
      <w:r w:rsidRPr="00D57125">
        <w:rPr>
          <w:bCs/>
          <w:color w:val="000000"/>
          <w:sz w:val="18"/>
          <w:szCs w:val="18"/>
          <w:lang w:val="en-US"/>
        </w:rPr>
        <w:t xml:space="preserve"> Pregnancy outcomes at 2, 6 and 12 weeks are dichotomous variables. </w:t>
      </w:r>
      <w:bookmarkEnd w:id="1"/>
    </w:p>
    <w:p w:rsidR="004D0AA9" w:rsidRPr="00D57125" w:rsidRDefault="004D0AA9" w:rsidP="004D0AA9">
      <w:pPr>
        <w:pStyle w:val="myPara"/>
        <w:widowControl w:val="0"/>
        <w:rPr>
          <w:bCs/>
          <w:color w:val="000000"/>
          <w:sz w:val="18"/>
          <w:szCs w:val="18"/>
          <w:lang w:val="en-US"/>
        </w:rPr>
      </w:pPr>
      <w:bookmarkStart w:id="2" w:name="ae_187"/>
      <w:proofErr w:type="gramStart"/>
      <w:r w:rsidRPr="00D57125">
        <w:rPr>
          <w:bCs/>
          <w:color w:val="000000"/>
          <w:sz w:val="18"/>
          <w:szCs w:val="18"/>
          <w:vertAlign w:val="superscript"/>
          <w:lang w:val="en-US"/>
        </w:rPr>
        <w:t>b</w:t>
      </w:r>
      <w:proofErr w:type="gramEnd"/>
      <w:r w:rsidRPr="00D57125">
        <w:rPr>
          <w:bCs/>
          <w:color w:val="000000"/>
          <w:sz w:val="18"/>
          <w:szCs w:val="18"/>
          <w:lang w:val="en-US"/>
        </w:rPr>
        <w:t xml:space="preserve"> All the variables and their categories in this table are the same as in Table 1. </w:t>
      </w:r>
      <w:r>
        <w:rPr>
          <w:sz w:val="18"/>
        </w:rPr>
        <w:t>Variables’</w:t>
      </w:r>
      <w:r w:rsidRPr="00D57125">
        <w:rPr>
          <w:bCs/>
          <w:color w:val="000000"/>
          <w:sz w:val="18"/>
          <w:szCs w:val="18"/>
          <w:lang w:val="en-US"/>
        </w:rPr>
        <w:t xml:space="preserve"> categories are not listed to save space. </w:t>
      </w:r>
      <w:bookmarkEnd w:id="2"/>
    </w:p>
    <w:p w:rsidR="004D0AA9" w:rsidRPr="00D57125" w:rsidRDefault="004D0AA9" w:rsidP="004D0AA9">
      <w:pPr>
        <w:pStyle w:val="myPara"/>
        <w:widowControl w:val="0"/>
        <w:rPr>
          <w:bCs/>
          <w:color w:val="000000"/>
          <w:sz w:val="18"/>
          <w:szCs w:val="18"/>
          <w:lang w:val="en-US"/>
        </w:rPr>
      </w:pPr>
      <w:bookmarkStart w:id="3" w:name="ae_188"/>
      <w:r w:rsidRPr="00D57125">
        <w:rPr>
          <w:bCs/>
          <w:color w:val="000000"/>
          <w:sz w:val="18"/>
          <w:szCs w:val="18"/>
          <w:lang w:val="en-US"/>
        </w:rPr>
        <w:t>*p&lt;0.10 is used as cutoff.</w:t>
      </w:r>
      <w:bookmarkEnd w:id="3"/>
    </w:p>
    <w:p w:rsidR="00134787" w:rsidRDefault="00134787">
      <w:bookmarkStart w:id="4" w:name="_GoBack"/>
      <w:bookmarkEnd w:id="4"/>
    </w:p>
    <w:sectPr w:rsidR="001347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A9"/>
    <w:rsid w:val="00014412"/>
    <w:rsid w:val="00051391"/>
    <w:rsid w:val="00134787"/>
    <w:rsid w:val="001809C1"/>
    <w:rsid w:val="0028683C"/>
    <w:rsid w:val="002B20B4"/>
    <w:rsid w:val="00313866"/>
    <w:rsid w:val="0032362A"/>
    <w:rsid w:val="004D0AA9"/>
    <w:rsid w:val="005B28DE"/>
    <w:rsid w:val="00994103"/>
    <w:rsid w:val="00B06968"/>
    <w:rsid w:val="00B446AA"/>
    <w:rsid w:val="00B64C0D"/>
    <w:rsid w:val="00BD7D50"/>
    <w:rsid w:val="00C049B6"/>
    <w:rsid w:val="00C84ED1"/>
    <w:rsid w:val="00E44533"/>
    <w:rsid w:val="00E720B7"/>
    <w:rsid w:val="00EE31E0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Para">
    <w:name w:val="myPara"/>
    <w:rsid w:val="004D0AA9"/>
    <w:pPr>
      <w:spacing w:after="0" w:line="240" w:lineRule="auto"/>
    </w:pPr>
    <w:rPr>
      <w:rFonts w:ascii="Calibri" w:eastAsia="Calibri" w:hAnsi="Calibri" w:cs="Calibri"/>
      <w:sz w:val="24"/>
      <w:szCs w:val="24"/>
      <w:lang w:val="en-CA" w:eastAsia="zh-CN"/>
    </w:rPr>
  </w:style>
  <w:style w:type="paragraph" w:customStyle="1" w:styleId="FigureCaption">
    <w:name w:val="Figure_Caption"/>
    <w:rsid w:val="004D0AA9"/>
    <w:pPr>
      <w:spacing w:after="0" w:line="240" w:lineRule="auto"/>
    </w:pPr>
    <w:rPr>
      <w:rFonts w:ascii="Calibri" w:eastAsia="Calibri" w:hAnsi="Calibri" w:cs="Calibri"/>
      <w:sz w:val="24"/>
      <w:szCs w:val="24"/>
      <w:lang w:val="en-C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Para">
    <w:name w:val="myPara"/>
    <w:rsid w:val="004D0AA9"/>
    <w:pPr>
      <w:spacing w:after="0" w:line="240" w:lineRule="auto"/>
    </w:pPr>
    <w:rPr>
      <w:rFonts w:ascii="Calibri" w:eastAsia="Calibri" w:hAnsi="Calibri" w:cs="Calibri"/>
      <w:sz w:val="24"/>
      <w:szCs w:val="24"/>
      <w:lang w:val="en-CA" w:eastAsia="zh-CN"/>
    </w:rPr>
  </w:style>
  <w:style w:type="paragraph" w:customStyle="1" w:styleId="FigureCaption">
    <w:name w:val="Figure_Caption"/>
    <w:rsid w:val="004D0AA9"/>
    <w:pPr>
      <w:spacing w:after="0" w:line="240" w:lineRule="auto"/>
    </w:pPr>
    <w:rPr>
      <w:rFonts w:ascii="Calibri" w:eastAsia="Calibri" w:hAnsi="Calibri" w:cs="Calibri"/>
      <w:sz w:val="24"/>
      <w:szCs w:val="24"/>
      <w:lang w:val="en-C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NiÃ±o Horel</dc:creator>
  <cp:lastModifiedBy>NiÃ±o Horel</cp:lastModifiedBy>
  <cp:revision>1</cp:revision>
  <dcterms:created xsi:type="dcterms:W3CDTF">2026-04-23T07:09:00Z</dcterms:created>
  <dcterms:modified xsi:type="dcterms:W3CDTF">2026-04-23T07:10:00Z</dcterms:modified>
</cp:coreProperties>
</file>