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Supporting Information Table S1. </w:t>
      </w:r>
      <w:r w:rsidDel="00000000" w:rsidR="00000000" w:rsidRPr="00000000">
        <w:rPr>
          <w:rFonts w:ascii="Times New Roman" w:cs="Times New Roman" w:eastAsia="Times New Roman" w:hAnsi="Times New Roman"/>
          <w:sz w:val="20"/>
          <w:szCs w:val="20"/>
          <w:rtl w:val="0"/>
        </w:rPr>
        <w:t xml:space="preserve">Search strategy.</w:t>
      </w:r>
      <w:r w:rsidDel="00000000" w:rsidR="00000000" w:rsidRPr="00000000">
        <w:rPr>
          <w:rtl w:val="0"/>
        </w:rPr>
      </w:r>
    </w:p>
    <w:p w:rsidR="00000000" w:rsidDel="00000000" w:rsidP="00000000" w:rsidRDefault="00000000" w:rsidRPr="00000000" w14:paraId="00000002">
      <w:pPr>
        <w:rPr>
          <w:rFonts w:ascii="Times New Roman" w:cs="Times New Roman" w:eastAsia="Times New Roman" w:hAnsi="Times New Roman"/>
          <w:b w:val="1"/>
          <w:bCs w:val="1"/>
          <w:sz w:val="20"/>
          <w:szCs w:val="20"/>
        </w:rPr>
      </w:pPr>
      <w:r w:rsidDel="00000000" w:rsidR="00000000" w:rsidRPr="00000000">
        <w:rPr>
          <w:rtl w:val="0"/>
        </w:rPr>
      </w:r>
    </w:p>
    <w:tbl>
      <w:tblPr>
        <w:tblStyle w:val="Table1"/>
        <w:tblW w:w="8608.0" w:type="dxa"/>
        <w:jc w:val="left"/>
        <w:tblBorders>
          <w:top w:color="7f7f7f" w:space="0" w:sz="4" w:val="single"/>
          <w:bottom w:color="7f7f7f" w:space="0" w:sz="4" w:val="single"/>
        </w:tblBorders>
        <w:tblLayout w:type="fixed"/>
        <w:tblLook w:val="0400"/>
      </w:tblPr>
      <w:tblGrid>
        <w:gridCol w:w="5490"/>
        <w:gridCol w:w="3118"/>
        <w:tblGridChange w:id="0">
          <w:tblGrid>
            <w:gridCol w:w="5490"/>
            <w:gridCol w:w="3118"/>
          </w:tblGrid>
        </w:tblGridChange>
      </w:tblGrid>
      <w:tr>
        <w:trPr>
          <w:cantSplit w:val="0"/>
          <w:trHeight w:val="596" w:hRule="atLeast"/>
          <w:tblHeader w:val="0"/>
        </w:trPr>
        <w:tc>
          <w:tcPr/>
          <w:p w:rsidR="00000000" w:rsidDel="00000000" w:rsidP="00000000" w:rsidRDefault="00000000" w:rsidRPr="00000000" w14:paraId="00000003">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PubMed</w:t>
            </w:r>
          </w:p>
        </w:tc>
        <w:tc>
          <w:tcPr/>
          <w:p w:rsidR="00000000" w:rsidDel="00000000" w:rsidP="00000000" w:rsidRDefault="00000000" w:rsidRPr="00000000" w14:paraId="00000004">
            <w:pPr>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Number of studies</w:t>
            </w:r>
          </w:p>
        </w:tc>
      </w:tr>
      <w:tr>
        <w:trPr>
          <w:cantSplit w:val="0"/>
          <w:trHeight w:val="2285" w:hRule="atLeast"/>
          <w:tblHeader w:val="0"/>
        </w:trPr>
        <w:tc>
          <w:tcPr/>
          <w:p w:rsidR="00000000" w:rsidDel="00000000" w:rsidP="00000000" w:rsidRDefault="00000000" w:rsidRPr="00000000" w14:paraId="00000005">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((((((((RNA, Long Noncoding) OR (Noncoding RNA, Long)) OR (RNA, Long Untranslated)) OR (Long Untranslated RNA)) OR (Untranslated RNA, Long)) OR (LncRNA)) OR (Long ncRNA)) AND (((((((Polymorphism, Single Nucleotide) OR (Nucleotide Polymorphism, Single)) OR (Nucleotide Polymorphisms, Single)) OR (Polymorphisms, Single Nucleotide)) OR (Single Nucleotide Polymorphisms)) OR (Single Nucleotide Polymorphism)) OR (SNPs))) AND ((((((((Recurrent pregnancy loss) OR (Recurrent spontaneous abortion)) OR (Abortion, Recurrent)) OR (Recurrent Abortion)) OR (Recurrent Abortions)) OR (Miscarriage, Recurrent)) OR (Recurrent Miscarriage)) OR (Recurrent Miscarriages))</w:t>
            </w:r>
          </w:p>
        </w:tc>
        <w:tc>
          <w:tcPr/>
          <w:p w:rsidR="00000000" w:rsidDel="00000000" w:rsidP="00000000" w:rsidRDefault="00000000" w:rsidRPr="00000000" w14:paraId="00000006">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11</w:t>
            </w:r>
          </w:p>
        </w:tc>
      </w:tr>
      <w:tr>
        <w:trPr>
          <w:cantSplit w:val="0"/>
          <w:trHeight w:val="832" w:hRule="atLeast"/>
          <w:tblHeader w:val="0"/>
        </w:trPr>
        <w:tc>
          <w:tcPr/>
          <w:p w:rsidR="00000000" w:rsidDel="00000000" w:rsidP="00000000" w:rsidRDefault="00000000" w:rsidRPr="00000000" w14:paraId="00000007">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Web of Sciences</w:t>
            </w:r>
            <w:r w:rsidDel="00000000" w:rsidR="00000000" w:rsidRPr="00000000">
              <w:rPr>
                <w:rtl w:val="0"/>
              </w:rPr>
            </w:r>
          </w:p>
        </w:tc>
        <w:tc>
          <w:tcPr/>
          <w:p w:rsidR="00000000" w:rsidDel="00000000" w:rsidP="00000000" w:rsidRDefault="00000000" w:rsidRPr="00000000" w14:paraId="00000008">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915" w:hRule="atLeast"/>
          <w:tblHeader w:val="0"/>
        </w:trPr>
        <w:tc>
          <w:tcPr/>
          <w:p w:rsidR="00000000" w:rsidDel="00000000" w:rsidP="00000000" w:rsidRDefault="00000000" w:rsidRPr="00000000" w14:paraId="00000009">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lncRNA OR "long noncod* RNA"</w:t>
            </w:r>
          </w:p>
        </w:tc>
        <w:tc>
          <w:tcPr>
            <w:vMerge w:val="restart"/>
          </w:tcPr>
          <w:p w:rsidR="00000000" w:rsidDel="00000000" w:rsidP="00000000" w:rsidRDefault="00000000" w:rsidRPr="00000000" w14:paraId="0000000A">
            <w:pPr>
              <w:spacing w:after="160" w:line="259"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16</w:t>
            </w:r>
          </w:p>
        </w:tc>
      </w:tr>
      <w:tr>
        <w:trPr>
          <w:cantSplit w:val="0"/>
          <w:trHeight w:val="915" w:hRule="atLeast"/>
          <w:tblHeader w:val="0"/>
        </w:trPr>
        <w:tc>
          <w:tcPr/>
          <w:p w:rsidR="00000000" w:rsidDel="00000000" w:rsidP="00000000" w:rsidRDefault="00000000" w:rsidRPr="00000000" w14:paraId="0000000B">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SNP OR polymorphism* OR variant*</w:t>
            </w:r>
          </w:p>
        </w:tc>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rHeight w:val="915" w:hRule="atLeast"/>
          <w:tblHeader w:val="0"/>
        </w:trPr>
        <w:tc>
          <w:tcPr/>
          <w:p w:rsidR="00000000" w:rsidDel="00000000" w:rsidP="00000000" w:rsidRDefault="00000000" w:rsidRPr="00000000" w14:paraId="0000000D">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"recurrent pregnancy loss" OR miscarriage* OR "spontaneous abortion*"</w:t>
            </w:r>
          </w:p>
        </w:tc>
        <w:tc>
          <w:tcPr>
            <w:vMerge w:val="continue"/>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rHeight w:val="832" w:hRule="atLeast"/>
          <w:tblHeader w:val="0"/>
        </w:trPr>
        <w:tc>
          <w:tcPr/>
          <w:p w:rsidR="00000000" w:rsidDel="00000000" w:rsidP="00000000" w:rsidRDefault="00000000" w:rsidRPr="00000000" w14:paraId="0000000F">
            <w:pPr>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Embase</w:t>
            </w:r>
            <w:r w:rsidDel="00000000" w:rsidR="00000000" w:rsidRPr="00000000">
              <w:rPr>
                <w:rtl w:val="0"/>
              </w:rPr>
            </w:r>
          </w:p>
        </w:tc>
        <w:tc>
          <w:tcPr/>
          <w:p w:rsidR="00000000" w:rsidDel="00000000" w:rsidP="00000000" w:rsidRDefault="00000000" w:rsidRPr="00000000" w14:paraId="00000010">
            <w:pPr>
              <w:jc w:val="center"/>
              <w:rPr>
                <w:rFonts w:ascii="Times New Roman" w:cs="Times New Roman" w:eastAsia="Times New Roman" w:hAnsi="Times New Roman"/>
                <w:sz w:val="20"/>
                <w:szCs w:val="20"/>
              </w:rPr>
            </w:pPr>
            <w:r w:rsidDel="00000000" w:rsidR="00000000" w:rsidRPr="00000000">
              <w:rPr>
                <w:rtl w:val="0"/>
              </w:rPr>
            </w:r>
          </w:p>
        </w:tc>
      </w:tr>
      <w:tr>
        <w:trPr>
          <w:cantSplit w:val="0"/>
          <w:trHeight w:val="344" w:hRule="atLeast"/>
          <w:tblHeader w:val="0"/>
        </w:trPr>
        <w:tc>
          <w:tcPr/>
          <w:p w:rsidR="00000000" w:rsidDel="00000000" w:rsidP="00000000" w:rsidRDefault="00000000" w:rsidRPr="00000000" w14:paraId="00000011">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'large ncRNA' OR 'large ncRNAs' OR 'large non coding RNA' OR 'large noncoding RNA' OR 'lnc RNA' OR 'lncRNA' OR 'long ncRNA' OR 'long ncRNAs' OR 'long non coding RNA' OR 'long non protein coding RNA' OR 'long noncoding RNA' OR 'RNA, long noncoding' OR 'RNA, long untranslated' OR 'long untranslated RNA'</w:t>
            </w:r>
          </w:p>
        </w:tc>
        <w:tc>
          <w:tcPr>
            <w:vMerge w:val="restart"/>
          </w:tcPr>
          <w:p w:rsidR="00000000" w:rsidDel="00000000" w:rsidP="00000000" w:rsidRDefault="00000000" w:rsidRPr="00000000" w14:paraId="00000012">
            <w:pPr>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r>
      <w:tr>
        <w:trPr>
          <w:cantSplit w:val="0"/>
          <w:trHeight w:val="143" w:hRule="atLeast"/>
          <w:tblHeader w:val="0"/>
        </w:trPr>
        <w:tc>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'single nucleotide polymorphism' OR 'polymorphism, single nucleotide' OR 'single nucleotide variant' OR 'single nucleotide variation' OR 'single nucleotide polymorphism'</w:t>
            </w:r>
          </w:p>
        </w:tc>
        <w:tc>
          <w:tcPr>
            <w:vMerge w:val="continue"/>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'abortion, habitual' OR 'abortion, recurrent' OR 'chronic spontaneous abortion' OR 'habitual aborter' OR 'habitual aborters' OR 'habitual abortion' OR 'habitual abortions' OR 'habitual fetal loss' OR 'habitual miscarriage' OR 'habitual miscarriages' OR 'habitual pregnancy loss' OR 'recurrent aborter' OR 'recurrent aborters' OR 'recurrent abortions' OR 'recurrent fetal loss' OR 'recurrent miscarriage' OR 'recurrent pregnancy loss' OR 'repeated abortion' OR 'repeated abortions' OR 'repeated fetal loss' OR 'repeated miscarriage' OR 'repeated pregnancy loss' OR 'recurrent abortion'</w:t>
            </w:r>
          </w:p>
        </w:tc>
        <w:tc>
          <w:tcPr>
            <w:vMerge w:val="continue"/>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Scopus</w:t>
            </w:r>
          </w:p>
        </w:tc>
        <w:tc>
          <w:tcPr/>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sz w:val="20"/>
                <w:szCs w:val="20"/>
              </w:rPr>
            </w:pPr>
            <w:r w:rsidDel="00000000" w:rsidR="00000000" w:rsidRPr="00000000">
              <w:rPr>
                <w:rtl w:val="0"/>
              </w:rPr>
            </w:r>
          </w:p>
        </w:tc>
      </w:tr>
      <w:tr>
        <w:trPr>
          <w:cantSplit w:val="0"/>
          <w:trHeight w:val="278" w:hRule="atLeast"/>
          <w:tblHeader w:val="0"/>
        </w:trPr>
        <w:tc>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TITLE-ABS-KEY ("RNA, Long Noncoding" OR "Noncoding RNA, Long" OR "RNA, Long Untranslated" OR "Long Untranslated RNA" OR "Untranslated RNA, Long" OR LncRNA OR "Long ncRNA") AND TITLE-ABS-KEY ("Polymorphism, Single Nucleotide" OR "Nucleotide Polymorphism, Single" OR "Nucleotide Polymorphisms, Single" OR "Polymorphisms, Single Nucleotide" OR "Single Nucleotide Polymorphisms" OR "Single Nucleotide Polymorphism" OR SNPs) AND TITLE-ABS-KEY ("Recurrent pregnancy loss" OR "Recurrent spontaneous abortion" OR "Abortion, Recurrent" OR "Recurrent Abortion" OR "Recurrent Abortions" OR "Miscarriage, Recurrent" OR "Recurrent Miscarriage" OR "Recurrent Miscarriages")</w:t>
            </w:r>
          </w:p>
        </w:tc>
        <w:tc>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14</w:t>
            </w:r>
          </w:p>
        </w:tc>
      </w:tr>
    </w:tbl>
    <w:p w:rsidR="00000000" w:rsidDel="00000000" w:rsidP="00000000" w:rsidRDefault="00000000" w:rsidRPr="00000000" w14:paraId="0000001B">
      <w:pPr>
        <w:rPr>
          <w:rFonts w:ascii="Times New Roman" w:cs="Times New Roman" w:eastAsia="Times New Roman" w:hAnsi="Times New Roman"/>
          <w:b w:val="1"/>
          <w:bCs w:val="1"/>
          <w:sz w:val="20"/>
          <w:szCs w:val="20"/>
          <w:shd w:fill="fafafc" w:val="clea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2e75b5"/>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spacing w:line="240" w:lineRule="auto"/>
    </w:pPr>
    <w:rPr>
      <w:rFonts w:ascii="Times New Roman" w:cs="Times New Roman" w:eastAsia="Times New Roman" w:hAnsi="Times New Roman"/>
      <w:b w:val="1"/>
      <w:bCs w:val="1"/>
      <w:sz w:val="27"/>
      <w:szCs w:val="27"/>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tcBorders>
          <w:top w:color="7f7f7f" w:space="0" w:sz="4" w:val="single"/>
          <w:bottom w:color="7f7f7f" w:space="0" w:sz="4" w:val="single"/>
        </w:tcBorders>
      </w:tcPr>
    </w:tblStylePr>
    <w:tblStylePr w:type="band1Vert">
      <w:tcPr>
        <w:tcBorders>
          <w:left w:color="7f7f7f" w:space="0" w:sz="4" w:val="single"/>
          <w:right w:color="7f7f7f" w:space="0" w:sz="4" w:val="single"/>
        </w:tcBorders>
      </w:tcPr>
    </w:tblStylePr>
    <w:tblStylePr w:type="band2Vert">
      <w:tcPr>
        <w:tcBorders>
          <w:left w:color="7f7f7f" w:space="0" w:sz="4" w:val="single"/>
          <w:right w:color="7f7f7f" w:space="0" w:sz="4" w:val="single"/>
        </w:tcBorders>
      </w:tcPr>
    </w:tblStylePr>
    <w:tblStylePr w:type="firstCol">
      <w:rPr>
        <w:b w:val="1"/>
        <w:bCs w:val="1"/>
      </w:rPr>
    </w:tblStylePr>
    <w:tblStylePr w:type="firstRow">
      <w:rPr>
        <w:b w:val="1"/>
        <w:bCs w:val="1"/>
      </w:rPr>
      <w:tcPr>
        <w:tcBorders>
          <w:bottom w:color="7f7f7f" w:space="0" w:sz="4" w:val="single"/>
        </w:tcBorders>
      </w:tcPr>
    </w:tblStylePr>
    <w:tblStylePr w:type="lastCol">
      <w:rPr>
        <w:b w:val="1"/>
        <w:bCs w:val="1"/>
      </w:rPr>
    </w:tblStylePr>
    <w:tblStylePr w:type="lastRow">
      <w:rPr>
        <w:b w:val="1"/>
        <w:bCs w:val="1"/>
      </w:rPr>
      <w:tcPr>
        <w:tcBorders>
          <w:top w:color="7f7f7f" w:space="0" w:sz="4" w:val="single"/>
        </w:tcBorders>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A1+komHpAsYdigZpHm0dd0fdrQ==">CgMxLjA4AHIhMVVMS3VoTW5QU0I5a3VjeWNQamM1UHJlc0d1VVJNRVZr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