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9E21288" w:rsidR="00CE25E6" w:rsidRDefault="00153729">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 xml:space="preserve">Online Resource for: </w:t>
      </w:r>
      <w:r>
        <w:rPr>
          <w:rFonts w:ascii="Times New Roman" w:eastAsia="Times New Roman" w:hAnsi="Times New Roman" w:cs="Times New Roman"/>
          <w:color w:val="000000"/>
          <w:sz w:val="24"/>
          <w:szCs w:val="24"/>
        </w:rPr>
        <w:t>Corrie Hyland</w:t>
      </w:r>
      <w:r>
        <w:rPr>
          <w:rFonts w:ascii="Times New Roman" w:eastAsia="Times New Roman" w:hAnsi="Times New Roman" w:cs="Times New Roman"/>
          <w:color w:val="000000"/>
          <w:sz w:val="24"/>
          <w:szCs w:val="24"/>
          <w:vertAlign w:val="superscript"/>
        </w:rPr>
        <w:t>1,2</w:t>
      </w:r>
      <w:r>
        <w:rPr>
          <w:rFonts w:ascii="Times New Roman" w:eastAsia="Times New Roman" w:hAnsi="Times New Roman" w:cs="Times New Roman"/>
          <w:color w:val="000000"/>
          <w:sz w:val="24"/>
          <w:szCs w:val="24"/>
        </w:rPr>
        <w:t>; Michael B. Scott</w:t>
      </w:r>
      <w:r>
        <w:rPr>
          <w:rFonts w:ascii="Times New Roman" w:eastAsia="Times New Roman" w:hAnsi="Times New Roman" w:cs="Times New Roman"/>
          <w:color w:val="000000"/>
          <w:sz w:val="24"/>
          <w:szCs w:val="24"/>
          <w:vertAlign w:val="superscript"/>
        </w:rPr>
        <w:t>1,2</w:t>
      </w:r>
      <w:r>
        <w:rPr>
          <w:rFonts w:ascii="Times New Roman" w:eastAsia="Times New Roman" w:hAnsi="Times New Roman" w:cs="Times New Roman"/>
          <w:color w:val="000000"/>
          <w:sz w:val="24"/>
          <w:szCs w:val="24"/>
        </w:rPr>
        <w:t>, Jennifer Routledge</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Paul Szpak</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Stable Carbon and Nitrogen Isotope Variability of Bone Collagen to Determine the Number of Isotopically Distinct Specimens. </w:t>
      </w:r>
      <w:r>
        <w:rPr>
          <w:rFonts w:ascii="Times New Roman" w:eastAsia="Times New Roman" w:hAnsi="Times New Roman" w:cs="Times New Roman"/>
          <w:i/>
          <w:color w:val="000000"/>
          <w:sz w:val="24"/>
          <w:szCs w:val="24"/>
        </w:rPr>
        <w:t>Journal of Archaeological Method and Theory</w:t>
      </w:r>
    </w:p>
    <w:p w14:paraId="00000002" w14:textId="77777777" w:rsidR="00CE25E6" w:rsidRDefault="00CE25E6">
      <w:pPr>
        <w:pBdr>
          <w:top w:val="nil"/>
          <w:left w:val="nil"/>
          <w:bottom w:val="nil"/>
          <w:right w:val="nil"/>
          <w:between w:val="nil"/>
        </w:pBdr>
        <w:spacing w:after="0" w:line="480" w:lineRule="auto"/>
        <w:rPr>
          <w:rFonts w:ascii="Times New Roman" w:eastAsia="Times New Roman" w:hAnsi="Times New Roman" w:cs="Times New Roman"/>
          <w:color w:val="000000"/>
          <w:sz w:val="18"/>
          <w:szCs w:val="18"/>
        </w:rPr>
      </w:pPr>
    </w:p>
    <w:p w14:paraId="00000003" w14:textId="77777777" w:rsidR="00CE25E6" w:rsidRDefault="00153729">
      <w:pPr>
        <w:spacing w:after="0" w:line="480" w:lineRule="auto"/>
        <w:rPr>
          <w:rFonts w:ascii="Times New Roman" w:eastAsia="Times New Roman" w:hAnsi="Times New Roman" w:cs="Times New Roman"/>
        </w:rPr>
      </w:pPr>
      <w:r>
        <w:rPr>
          <w:rFonts w:ascii="Times New Roman" w:eastAsia="Times New Roman" w:hAnsi="Times New Roman" w:cs="Times New Roman"/>
        </w:rPr>
        <w:t>1. Department of Anthropology, Trent University, Peterborough, Ontario, K9L 0G2</w:t>
      </w:r>
    </w:p>
    <w:p w14:paraId="00000004" w14:textId="77777777" w:rsidR="00CE25E6" w:rsidRDefault="00153729">
      <w:pPr>
        <w:spacing w:after="0" w:line="480" w:lineRule="auto"/>
        <w:rPr>
          <w:rFonts w:ascii="Times New Roman" w:eastAsia="Times New Roman" w:hAnsi="Times New Roman" w:cs="Times New Roman"/>
        </w:rPr>
      </w:pPr>
      <w:r>
        <w:rPr>
          <w:rFonts w:ascii="Times New Roman" w:eastAsia="Times New Roman" w:hAnsi="Times New Roman" w:cs="Times New Roman"/>
        </w:rPr>
        <w:t>2. School of Archaeology, University of Oxford, Oxford, UK, OX1 3TG</w:t>
      </w:r>
    </w:p>
    <w:p w14:paraId="00000005" w14:textId="77777777" w:rsidR="00CE25E6" w:rsidRDefault="00CE25E6">
      <w:pPr>
        <w:spacing w:after="0" w:line="480" w:lineRule="auto"/>
        <w:rPr>
          <w:rFonts w:ascii="Times New Roman" w:eastAsia="Times New Roman" w:hAnsi="Times New Roman" w:cs="Times New Roman"/>
          <w:sz w:val="18"/>
          <w:szCs w:val="18"/>
        </w:rPr>
      </w:pPr>
    </w:p>
    <w:p w14:paraId="00000006"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Corresponding authors: </w:t>
      </w:r>
      <w:r>
        <w:rPr>
          <w:rFonts w:ascii="Times New Roman" w:eastAsia="Times New Roman" w:hAnsi="Times New Roman" w:cs="Times New Roman"/>
          <w:color w:val="000000"/>
          <w:sz w:val="24"/>
          <w:szCs w:val="24"/>
        </w:rPr>
        <w:t>corrie.hyland@hertford.ox.ac.uk, paulszpak@trentu.ca</w:t>
      </w:r>
    </w:p>
    <w:p w14:paraId="00000007" w14:textId="77777777" w:rsidR="00CE25E6" w:rsidRDefault="00CE25E6">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00000008"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Online Resource 1</w:t>
      </w:r>
    </w:p>
    <w:p w14:paraId="00000009" w14:textId="60C85607" w:rsidR="00CE25E6" w:rsidRDefault="0015372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Supplementary Method: Quality Control Indicator for Lipid Contamination</w:t>
      </w:r>
    </w:p>
    <w:p w14:paraId="00992416" w14:textId="10EDA9C0" w:rsidR="00A0593B" w:rsidRPr="00957932" w:rsidRDefault="00A0593B">
      <w:pPr>
        <w:pBdr>
          <w:top w:val="nil"/>
          <w:left w:val="nil"/>
          <w:bottom w:val="nil"/>
          <w:right w:val="nil"/>
          <w:between w:val="nil"/>
        </w:pBd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An important aspect of this research was characterizing intra-individual isotopic variation in bone collagen as accurately as possible. Accordingly, we needed to ensure that the only source of variation in isotopic composition was driven by variation in the diet and physiology of the individual animal and not b</w:t>
      </w:r>
      <w:r w:rsidR="00207A43">
        <w:rPr>
          <w:rFonts w:ascii="Times New Roman" w:eastAsia="Times New Roman" w:hAnsi="Times New Roman" w:cs="Times New Roman"/>
          <w:bCs/>
          <w:color w:val="000000"/>
          <w:sz w:val="24"/>
          <w:szCs w:val="24"/>
        </w:rPr>
        <w:t>y</w:t>
      </w:r>
      <w:r>
        <w:rPr>
          <w:rFonts w:ascii="Times New Roman" w:eastAsia="Times New Roman" w:hAnsi="Times New Roman" w:cs="Times New Roman"/>
          <w:bCs/>
          <w:color w:val="000000"/>
          <w:sz w:val="24"/>
          <w:szCs w:val="24"/>
        </w:rPr>
        <w:t xml:space="preserve"> experimental error. In the process of this </w:t>
      </w:r>
      <w:proofErr w:type="gramStart"/>
      <w:r>
        <w:rPr>
          <w:rFonts w:ascii="Times New Roman" w:eastAsia="Times New Roman" w:hAnsi="Times New Roman" w:cs="Times New Roman"/>
          <w:bCs/>
          <w:color w:val="000000"/>
          <w:sz w:val="24"/>
          <w:szCs w:val="24"/>
        </w:rPr>
        <w:t>research</w:t>
      </w:r>
      <w:proofErr w:type="gramEnd"/>
      <w:r>
        <w:rPr>
          <w:rFonts w:ascii="Times New Roman" w:eastAsia="Times New Roman" w:hAnsi="Times New Roman" w:cs="Times New Roman"/>
          <w:bCs/>
          <w:color w:val="000000"/>
          <w:sz w:val="24"/>
          <w:szCs w:val="24"/>
        </w:rPr>
        <w:t xml:space="preserve"> we observed strong correlations between the </w:t>
      </w:r>
      <w:r w:rsidRPr="00A0593B">
        <w:rPr>
          <w:rFonts w:ascii="Times New Roman" w:eastAsia="Times New Roman" w:hAnsi="Times New Roman" w:cs="Times New Roman"/>
          <w:bCs/>
          <w:i/>
          <w:iCs/>
          <w:color w:val="000000"/>
          <w:sz w:val="24"/>
          <w:szCs w:val="24"/>
          <w:lang w:val="en-GB"/>
        </w:rPr>
        <w:sym w:font="Symbol" w:char="F064"/>
      </w:r>
      <w:r w:rsidRPr="00A0593B">
        <w:rPr>
          <w:rFonts w:ascii="Times New Roman" w:eastAsia="Times New Roman" w:hAnsi="Times New Roman" w:cs="Times New Roman"/>
          <w:bCs/>
          <w:color w:val="000000"/>
          <w:sz w:val="24"/>
          <w:szCs w:val="24"/>
          <w:vertAlign w:val="superscript"/>
          <w:lang w:val="en-GB"/>
        </w:rPr>
        <w:t>13</w:t>
      </w:r>
      <w:r w:rsidRPr="00A0593B">
        <w:rPr>
          <w:rFonts w:ascii="Times New Roman" w:eastAsia="Times New Roman" w:hAnsi="Times New Roman" w:cs="Times New Roman"/>
          <w:bCs/>
          <w:color w:val="000000"/>
          <w:sz w:val="24"/>
          <w:szCs w:val="24"/>
          <w:lang w:val="en-GB"/>
        </w:rPr>
        <w:t>C</w:t>
      </w:r>
      <w:r>
        <w:rPr>
          <w:rFonts w:ascii="Times New Roman" w:eastAsia="Times New Roman" w:hAnsi="Times New Roman" w:cs="Times New Roman"/>
          <w:bCs/>
          <w:color w:val="000000"/>
          <w:sz w:val="24"/>
          <w:szCs w:val="24"/>
        </w:rPr>
        <w:t xml:space="preserve"> values and atomic C:N ratios of multiple bones within the same individual. This relationship should not exist as the amino acid composition of bone collagen does not vary among elements. The correlation between atomic C:N and </w:t>
      </w:r>
      <w:r w:rsidRPr="00A0593B">
        <w:rPr>
          <w:rFonts w:ascii="Times New Roman" w:eastAsia="Times New Roman" w:hAnsi="Times New Roman" w:cs="Times New Roman"/>
          <w:bCs/>
          <w:i/>
          <w:iCs/>
          <w:color w:val="000000"/>
          <w:sz w:val="24"/>
          <w:szCs w:val="24"/>
          <w:lang w:val="en-GB"/>
        </w:rPr>
        <w:sym w:font="Symbol" w:char="F064"/>
      </w:r>
      <w:r w:rsidRPr="00A0593B">
        <w:rPr>
          <w:rFonts w:ascii="Times New Roman" w:eastAsia="Times New Roman" w:hAnsi="Times New Roman" w:cs="Times New Roman"/>
          <w:bCs/>
          <w:color w:val="000000"/>
          <w:sz w:val="24"/>
          <w:szCs w:val="24"/>
          <w:vertAlign w:val="superscript"/>
          <w:lang w:val="en-GB"/>
        </w:rPr>
        <w:t>13</w:t>
      </w:r>
      <w:r w:rsidRPr="00A0593B">
        <w:rPr>
          <w:rFonts w:ascii="Times New Roman" w:eastAsia="Times New Roman" w:hAnsi="Times New Roman" w:cs="Times New Roman"/>
          <w:bCs/>
          <w:color w:val="000000"/>
          <w:sz w:val="24"/>
          <w:szCs w:val="24"/>
          <w:lang w:val="en-GB"/>
        </w:rPr>
        <w:t>C</w:t>
      </w:r>
      <w:r>
        <w:rPr>
          <w:rFonts w:ascii="Times New Roman" w:eastAsia="Times New Roman" w:hAnsi="Times New Roman" w:cs="Times New Roman"/>
          <w:bCs/>
          <w:color w:val="000000"/>
          <w:sz w:val="24"/>
          <w:szCs w:val="24"/>
        </w:rPr>
        <w:t xml:space="preserve"> is caused by the variable presence of contaminants with a high C:N ratio (or those that only contain carbon) and a relatively low </w:t>
      </w:r>
      <w:r w:rsidRPr="00A0593B">
        <w:rPr>
          <w:rFonts w:ascii="Times New Roman" w:eastAsia="Times New Roman" w:hAnsi="Times New Roman" w:cs="Times New Roman"/>
          <w:bCs/>
          <w:i/>
          <w:iCs/>
          <w:color w:val="000000"/>
          <w:sz w:val="24"/>
          <w:szCs w:val="24"/>
          <w:lang w:val="en-GB"/>
        </w:rPr>
        <w:sym w:font="Symbol" w:char="F064"/>
      </w:r>
      <w:r w:rsidRPr="00A0593B">
        <w:rPr>
          <w:rFonts w:ascii="Times New Roman" w:eastAsia="Times New Roman" w:hAnsi="Times New Roman" w:cs="Times New Roman"/>
          <w:bCs/>
          <w:color w:val="000000"/>
          <w:sz w:val="24"/>
          <w:szCs w:val="24"/>
          <w:vertAlign w:val="superscript"/>
          <w:lang w:val="en-GB"/>
        </w:rPr>
        <w:t>13</w:t>
      </w:r>
      <w:r w:rsidRPr="00A0593B">
        <w:rPr>
          <w:rFonts w:ascii="Times New Roman" w:eastAsia="Times New Roman" w:hAnsi="Times New Roman" w:cs="Times New Roman"/>
          <w:bCs/>
          <w:color w:val="000000"/>
          <w:sz w:val="24"/>
          <w:szCs w:val="24"/>
          <w:lang w:val="en-GB"/>
        </w:rPr>
        <w:t>C</w:t>
      </w:r>
      <w:r>
        <w:rPr>
          <w:rFonts w:ascii="Times New Roman" w:eastAsia="Times New Roman" w:hAnsi="Times New Roman" w:cs="Times New Roman"/>
          <w:bCs/>
          <w:color w:val="000000"/>
          <w:sz w:val="24"/>
          <w:szCs w:val="24"/>
        </w:rPr>
        <w:t xml:space="preserve"> value. Based on previous studies (Guiry and Szpak 2020; Guiry et al. 2016), it is safe to assume that lipids are the source of contamination. For example, </w:t>
      </w:r>
      <w:r w:rsidR="00153729">
        <w:rPr>
          <w:rFonts w:ascii="Times New Roman" w:eastAsia="Times New Roman" w:hAnsi="Times New Roman" w:cs="Times New Roman"/>
          <w:bCs/>
          <w:color w:val="000000"/>
          <w:sz w:val="24"/>
          <w:szCs w:val="24"/>
        </w:rPr>
        <w:t xml:space="preserve">most of the isotopic variation in </w:t>
      </w:r>
      <w:r>
        <w:rPr>
          <w:rFonts w:ascii="Times New Roman" w:eastAsia="Times New Roman" w:hAnsi="Times New Roman" w:cs="Times New Roman"/>
          <w:bCs/>
          <w:color w:val="000000"/>
          <w:sz w:val="24"/>
          <w:szCs w:val="24"/>
        </w:rPr>
        <w:t xml:space="preserve">the bones from the individual depicted in Figure S1A </w:t>
      </w:r>
      <w:r w:rsidR="00153729">
        <w:rPr>
          <w:rFonts w:ascii="Times New Roman" w:eastAsia="Times New Roman" w:hAnsi="Times New Roman" w:cs="Times New Roman"/>
          <w:bCs/>
          <w:color w:val="000000"/>
          <w:sz w:val="24"/>
          <w:szCs w:val="24"/>
        </w:rPr>
        <w:t xml:space="preserve">comes from the variable lipid content of the samples – those with C:N ratios around 3.10 have negligible amounts of lipids and those with C:N ratios around 3.40 have much higher quantities </w:t>
      </w:r>
      <w:r w:rsidR="00153729">
        <w:rPr>
          <w:rFonts w:ascii="Times New Roman" w:eastAsia="Times New Roman" w:hAnsi="Times New Roman" w:cs="Times New Roman"/>
          <w:bCs/>
          <w:color w:val="000000"/>
          <w:sz w:val="24"/>
          <w:szCs w:val="24"/>
        </w:rPr>
        <w:lastRenderedPageBreak/>
        <w:t xml:space="preserve">of lipids. The individual depicted in Figure S2B has a high amount of isotopic variation among the bones, but this likely represents a real dietary or physiological difference within that individual that cannot be explained by lipid contamination. It is therefore </w:t>
      </w:r>
      <w:proofErr w:type="gramStart"/>
      <w:r w:rsidR="00153729">
        <w:rPr>
          <w:rFonts w:ascii="Times New Roman" w:eastAsia="Times New Roman" w:hAnsi="Times New Roman" w:cs="Times New Roman"/>
          <w:bCs/>
          <w:color w:val="000000"/>
          <w:sz w:val="24"/>
          <w:szCs w:val="24"/>
        </w:rPr>
        <w:t>absolutely critical</w:t>
      </w:r>
      <w:proofErr w:type="gramEnd"/>
      <w:r w:rsidR="00153729">
        <w:rPr>
          <w:rFonts w:ascii="Times New Roman" w:eastAsia="Times New Roman" w:hAnsi="Times New Roman" w:cs="Times New Roman"/>
          <w:bCs/>
          <w:color w:val="000000"/>
          <w:sz w:val="24"/>
          <w:szCs w:val="24"/>
        </w:rPr>
        <w:t xml:space="preserve"> that great care be taken to ensure lipid contaminants are not present for future studies of this type. </w:t>
      </w:r>
    </w:p>
    <w:p w14:paraId="0000000A"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09C03E4" wp14:editId="3C4E1CDE">
            <wp:extent cx="2743200" cy="3467100"/>
            <wp:effectExtent l="0" t="0" r="0" b="0"/>
            <wp:docPr id="390117811"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6"/>
                    <a:srcRect/>
                    <a:stretch>
                      <a:fillRect/>
                    </a:stretch>
                  </pic:blipFill>
                  <pic:spPr>
                    <a:xfrm>
                      <a:off x="0" y="0"/>
                      <a:ext cx="2743200" cy="3467100"/>
                    </a:xfrm>
                    <a:prstGeom prst="rect">
                      <a:avLst/>
                    </a:prstGeom>
                    <a:ln/>
                  </pic:spPr>
                </pic:pic>
              </a:graphicData>
            </a:graphic>
          </wp:inline>
        </w:drawing>
      </w:r>
    </w:p>
    <w:p w14:paraId="0000000B" w14:textId="1955F98F" w:rsidR="00CE25E6" w:rsidRDefault="0015372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sidR="00A72F6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1: Relationship between C:N</w:t>
      </w:r>
      <w:r>
        <w:rPr>
          <w:rFonts w:ascii="Times New Roman" w:eastAsia="Times New Roman" w:hAnsi="Times New Roman" w:cs="Times New Roman"/>
          <w:color w:val="000000"/>
          <w:sz w:val="24"/>
          <w:szCs w:val="24"/>
          <w:vertAlign w:val="subscript"/>
        </w:rPr>
        <w:t>atomic</w:t>
      </w:r>
      <w:r>
        <w:rPr>
          <w:rFonts w:ascii="Times New Roman" w:eastAsia="Times New Roman" w:hAnsi="Times New Roman" w:cs="Times New Roman"/>
          <w:color w:val="000000"/>
          <w:sz w:val="24"/>
          <w:szCs w:val="24"/>
        </w:rPr>
        <w:t xml:space="preserve"> and </w:t>
      </w:r>
      <w:r>
        <w:rPr>
          <w:i/>
          <w:color w:val="000000"/>
          <w:sz w:val="24"/>
          <w:szCs w:val="24"/>
        </w:rPr>
        <w:t>δ</w:t>
      </w:r>
      <w:r>
        <w:rPr>
          <w:rFonts w:ascii="Times New Roman" w:eastAsia="Times New Roman" w:hAnsi="Times New Roman" w:cs="Times New Roman"/>
          <w:color w:val="000000"/>
          <w:sz w:val="24"/>
          <w:szCs w:val="24"/>
          <w:vertAlign w:val="superscript"/>
        </w:rPr>
        <w:t>13</w:t>
      </w:r>
      <w:r>
        <w:rPr>
          <w:rFonts w:ascii="Times New Roman" w:eastAsia="Times New Roman" w:hAnsi="Times New Roman" w:cs="Times New Roman"/>
          <w:color w:val="000000"/>
          <w:sz w:val="24"/>
          <w:szCs w:val="24"/>
        </w:rPr>
        <w:t xml:space="preserve">C values within two individual animals. Panel A is an example of a strong relationship indicating variable lipid contamination while Panel B is an example of a week relationship with no lipid contamination. This observable correlation was the method by-which samples were excluded </w:t>
      </w:r>
      <w:r>
        <w:rPr>
          <w:rFonts w:ascii="Times New Roman" w:eastAsia="Times New Roman" w:hAnsi="Times New Roman" w:cs="Times New Roman"/>
          <w:sz w:val="24"/>
          <w:szCs w:val="24"/>
        </w:rPr>
        <w:t>due to</w:t>
      </w:r>
      <w:r>
        <w:rPr>
          <w:rFonts w:ascii="Times New Roman" w:eastAsia="Times New Roman" w:hAnsi="Times New Roman" w:cs="Times New Roman"/>
          <w:color w:val="000000"/>
          <w:sz w:val="24"/>
          <w:szCs w:val="24"/>
        </w:rPr>
        <w:t xml:space="preserve"> lipid contamination quality control. </w:t>
      </w:r>
    </w:p>
    <w:p w14:paraId="0000000C"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Online Resource 2</w:t>
      </w:r>
    </w:p>
    <w:p w14:paraId="0000000D"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Supplementary Discussion: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Ecological and Life-History Explanations for Variation</w:t>
      </w:r>
    </w:p>
    <w:p w14:paraId="0000000E"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Additional Results</w:t>
      </w:r>
    </w:p>
    <w:p w14:paraId="0000000F" w14:textId="5DDC96C2" w:rsidR="00CE25E6" w:rsidRDefault="00153729">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results of the intra-individual data set were further examined to determine if trends exist based on animal species and their ecology. </w:t>
      </w:r>
      <w:sdt>
        <w:sdtPr>
          <w:tag w:val="goog_rdk_0"/>
          <w:id w:val="-636573008"/>
        </w:sdtPr>
        <w:sdtEndPr/>
        <w:sdtContent>
          <w:r>
            <w:rPr>
              <w:rFonts w:ascii="Times New Roman" w:eastAsia="Times New Roman" w:hAnsi="Times New Roman" w:cs="Times New Roman"/>
              <w:color w:val="000000"/>
              <w:sz w:val="24"/>
              <w:szCs w:val="24"/>
            </w:rPr>
            <w:t>The diets of the individuals analysed were not directly observed, therefore, the</w:t>
          </w:r>
          <w:r>
            <w:rPr>
              <w:rFonts w:ascii="Times New Roman" w:eastAsia="Times New Roman" w:hAnsi="Times New Roman" w:cs="Times New Roman"/>
              <w:sz w:val="24"/>
              <w:szCs w:val="24"/>
            </w:rPr>
            <w:t xml:space="preserve"> forthcoming</w:t>
          </w:r>
          <w:r>
            <w:rPr>
              <w:rFonts w:ascii="Times New Roman" w:eastAsia="Times New Roman" w:hAnsi="Times New Roman" w:cs="Times New Roman"/>
              <w:color w:val="000000"/>
              <w:sz w:val="24"/>
              <w:szCs w:val="24"/>
            </w:rPr>
            <w:t xml:space="preserve"> characteri</w:t>
          </w:r>
          <w:r>
            <w:rPr>
              <w:rFonts w:ascii="Times New Roman" w:eastAsia="Times New Roman" w:hAnsi="Times New Roman" w:cs="Times New Roman"/>
              <w:sz w:val="24"/>
              <w:szCs w:val="24"/>
            </w:rPr>
            <w:t>z</w:t>
          </w:r>
          <w:r>
            <w:rPr>
              <w:rFonts w:ascii="Times New Roman" w:eastAsia="Times New Roman" w:hAnsi="Times New Roman" w:cs="Times New Roman"/>
              <w:color w:val="000000"/>
              <w:sz w:val="24"/>
              <w:szCs w:val="24"/>
            </w:rPr>
            <w:t>ations are based on prevalent husbandry practices and species ecology.</w:t>
          </w:r>
        </w:sdtContent>
      </w:sdt>
      <w:r>
        <w:rPr>
          <w:rFonts w:ascii="Times New Roman" w:eastAsia="Times New Roman" w:hAnsi="Times New Roman" w:cs="Times New Roman"/>
          <w:color w:val="000000"/>
          <w:sz w:val="24"/>
          <w:szCs w:val="24"/>
        </w:rPr>
        <w:t xml:space="preserve"> Comparisons based on species clade revealed that birds had the lowest mean </w:t>
      </w:r>
      <w:r>
        <w:rPr>
          <w:rFonts w:ascii="Times New Roman" w:eastAsia="Times New Roman" w:hAnsi="Times New Roman" w:cs="Times New Roman"/>
          <w:color w:val="000000"/>
          <w:sz w:val="24"/>
          <w:szCs w:val="24"/>
        </w:rPr>
        <w:lastRenderedPageBreak/>
        <w:t>isotopic distance value (µ: 0.34 ± 0.22 ‰) when compared to mammals (µ: 0.57 ± 0.48 ‰) and fish (µ: 0.46 ± 0.49 ‰) (Figures S</w:t>
      </w:r>
      <w:r w:rsidR="008E1B3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Of the terrestrial animals, mean isotopic distance values were low for the weasel (µ: 0.46</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and the other domesticated species, including cow (µ: 0.55‰), pig (µ: 0.20</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and turkey (µ: 0.14</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(Figures S</w:t>
      </w:r>
      <w:r w:rsidR="008E1B3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An exception to the low mean isotopic distance values observed in terrestrial animals can be seen with the raccoon, which had the largest value (µ: 1.10‰) observed among all the species examined in this study, primarily due to the stark variation in </w:t>
      </w:r>
      <w:r>
        <w:rPr>
          <w:rFonts w:ascii="Times New Roman" w:eastAsia="Times New Roman" w:hAnsi="Times New Roman" w:cs="Times New Roman"/>
          <w:i/>
          <w:color w:val="000000"/>
          <w:sz w:val="24"/>
          <w:szCs w:val="24"/>
        </w:rPr>
        <w:t>δ</w:t>
      </w:r>
      <w:r>
        <w:rPr>
          <w:rFonts w:ascii="Times New Roman" w:eastAsia="Times New Roman" w:hAnsi="Times New Roman" w:cs="Times New Roman"/>
          <w:color w:val="000000"/>
          <w:sz w:val="24"/>
          <w:szCs w:val="24"/>
          <w:vertAlign w:val="superscript"/>
        </w:rPr>
        <w:t>13</w:t>
      </w:r>
      <w:r>
        <w:rPr>
          <w:rFonts w:ascii="Times New Roman" w:eastAsia="Times New Roman" w:hAnsi="Times New Roman" w:cs="Times New Roman"/>
          <w:color w:val="000000"/>
          <w:sz w:val="24"/>
          <w:szCs w:val="24"/>
        </w:rPr>
        <w:t>C among its different elements (Figure 4). When comparing migratory and non-migratory species of the same clade, the migratory Northern Flicker had a lower mean isotopic distance measurement (µ: 0.11</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when compared to the non-migratory Hairy Woodpecker (µ: 0.47</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and migratory harp seals had a lower mean isotopic distance (µ: 0.40</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than non-migratory Pacific Ocean Perch (µ: 0.69</w:t>
      </w:r>
      <w:r w:rsidR="00A72F6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(Figures S</w:t>
      </w:r>
      <w:r w:rsidR="008E1B3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and Table S1).</w:t>
      </w:r>
    </w:p>
    <w:p w14:paraId="00000010" w14:textId="77777777" w:rsidR="00CE25E6" w:rsidRDefault="00153729">
      <w:pPr>
        <w:rPr>
          <w:rFonts w:ascii="Times New Roman" w:eastAsia="Times New Roman" w:hAnsi="Times New Roman" w:cs="Times New Roman"/>
          <w:color w:val="000000"/>
          <w:sz w:val="24"/>
          <w:szCs w:val="24"/>
        </w:rPr>
      </w:pPr>
      <w:r>
        <w:br w:type="page"/>
      </w:r>
    </w:p>
    <w:p w14:paraId="00000011" w14:textId="77777777" w:rsidR="00CE25E6" w:rsidRDefault="001537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S1: Summary statistics for the calculated distances between </w:t>
      </w:r>
      <w:r>
        <w:rPr>
          <w:rFonts w:ascii="Times New Roman" w:eastAsia="Times New Roman" w:hAnsi="Times New Roman" w:cs="Times New Roman"/>
          <w:i/>
          <w:color w:val="000000"/>
          <w:sz w:val="24"/>
          <w:szCs w:val="24"/>
        </w:rPr>
        <w:t>δ</w:t>
      </w:r>
      <w:r>
        <w:rPr>
          <w:rFonts w:ascii="Times New Roman" w:eastAsia="Times New Roman" w:hAnsi="Times New Roman" w:cs="Times New Roman"/>
          <w:color w:val="000000"/>
          <w:sz w:val="24"/>
          <w:szCs w:val="24"/>
          <w:vertAlign w:val="superscript"/>
        </w:rPr>
        <w:t>13</w:t>
      </w:r>
      <w:r>
        <w:rPr>
          <w:rFonts w:ascii="Times New Roman" w:eastAsia="Times New Roman" w:hAnsi="Times New Roman" w:cs="Times New Roman"/>
          <w:color w:val="000000"/>
          <w:sz w:val="24"/>
          <w:szCs w:val="24"/>
        </w:rPr>
        <w:t xml:space="preserve">C and </w:t>
      </w:r>
      <w:r>
        <w:rPr>
          <w:rFonts w:ascii="Times New Roman" w:eastAsia="Times New Roman" w:hAnsi="Times New Roman" w:cs="Times New Roman"/>
          <w:i/>
          <w:color w:val="000000"/>
          <w:sz w:val="24"/>
          <w:szCs w:val="24"/>
        </w:rPr>
        <w:t>δ</w:t>
      </w:r>
      <w:r>
        <w:rPr>
          <w:rFonts w:ascii="Times New Roman" w:eastAsia="Times New Roman" w:hAnsi="Times New Roman" w:cs="Times New Roman"/>
          <w:color w:val="000000"/>
          <w:sz w:val="24"/>
          <w:szCs w:val="24"/>
          <w:vertAlign w:val="superscript"/>
        </w:rPr>
        <w:t>15</w:t>
      </w:r>
      <w:r>
        <w:rPr>
          <w:rFonts w:ascii="Times New Roman" w:eastAsia="Times New Roman" w:hAnsi="Times New Roman" w:cs="Times New Roman"/>
          <w:color w:val="000000"/>
          <w:sz w:val="24"/>
          <w:szCs w:val="24"/>
        </w:rPr>
        <w:t>N values in isotopic space (‰).</w:t>
      </w:r>
    </w:p>
    <w:tbl>
      <w:tblPr>
        <w:tblStyle w:val="a"/>
        <w:tblW w:w="8505" w:type="dxa"/>
        <w:tblLayout w:type="fixed"/>
        <w:tblLook w:val="0400" w:firstRow="0" w:lastRow="0" w:firstColumn="0" w:lastColumn="0" w:noHBand="0" w:noVBand="1"/>
      </w:tblPr>
      <w:tblGrid>
        <w:gridCol w:w="2268"/>
        <w:gridCol w:w="1247"/>
        <w:gridCol w:w="1247"/>
        <w:gridCol w:w="1248"/>
        <w:gridCol w:w="1247"/>
        <w:gridCol w:w="1248"/>
      </w:tblGrid>
      <w:tr w:rsidR="00CE25E6" w14:paraId="464FF172" w14:textId="77777777" w:rsidTr="00957932">
        <w:trPr>
          <w:trHeight w:val="285"/>
        </w:trPr>
        <w:tc>
          <w:tcPr>
            <w:tcW w:w="2268" w:type="dxa"/>
            <w:tcBorders>
              <w:top w:val="single" w:sz="4" w:space="0" w:color="000000"/>
              <w:left w:val="nil"/>
              <w:bottom w:val="single" w:sz="4" w:space="0" w:color="000000"/>
              <w:right w:val="nil"/>
            </w:tcBorders>
            <w:shd w:val="clear" w:color="auto" w:fill="auto"/>
            <w:vAlign w:val="center"/>
          </w:tcPr>
          <w:p w14:paraId="00000012" w14:textId="77777777" w:rsidR="00CE25E6" w:rsidRDefault="00153729">
            <w:pPr>
              <w:spacing w:after="0" w:line="240" w:lineRule="auto"/>
              <w:rPr>
                <w:rFonts w:ascii="Arial" w:eastAsia="Arial" w:hAnsi="Arial" w:cs="Arial"/>
                <w:b/>
                <w:color w:val="000000"/>
              </w:rPr>
            </w:pPr>
            <w:r>
              <w:rPr>
                <w:rFonts w:ascii="Arial" w:eastAsia="Arial" w:hAnsi="Arial" w:cs="Arial"/>
                <w:b/>
                <w:color w:val="000000"/>
              </w:rPr>
              <w:t>Sample Group</w:t>
            </w:r>
          </w:p>
        </w:tc>
        <w:tc>
          <w:tcPr>
            <w:tcW w:w="1247" w:type="dxa"/>
            <w:tcBorders>
              <w:top w:val="single" w:sz="4" w:space="0" w:color="000000"/>
              <w:left w:val="nil"/>
              <w:bottom w:val="single" w:sz="4" w:space="0" w:color="000000"/>
              <w:right w:val="nil"/>
            </w:tcBorders>
            <w:shd w:val="clear" w:color="auto" w:fill="auto"/>
            <w:vAlign w:val="center"/>
          </w:tcPr>
          <w:p w14:paraId="00000013" w14:textId="77777777" w:rsidR="00CE25E6" w:rsidRDefault="00153729" w:rsidP="00957932">
            <w:pPr>
              <w:spacing w:after="0" w:line="240" w:lineRule="auto"/>
              <w:rPr>
                <w:rFonts w:ascii="Arial" w:eastAsia="Arial" w:hAnsi="Arial" w:cs="Arial"/>
                <w:b/>
                <w:color w:val="000000"/>
              </w:rPr>
            </w:pPr>
            <w:r>
              <w:rPr>
                <w:rFonts w:ascii="Arial" w:eastAsia="Arial" w:hAnsi="Arial" w:cs="Arial"/>
                <w:b/>
                <w:color w:val="000000"/>
              </w:rPr>
              <w:t>n</w:t>
            </w:r>
          </w:p>
        </w:tc>
        <w:tc>
          <w:tcPr>
            <w:tcW w:w="1247" w:type="dxa"/>
            <w:tcBorders>
              <w:top w:val="single" w:sz="4" w:space="0" w:color="000000"/>
              <w:left w:val="nil"/>
              <w:bottom w:val="single" w:sz="4" w:space="0" w:color="000000"/>
              <w:right w:val="nil"/>
            </w:tcBorders>
            <w:shd w:val="clear" w:color="auto" w:fill="auto"/>
            <w:vAlign w:val="center"/>
          </w:tcPr>
          <w:p w14:paraId="00000014" w14:textId="77777777" w:rsidR="00CE25E6" w:rsidRDefault="00153729" w:rsidP="00957932">
            <w:pPr>
              <w:spacing w:after="0" w:line="240" w:lineRule="auto"/>
              <w:rPr>
                <w:rFonts w:ascii="Arial" w:eastAsia="Arial" w:hAnsi="Arial" w:cs="Arial"/>
                <w:b/>
                <w:color w:val="000000"/>
              </w:rPr>
            </w:pPr>
            <w:r>
              <w:rPr>
                <w:rFonts w:ascii="Arial" w:eastAsia="Arial" w:hAnsi="Arial" w:cs="Arial"/>
                <w:b/>
                <w:color w:val="000000"/>
              </w:rPr>
              <w:t>Mean</w:t>
            </w:r>
          </w:p>
        </w:tc>
        <w:tc>
          <w:tcPr>
            <w:tcW w:w="1248" w:type="dxa"/>
            <w:tcBorders>
              <w:top w:val="single" w:sz="4" w:space="0" w:color="000000"/>
              <w:left w:val="nil"/>
              <w:bottom w:val="single" w:sz="4" w:space="0" w:color="000000"/>
              <w:right w:val="nil"/>
            </w:tcBorders>
            <w:shd w:val="clear" w:color="auto" w:fill="auto"/>
            <w:vAlign w:val="center"/>
          </w:tcPr>
          <w:p w14:paraId="00000015" w14:textId="77777777" w:rsidR="00CE25E6" w:rsidRDefault="00153729" w:rsidP="00957932">
            <w:pPr>
              <w:spacing w:after="0" w:line="240" w:lineRule="auto"/>
              <w:rPr>
                <w:rFonts w:ascii="Arial" w:eastAsia="Arial" w:hAnsi="Arial" w:cs="Arial"/>
                <w:b/>
                <w:color w:val="000000"/>
              </w:rPr>
            </w:pPr>
            <w:r>
              <w:rPr>
                <w:rFonts w:ascii="Noto Sans Symbols" w:eastAsia="Noto Sans Symbols" w:hAnsi="Noto Sans Symbols" w:cs="Noto Sans Symbols"/>
                <w:b/>
              </w:rPr>
              <w:t>σ</w:t>
            </w:r>
          </w:p>
        </w:tc>
        <w:tc>
          <w:tcPr>
            <w:tcW w:w="1247" w:type="dxa"/>
            <w:tcBorders>
              <w:top w:val="single" w:sz="4" w:space="0" w:color="000000"/>
              <w:left w:val="nil"/>
              <w:bottom w:val="single" w:sz="4" w:space="0" w:color="000000"/>
              <w:right w:val="nil"/>
            </w:tcBorders>
            <w:shd w:val="clear" w:color="auto" w:fill="auto"/>
            <w:vAlign w:val="center"/>
          </w:tcPr>
          <w:p w14:paraId="00000016" w14:textId="77777777" w:rsidR="00CE25E6" w:rsidRDefault="00153729" w:rsidP="00957932">
            <w:pPr>
              <w:spacing w:after="0" w:line="240" w:lineRule="auto"/>
              <w:rPr>
                <w:rFonts w:ascii="Arial" w:eastAsia="Arial" w:hAnsi="Arial" w:cs="Arial"/>
                <w:b/>
                <w:color w:val="000000"/>
              </w:rPr>
            </w:pPr>
            <w:r>
              <w:rPr>
                <w:rFonts w:ascii="Arial" w:eastAsia="Arial" w:hAnsi="Arial" w:cs="Arial"/>
                <w:b/>
                <w:color w:val="000000"/>
              </w:rPr>
              <w:t>Min</w:t>
            </w:r>
          </w:p>
        </w:tc>
        <w:tc>
          <w:tcPr>
            <w:tcW w:w="1248" w:type="dxa"/>
            <w:tcBorders>
              <w:top w:val="single" w:sz="4" w:space="0" w:color="000000"/>
              <w:left w:val="nil"/>
              <w:bottom w:val="single" w:sz="4" w:space="0" w:color="000000"/>
              <w:right w:val="nil"/>
            </w:tcBorders>
            <w:shd w:val="clear" w:color="auto" w:fill="auto"/>
            <w:vAlign w:val="center"/>
          </w:tcPr>
          <w:p w14:paraId="00000017" w14:textId="77777777" w:rsidR="00CE25E6" w:rsidRDefault="00153729" w:rsidP="00957932">
            <w:pPr>
              <w:spacing w:after="0" w:line="240" w:lineRule="auto"/>
              <w:rPr>
                <w:rFonts w:ascii="Arial" w:eastAsia="Arial" w:hAnsi="Arial" w:cs="Arial"/>
                <w:b/>
                <w:color w:val="000000"/>
              </w:rPr>
            </w:pPr>
            <w:r>
              <w:rPr>
                <w:rFonts w:ascii="Arial" w:eastAsia="Arial" w:hAnsi="Arial" w:cs="Arial"/>
                <w:b/>
                <w:color w:val="000000"/>
              </w:rPr>
              <w:t>Max</w:t>
            </w:r>
          </w:p>
        </w:tc>
      </w:tr>
      <w:tr w:rsidR="00CE25E6" w14:paraId="03EE895F" w14:textId="77777777" w:rsidTr="00957932">
        <w:trPr>
          <w:trHeight w:val="285"/>
        </w:trPr>
        <w:tc>
          <w:tcPr>
            <w:tcW w:w="2268" w:type="dxa"/>
            <w:tcBorders>
              <w:top w:val="single" w:sz="4" w:space="0" w:color="000000"/>
              <w:left w:val="nil"/>
              <w:bottom w:val="nil"/>
              <w:right w:val="nil"/>
            </w:tcBorders>
            <w:shd w:val="clear" w:color="auto" w:fill="auto"/>
            <w:vAlign w:val="bottom"/>
          </w:tcPr>
          <w:p w14:paraId="00000018" w14:textId="77777777" w:rsidR="00CE25E6" w:rsidRDefault="00153729">
            <w:pPr>
              <w:spacing w:after="0" w:line="240" w:lineRule="auto"/>
              <w:rPr>
                <w:rFonts w:ascii="Arial" w:eastAsia="Arial" w:hAnsi="Arial" w:cs="Arial"/>
                <w:color w:val="000000"/>
              </w:rPr>
            </w:pPr>
            <w:r>
              <w:rPr>
                <w:rFonts w:ascii="Arial" w:eastAsia="Arial" w:hAnsi="Arial" w:cs="Arial"/>
                <w:color w:val="000000"/>
              </w:rPr>
              <w:t>Inter-individual</w:t>
            </w:r>
          </w:p>
        </w:tc>
        <w:tc>
          <w:tcPr>
            <w:tcW w:w="1247" w:type="dxa"/>
            <w:tcBorders>
              <w:top w:val="single" w:sz="4" w:space="0" w:color="000000"/>
              <w:left w:val="nil"/>
              <w:bottom w:val="nil"/>
              <w:right w:val="nil"/>
            </w:tcBorders>
            <w:shd w:val="clear" w:color="auto" w:fill="auto"/>
            <w:vAlign w:val="bottom"/>
          </w:tcPr>
          <w:p w14:paraId="0000001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15802</w:t>
            </w:r>
          </w:p>
        </w:tc>
        <w:tc>
          <w:tcPr>
            <w:tcW w:w="1247" w:type="dxa"/>
            <w:tcBorders>
              <w:top w:val="single" w:sz="4" w:space="0" w:color="000000"/>
              <w:left w:val="nil"/>
              <w:bottom w:val="nil"/>
              <w:right w:val="nil"/>
            </w:tcBorders>
            <w:shd w:val="clear" w:color="auto" w:fill="auto"/>
            <w:vAlign w:val="bottom"/>
          </w:tcPr>
          <w:p w14:paraId="0000001A"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1.45</w:t>
            </w:r>
          </w:p>
        </w:tc>
        <w:tc>
          <w:tcPr>
            <w:tcW w:w="1248" w:type="dxa"/>
            <w:tcBorders>
              <w:top w:val="single" w:sz="4" w:space="0" w:color="000000"/>
              <w:left w:val="nil"/>
              <w:bottom w:val="nil"/>
              <w:right w:val="nil"/>
            </w:tcBorders>
            <w:shd w:val="clear" w:color="auto" w:fill="auto"/>
            <w:vAlign w:val="bottom"/>
          </w:tcPr>
          <w:p w14:paraId="0000001B"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1.15</w:t>
            </w:r>
          </w:p>
        </w:tc>
        <w:tc>
          <w:tcPr>
            <w:tcW w:w="1247" w:type="dxa"/>
            <w:tcBorders>
              <w:top w:val="single" w:sz="4" w:space="0" w:color="000000"/>
              <w:left w:val="nil"/>
              <w:bottom w:val="nil"/>
              <w:right w:val="nil"/>
            </w:tcBorders>
            <w:shd w:val="clear" w:color="auto" w:fill="auto"/>
            <w:vAlign w:val="bottom"/>
          </w:tcPr>
          <w:p w14:paraId="0000001C"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0.00</w:t>
            </w:r>
          </w:p>
        </w:tc>
        <w:tc>
          <w:tcPr>
            <w:tcW w:w="1248" w:type="dxa"/>
            <w:tcBorders>
              <w:top w:val="single" w:sz="4" w:space="0" w:color="000000"/>
              <w:left w:val="nil"/>
              <w:bottom w:val="nil"/>
              <w:right w:val="nil"/>
            </w:tcBorders>
            <w:shd w:val="clear" w:color="auto" w:fill="auto"/>
            <w:vAlign w:val="bottom"/>
          </w:tcPr>
          <w:p w14:paraId="0000001D"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11.04</w:t>
            </w:r>
          </w:p>
        </w:tc>
      </w:tr>
      <w:tr w:rsidR="00CE25E6" w14:paraId="7118A4A7" w14:textId="77777777" w:rsidTr="00957932">
        <w:trPr>
          <w:trHeight w:val="285"/>
        </w:trPr>
        <w:tc>
          <w:tcPr>
            <w:tcW w:w="2268" w:type="dxa"/>
            <w:tcBorders>
              <w:top w:val="nil"/>
              <w:left w:val="nil"/>
              <w:bottom w:val="nil"/>
              <w:right w:val="nil"/>
            </w:tcBorders>
            <w:shd w:val="clear" w:color="auto" w:fill="auto"/>
            <w:vAlign w:val="bottom"/>
          </w:tcPr>
          <w:p w14:paraId="0000001E" w14:textId="77777777" w:rsidR="00CE25E6" w:rsidRDefault="00153729">
            <w:pPr>
              <w:spacing w:after="0" w:line="240" w:lineRule="auto"/>
              <w:rPr>
                <w:rFonts w:ascii="Arial" w:eastAsia="Arial" w:hAnsi="Arial" w:cs="Arial"/>
                <w:color w:val="000000"/>
              </w:rPr>
            </w:pPr>
            <w:r>
              <w:rPr>
                <w:rFonts w:ascii="Arial" w:eastAsia="Arial" w:hAnsi="Arial" w:cs="Arial"/>
                <w:color w:val="000000"/>
              </w:rPr>
              <w:t>Intra-individual</w:t>
            </w:r>
          </w:p>
        </w:tc>
        <w:tc>
          <w:tcPr>
            <w:tcW w:w="1247" w:type="dxa"/>
            <w:tcBorders>
              <w:top w:val="nil"/>
              <w:left w:val="nil"/>
              <w:bottom w:val="nil"/>
              <w:right w:val="nil"/>
            </w:tcBorders>
            <w:shd w:val="clear" w:color="auto" w:fill="auto"/>
            <w:vAlign w:val="bottom"/>
          </w:tcPr>
          <w:p w14:paraId="0000001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484</w:t>
            </w:r>
          </w:p>
        </w:tc>
        <w:tc>
          <w:tcPr>
            <w:tcW w:w="1247" w:type="dxa"/>
            <w:tcBorders>
              <w:top w:val="nil"/>
              <w:left w:val="nil"/>
              <w:bottom w:val="nil"/>
              <w:right w:val="nil"/>
            </w:tcBorders>
            <w:shd w:val="clear" w:color="auto" w:fill="auto"/>
            <w:vAlign w:val="bottom"/>
          </w:tcPr>
          <w:p w14:paraId="00000020"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0.52</w:t>
            </w:r>
          </w:p>
        </w:tc>
        <w:tc>
          <w:tcPr>
            <w:tcW w:w="1248" w:type="dxa"/>
            <w:tcBorders>
              <w:top w:val="nil"/>
              <w:left w:val="nil"/>
              <w:bottom w:val="nil"/>
              <w:right w:val="nil"/>
            </w:tcBorders>
            <w:shd w:val="clear" w:color="auto" w:fill="auto"/>
            <w:vAlign w:val="bottom"/>
          </w:tcPr>
          <w:p w14:paraId="0000002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0.45</w:t>
            </w:r>
          </w:p>
        </w:tc>
        <w:tc>
          <w:tcPr>
            <w:tcW w:w="1247" w:type="dxa"/>
            <w:tcBorders>
              <w:top w:val="nil"/>
              <w:left w:val="nil"/>
              <w:bottom w:val="nil"/>
              <w:right w:val="nil"/>
            </w:tcBorders>
            <w:shd w:val="clear" w:color="auto" w:fill="auto"/>
            <w:vAlign w:val="bottom"/>
          </w:tcPr>
          <w:p w14:paraId="00000022"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0.01</w:t>
            </w:r>
          </w:p>
        </w:tc>
        <w:tc>
          <w:tcPr>
            <w:tcW w:w="1248" w:type="dxa"/>
            <w:tcBorders>
              <w:top w:val="nil"/>
              <w:left w:val="nil"/>
              <w:bottom w:val="nil"/>
              <w:right w:val="nil"/>
            </w:tcBorders>
            <w:shd w:val="clear" w:color="auto" w:fill="auto"/>
            <w:vAlign w:val="bottom"/>
          </w:tcPr>
          <w:p w14:paraId="0000002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2.80</w:t>
            </w:r>
          </w:p>
        </w:tc>
      </w:tr>
      <w:tr w:rsidR="00CE25E6" w14:paraId="59717BC6" w14:textId="77777777" w:rsidTr="00957932">
        <w:trPr>
          <w:trHeight w:val="285"/>
        </w:trPr>
        <w:tc>
          <w:tcPr>
            <w:tcW w:w="2268" w:type="dxa"/>
            <w:tcBorders>
              <w:top w:val="nil"/>
              <w:left w:val="nil"/>
              <w:bottom w:val="nil"/>
              <w:right w:val="nil"/>
            </w:tcBorders>
            <w:shd w:val="clear" w:color="auto" w:fill="auto"/>
            <w:vAlign w:val="bottom"/>
          </w:tcPr>
          <w:p w14:paraId="00000024" w14:textId="77777777" w:rsidR="00CE25E6" w:rsidRDefault="00153729">
            <w:pPr>
              <w:spacing w:after="0" w:line="240" w:lineRule="auto"/>
              <w:rPr>
                <w:rFonts w:ascii="Arial" w:eastAsia="Arial" w:hAnsi="Arial" w:cs="Arial"/>
                <w:color w:val="000000"/>
              </w:rPr>
            </w:pPr>
            <w:r>
              <w:rPr>
                <w:rFonts w:ascii="Arial" w:eastAsia="Arial" w:hAnsi="Arial" w:cs="Arial"/>
                <w:color w:val="000000"/>
              </w:rPr>
              <w:t>Intra-bone</w:t>
            </w:r>
          </w:p>
        </w:tc>
        <w:tc>
          <w:tcPr>
            <w:tcW w:w="1247" w:type="dxa"/>
            <w:tcBorders>
              <w:top w:val="nil"/>
              <w:left w:val="nil"/>
              <w:bottom w:val="nil"/>
              <w:right w:val="nil"/>
            </w:tcBorders>
            <w:shd w:val="clear" w:color="auto" w:fill="auto"/>
            <w:vAlign w:val="bottom"/>
          </w:tcPr>
          <w:p w14:paraId="00000025"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27</w:t>
            </w:r>
          </w:p>
        </w:tc>
        <w:tc>
          <w:tcPr>
            <w:tcW w:w="1247" w:type="dxa"/>
            <w:tcBorders>
              <w:top w:val="nil"/>
              <w:left w:val="nil"/>
              <w:bottom w:val="nil"/>
              <w:right w:val="nil"/>
            </w:tcBorders>
            <w:shd w:val="clear" w:color="auto" w:fill="auto"/>
            <w:vAlign w:val="bottom"/>
          </w:tcPr>
          <w:p w14:paraId="00000026"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0.63</w:t>
            </w:r>
          </w:p>
        </w:tc>
        <w:tc>
          <w:tcPr>
            <w:tcW w:w="1248" w:type="dxa"/>
            <w:tcBorders>
              <w:top w:val="nil"/>
              <w:left w:val="nil"/>
              <w:bottom w:val="nil"/>
              <w:right w:val="nil"/>
            </w:tcBorders>
            <w:shd w:val="clear" w:color="auto" w:fill="auto"/>
            <w:vAlign w:val="bottom"/>
          </w:tcPr>
          <w:p w14:paraId="00000027"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0.06</w:t>
            </w:r>
          </w:p>
        </w:tc>
        <w:tc>
          <w:tcPr>
            <w:tcW w:w="1247" w:type="dxa"/>
            <w:tcBorders>
              <w:top w:val="nil"/>
              <w:left w:val="nil"/>
              <w:bottom w:val="nil"/>
              <w:right w:val="nil"/>
            </w:tcBorders>
            <w:shd w:val="clear" w:color="auto" w:fill="auto"/>
            <w:vAlign w:val="bottom"/>
          </w:tcPr>
          <w:p w14:paraId="00000028"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0.03</w:t>
            </w:r>
          </w:p>
        </w:tc>
        <w:tc>
          <w:tcPr>
            <w:tcW w:w="1248" w:type="dxa"/>
            <w:tcBorders>
              <w:top w:val="nil"/>
              <w:left w:val="nil"/>
              <w:bottom w:val="nil"/>
              <w:right w:val="nil"/>
            </w:tcBorders>
            <w:shd w:val="clear" w:color="auto" w:fill="auto"/>
            <w:vAlign w:val="bottom"/>
          </w:tcPr>
          <w:p w14:paraId="0000002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1.25</w:t>
            </w:r>
          </w:p>
        </w:tc>
      </w:tr>
      <w:tr w:rsidR="00CE25E6" w14:paraId="71A6445A" w14:textId="77777777" w:rsidTr="00957932">
        <w:trPr>
          <w:trHeight w:val="285"/>
        </w:trPr>
        <w:tc>
          <w:tcPr>
            <w:tcW w:w="2268" w:type="dxa"/>
            <w:tcBorders>
              <w:top w:val="nil"/>
              <w:left w:val="nil"/>
              <w:bottom w:val="nil"/>
              <w:right w:val="nil"/>
            </w:tcBorders>
            <w:shd w:val="clear" w:color="auto" w:fill="auto"/>
            <w:vAlign w:val="bottom"/>
          </w:tcPr>
          <w:p w14:paraId="0000002A" w14:textId="77777777" w:rsidR="00CE25E6" w:rsidRDefault="00CE25E6">
            <w:pPr>
              <w:spacing w:after="0" w:line="240" w:lineRule="auto"/>
              <w:jc w:val="right"/>
              <w:rPr>
                <w:rFonts w:ascii="Arial" w:eastAsia="Arial" w:hAnsi="Arial" w:cs="Arial"/>
                <w:color w:val="000000"/>
              </w:rPr>
            </w:pPr>
          </w:p>
        </w:tc>
        <w:tc>
          <w:tcPr>
            <w:tcW w:w="1247" w:type="dxa"/>
            <w:tcBorders>
              <w:top w:val="nil"/>
              <w:left w:val="nil"/>
              <w:bottom w:val="nil"/>
              <w:right w:val="nil"/>
            </w:tcBorders>
            <w:shd w:val="clear" w:color="auto" w:fill="auto"/>
            <w:vAlign w:val="bottom"/>
          </w:tcPr>
          <w:p w14:paraId="0000002B"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2C"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2D"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2E"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2F" w14:textId="77777777" w:rsidR="00CE25E6" w:rsidRDefault="00CE25E6">
            <w:pPr>
              <w:spacing w:after="0" w:line="240" w:lineRule="auto"/>
              <w:rPr>
                <w:rFonts w:ascii="Arial" w:eastAsia="Arial" w:hAnsi="Arial" w:cs="Arial"/>
              </w:rPr>
            </w:pPr>
          </w:p>
        </w:tc>
      </w:tr>
      <w:tr w:rsidR="00CE25E6" w14:paraId="12992057" w14:textId="77777777" w:rsidTr="00957932">
        <w:trPr>
          <w:trHeight w:val="285"/>
        </w:trPr>
        <w:tc>
          <w:tcPr>
            <w:tcW w:w="2268" w:type="dxa"/>
            <w:tcBorders>
              <w:top w:val="nil"/>
              <w:left w:val="nil"/>
              <w:bottom w:val="nil"/>
              <w:right w:val="nil"/>
            </w:tcBorders>
            <w:shd w:val="clear" w:color="auto" w:fill="auto"/>
            <w:vAlign w:val="bottom"/>
          </w:tcPr>
          <w:p w14:paraId="00000030" w14:textId="77777777" w:rsidR="00CE25E6" w:rsidRDefault="00153729">
            <w:pPr>
              <w:spacing w:after="0" w:line="240" w:lineRule="auto"/>
              <w:rPr>
                <w:rFonts w:ascii="Arial" w:eastAsia="Arial" w:hAnsi="Arial" w:cs="Arial"/>
                <w:color w:val="000000"/>
              </w:rPr>
            </w:pPr>
            <w:r>
              <w:rPr>
                <w:rFonts w:ascii="Arial" w:eastAsia="Arial" w:hAnsi="Arial" w:cs="Arial"/>
                <w:color w:val="000000"/>
              </w:rPr>
              <w:t>Mammal</w:t>
            </w:r>
          </w:p>
        </w:tc>
        <w:tc>
          <w:tcPr>
            <w:tcW w:w="1247" w:type="dxa"/>
            <w:tcBorders>
              <w:top w:val="nil"/>
              <w:left w:val="nil"/>
              <w:bottom w:val="nil"/>
              <w:right w:val="nil"/>
            </w:tcBorders>
            <w:shd w:val="clear" w:color="auto" w:fill="auto"/>
            <w:vAlign w:val="bottom"/>
          </w:tcPr>
          <w:p w14:paraId="0000003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368</w:t>
            </w:r>
          </w:p>
        </w:tc>
        <w:tc>
          <w:tcPr>
            <w:tcW w:w="1247" w:type="dxa"/>
            <w:tcBorders>
              <w:top w:val="nil"/>
              <w:left w:val="nil"/>
              <w:bottom w:val="nil"/>
              <w:right w:val="nil"/>
            </w:tcBorders>
            <w:shd w:val="clear" w:color="auto" w:fill="auto"/>
            <w:vAlign w:val="bottom"/>
          </w:tcPr>
          <w:p w14:paraId="00000032"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0.57</w:t>
            </w:r>
          </w:p>
        </w:tc>
        <w:tc>
          <w:tcPr>
            <w:tcW w:w="1248" w:type="dxa"/>
            <w:tcBorders>
              <w:top w:val="nil"/>
              <w:left w:val="nil"/>
              <w:bottom w:val="nil"/>
              <w:right w:val="nil"/>
            </w:tcBorders>
            <w:shd w:val="clear" w:color="auto" w:fill="auto"/>
            <w:vAlign w:val="bottom"/>
          </w:tcPr>
          <w:p w14:paraId="0000003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0.48</w:t>
            </w:r>
          </w:p>
        </w:tc>
        <w:tc>
          <w:tcPr>
            <w:tcW w:w="1247" w:type="dxa"/>
            <w:tcBorders>
              <w:top w:val="nil"/>
              <w:left w:val="nil"/>
              <w:bottom w:val="nil"/>
              <w:right w:val="nil"/>
            </w:tcBorders>
            <w:shd w:val="clear" w:color="auto" w:fill="auto"/>
            <w:vAlign w:val="bottom"/>
          </w:tcPr>
          <w:p w14:paraId="00000034"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0.01</w:t>
            </w:r>
          </w:p>
        </w:tc>
        <w:tc>
          <w:tcPr>
            <w:tcW w:w="1248" w:type="dxa"/>
            <w:tcBorders>
              <w:top w:val="nil"/>
              <w:left w:val="nil"/>
              <w:bottom w:val="nil"/>
              <w:right w:val="nil"/>
            </w:tcBorders>
            <w:shd w:val="clear" w:color="auto" w:fill="auto"/>
            <w:vAlign w:val="bottom"/>
          </w:tcPr>
          <w:p w14:paraId="00000035"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2.80</w:t>
            </w:r>
          </w:p>
        </w:tc>
      </w:tr>
      <w:tr w:rsidR="00CE25E6" w14:paraId="177A75F6" w14:textId="77777777" w:rsidTr="00957932">
        <w:trPr>
          <w:trHeight w:val="285"/>
        </w:trPr>
        <w:tc>
          <w:tcPr>
            <w:tcW w:w="2268" w:type="dxa"/>
            <w:tcBorders>
              <w:top w:val="nil"/>
              <w:left w:val="nil"/>
              <w:bottom w:val="nil"/>
              <w:right w:val="nil"/>
            </w:tcBorders>
            <w:shd w:val="clear" w:color="auto" w:fill="auto"/>
            <w:vAlign w:val="bottom"/>
          </w:tcPr>
          <w:p w14:paraId="00000036" w14:textId="77777777" w:rsidR="00CE25E6" w:rsidRDefault="00153729">
            <w:pPr>
              <w:spacing w:after="0" w:line="240" w:lineRule="auto"/>
              <w:rPr>
                <w:rFonts w:ascii="Arial" w:eastAsia="Arial" w:hAnsi="Arial" w:cs="Arial"/>
                <w:color w:val="000000"/>
              </w:rPr>
            </w:pPr>
            <w:r>
              <w:rPr>
                <w:rFonts w:ascii="Arial" w:eastAsia="Arial" w:hAnsi="Arial" w:cs="Arial"/>
                <w:color w:val="000000"/>
              </w:rPr>
              <w:t>Bird</w:t>
            </w:r>
          </w:p>
        </w:tc>
        <w:tc>
          <w:tcPr>
            <w:tcW w:w="1247" w:type="dxa"/>
            <w:tcBorders>
              <w:top w:val="nil"/>
              <w:left w:val="nil"/>
              <w:bottom w:val="nil"/>
              <w:right w:val="nil"/>
            </w:tcBorders>
            <w:shd w:val="clear" w:color="auto" w:fill="auto"/>
            <w:vAlign w:val="bottom"/>
          </w:tcPr>
          <w:p w14:paraId="00000037"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85</w:t>
            </w:r>
          </w:p>
        </w:tc>
        <w:tc>
          <w:tcPr>
            <w:tcW w:w="1247" w:type="dxa"/>
            <w:tcBorders>
              <w:top w:val="nil"/>
              <w:left w:val="nil"/>
              <w:bottom w:val="nil"/>
              <w:right w:val="nil"/>
            </w:tcBorders>
            <w:shd w:val="clear" w:color="auto" w:fill="auto"/>
            <w:vAlign w:val="bottom"/>
          </w:tcPr>
          <w:p w14:paraId="00000038"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0.34</w:t>
            </w:r>
          </w:p>
        </w:tc>
        <w:tc>
          <w:tcPr>
            <w:tcW w:w="1248" w:type="dxa"/>
            <w:tcBorders>
              <w:top w:val="nil"/>
              <w:left w:val="nil"/>
              <w:bottom w:val="nil"/>
              <w:right w:val="nil"/>
            </w:tcBorders>
            <w:shd w:val="clear" w:color="auto" w:fill="auto"/>
            <w:vAlign w:val="bottom"/>
          </w:tcPr>
          <w:p w14:paraId="0000003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0.21</w:t>
            </w:r>
          </w:p>
        </w:tc>
        <w:tc>
          <w:tcPr>
            <w:tcW w:w="1247" w:type="dxa"/>
            <w:tcBorders>
              <w:top w:val="nil"/>
              <w:left w:val="nil"/>
              <w:bottom w:val="nil"/>
              <w:right w:val="nil"/>
            </w:tcBorders>
            <w:shd w:val="clear" w:color="auto" w:fill="auto"/>
            <w:vAlign w:val="bottom"/>
          </w:tcPr>
          <w:p w14:paraId="0000003A"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0.05</w:t>
            </w:r>
          </w:p>
        </w:tc>
        <w:tc>
          <w:tcPr>
            <w:tcW w:w="1248" w:type="dxa"/>
            <w:tcBorders>
              <w:top w:val="nil"/>
              <w:left w:val="nil"/>
              <w:bottom w:val="nil"/>
              <w:right w:val="nil"/>
            </w:tcBorders>
            <w:shd w:val="clear" w:color="auto" w:fill="auto"/>
            <w:vAlign w:val="bottom"/>
          </w:tcPr>
          <w:p w14:paraId="0000003B"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1.06</w:t>
            </w:r>
          </w:p>
        </w:tc>
      </w:tr>
      <w:tr w:rsidR="00CE25E6" w14:paraId="500C155D" w14:textId="77777777" w:rsidTr="00957932">
        <w:trPr>
          <w:trHeight w:val="285"/>
        </w:trPr>
        <w:tc>
          <w:tcPr>
            <w:tcW w:w="2268" w:type="dxa"/>
            <w:tcBorders>
              <w:top w:val="nil"/>
              <w:left w:val="nil"/>
              <w:bottom w:val="nil"/>
              <w:right w:val="nil"/>
            </w:tcBorders>
            <w:shd w:val="clear" w:color="auto" w:fill="auto"/>
            <w:vAlign w:val="bottom"/>
          </w:tcPr>
          <w:p w14:paraId="0000003C" w14:textId="77777777" w:rsidR="00CE25E6" w:rsidRDefault="00153729">
            <w:pPr>
              <w:spacing w:after="0" w:line="240" w:lineRule="auto"/>
              <w:rPr>
                <w:rFonts w:ascii="Arial" w:eastAsia="Arial" w:hAnsi="Arial" w:cs="Arial"/>
                <w:color w:val="000000"/>
              </w:rPr>
            </w:pPr>
            <w:r>
              <w:rPr>
                <w:rFonts w:ascii="Arial" w:eastAsia="Arial" w:hAnsi="Arial" w:cs="Arial"/>
                <w:color w:val="000000"/>
              </w:rPr>
              <w:t>Fish</w:t>
            </w:r>
          </w:p>
        </w:tc>
        <w:tc>
          <w:tcPr>
            <w:tcW w:w="1247" w:type="dxa"/>
            <w:tcBorders>
              <w:top w:val="nil"/>
              <w:left w:val="nil"/>
              <w:bottom w:val="nil"/>
              <w:right w:val="nil"/>
            </w:tcBorders>
            <w:shd w:val="clear" w:color="auto" w:fill="auto"/>
            <w:vAlign w:val="bottom"/>
          </w:tcPr>
          <w:p w14:paraId="0000003D"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31</w:t>
            </w:r>
          </w:p>
        </w:tc>
        <w:tc>
          <w:tcPr>
            <w:tcW w:w="1247" w:type="dxa"/>
            <w:tcBorders>
              <w:top w:val="nil"/>
              <w:left w:val="nil"/>
              <w:bottom w:val="nil"/>
              <w:right w:val="nil"/>
            </w:tcBorders>
            <w:shd w:val="clear" w:color="auto" w:fill="auto"/>
            <w:vAlign w:val="bottom"/>
          </w:tcPr>
          <w:p w14:paraId="0000003E"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0.52</w:t>
            </w:r>
          </w:p>
        </w:tc>
        <w:tc>
          <w:tcPr>
            <w:tcW w:w="1248" w:type="dxa"/>
            <w:tcBorders>
              <w:top w:val="nil"/>
              <w:left w:val="nil"/>
              <w:bottom w:val="nil"/>
              <w:right w:val="nil"/>
            </w:tcBorders>
            <w:shd w:val="clear" w:color="auto" w:fill="auto"/>
            <w:vAlign w:val="bottom"/>
          </w:tcPr>
          <w:p w14:paraId="0000003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0.46</w:t>
            </w:r>
          </w:p>
        </w:tc>
        <w:tc>
          <w:tcPr>
            <w:tcW w:w="1247" w:type="dxa"/>
            <w:tcBorders>
              <w:top w:val="nil"/>
              <w:left w:val="nil"/>
              <w:bottom w:val="nil"/>
              <w:right w:val="nil"/>
            </w:tcBorders>
            <w:shd w:val="clear" w:color="auto" w:fill="auto"/>
            <w:vAlign w:val="bottom"/>
          </w:tcPr>
          <w:p w14:paraId="00000040"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0.02</w:t>
            </w:r>
          </w:p>
        </w:tc>
        <w:tc>
          <w:tcPr>
            <w:tcW w:w="1248" w:type="dxa"/>
            <w:tcBorders>
              <w:top w:val="nil"/>
              <w:left w:val="nil"/>
              <w:bottom w:val="nil"/>
              <w:right w:val="nil"/>
            </w:tcBorders>
            <w:shd w:val="clear" w:color="auto" w:fill="auto"/>
            <w:vAlign w:val="bottom"/>
          </w:tcPr>
          <w:p w14:paraId="0000004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2.53</w:t>
            </w:r>
          </w:p>
        </w:tc>
      </w:tr>
      <w:tr w:rsidR="00CE25E6" w14:paraId="7A9C770F" w14:textId="77777777" w:rsidTr="00957932">
        <w:trPr>
          <w:trHeight w:val="285"/>
        </w:trPr>
        <w:tc>
          <w:tcPr>
            <w:tcW w:w="2268" w:type="dxa"/>
            <w:tcBorders>
              <w:top w:val="nil"/>
              <w:left w:val="nil"/>
              <w:bottom w:val="nil"/>
              <w:right w:val="nil"/>
            </w:tcBorders>
            <w:shd w:val="clear" w:color="auto" w:fill="auto"/>
            <w:vAlign w:val="bottom"/>
          </w:tcPr>
          <w:p w14:paraId="00000042" w14:textId="77777777" w:rsidR="00CE25E6" w:rsidRDefault="00CE25E6">
            <w:pPr>
              <w:spacing w:after="0" w:line="240" w:lineRule="auto"/>
              <w:jc w:val="right"/>
              <w:rPr>
                <w:rFonts w:ascii="Arial" w:eastAsia="Arial" w:hAnsi="Arial" w:cs="Arial"/>
                <w:color w:val="000000"/>
              </w:rPr>
            </w:pPr>
          </w:p>
        </w:tc>
        <w:tc>
          <w:tcPr>
            <w:tcW w:w="1247" w:type="dxa"/>
            <w:tcBorders>
              <w:top w:val="nil"/>
              <w:left w:val="nil"/>
              <w:bottom w:val="nil"/>
              <w:right w:val="nil"/>
            </w:tcBorders>
            <w:shd w:val="clear" w:color="auto" w:fill="auto"/>
            <w:vAlign w:val="bottom"/>
          </w:tcPr>
          <w:p w14:paraId="00000043"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44"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45"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46"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47" w14:textId="77777777" w:rsidR="00CE25E6" w:rsidRDefault="00CE25E6">
            <w:pPr>
              <w:spacing w:after="0" w:line="240" w:lineRule="auto"/>
              <w:rPr>
                <w:rFonts w:ascii="Arial" w:eastAsia="Arial" w:hAnsi="Arial" w:cs="Arial"/>
              </w:rPr>
            </w:pPr>
          </w:p>
        </w:tc>
      </w:tr>
      <w:tr w:rsidR="00CE25E6" w14:paraId="5F907854" w14:textId="77777777" w:rsidTr="00957932">
        <w:trPr>
          <w:trHeight w:val="285"/>
        </w:trPr>
        <w:tc>
          <w:tcPr>
            <w:tcW w:w="2268" w:type="dxa"/>
            <w:tcBorders>
              <w:top w:val="nil"/>
              <w:left w:val="nil"/>
              <w:bottom w:val="nil"/>
              <w:right w:val="nil"/>
            </w:tcBorders>
            <w:shd w:val="clear" w:color="auto" w:fill="auto"/>
            <w:vAlign w:val="bottom"/>
          </w:tcPr>
          <w:p w14:paraId="00000048" w14:textId="77777777" w:rsidR="00CE25E6" w:rsidRDefault="00153729">
            <w:pPr>
              <w:spacing w:after="0" w:line="240" w:lineRule="auto"/>
              <w:rPr>
                <w:rFonts w:ascii="Arial" w:eastAsia="Arial" w:hAnsi="Arial" w:cs="Arial"/>
                <w:color w:val="000000"/>
              </w:rPr>
            </w:pPr>
            <w:r>
              <w:rPr>
                <w:rFonts w:ascii="Arial" w:eastAsia="Arial" w:hAnsi="Arial" w:cs="Arial"/>
                <w:color w:val="000000"/>
              </w:rPr>
              <w:t>Pacific Ocean Perch</w:t>
            </w:r>
          </w:p>
        </w:tc>
        <w:tc>
          <w:tcPr>
            <w:tcW w:w="1247" w:type="dxa"/>
            <w:tcBorders>
              <w:top w:val="nil"/>
              <w:left w:val="nil"/>
              <w:bottom w:val="nil"/>
              <w:right w:val="nil"/>
            </w:tcBorders>
            <w:shd w:val="clear" w:color="auto" w:fill="auto"/>
            <w:vAlign w:val="bottom"/>
          </w:tcPr>
          <w:p w14:paraId="0000004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10</w:t>
            </w:r>
          </w:p>
        </w:tc>
        <w:tc>
          <w:tcPr>
            <w:tcW w:w="1247" w:type="dxa"/>
            <w:tcBorders>
              <w:top w:val="nil"/>
              <w:left w:val="nil"/>
              <w:bottom w:val="nil"/>
              <w:right w:val="nil"/>
            </w:tcBorders>
            <w:shd w:val="clear" w:color="auto" w:fill="auto"/>
            <w:vAlign w:val="bottom"/>
          </w:tcPr>
          <w:p w14:paraId="0000004A"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0.69</w:t>
            </w:r>
          </w:p>
        </w:tc>
        <w:tc>
          <w:tcPr>
            <w:tcW w:w="1248" w:type="dxa"/>
            <w:tcBorders>
              <w:top w:val="nil"/>
              <w:left w:val="nil"/>
              <w:bottom w:val="nil"/>
              <w:right w:val="nil"/>
            </w:tcBorders>
            <w:shd w:val="clear" w:color="auto" w:fill="auto"/>
            <w:vAlign w:val="bottom"/>
          </w:tcPr>
          <w:p w14:paraId="0000004B"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0.29</w:t>
            </w:r>
          </w:p>
        </w:tc>
        <w:tc>
          <w:tcPr>
            <w:tcW w:w="1247" w:type="dxa"/>
            <w:tcBorders>
              <w:top w:val="nil"/>
              <w:left w:val="nil"/>
              <w:bottom w:val="nil"/>
              <w:right w:val="nil"/>
            </w:tcBorders>
            <w:shd w:val="clear" w:color="auto" w:fill="auto"/>
            <w:vAlign w:val="bottom"/>
          </w:tcPr>
          <w:p w14:paraId="0000004C"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0.36</w:t>
            </w:r>
          </w:p>
        </w:tc>
        <w:tc>
          <w:tcPr>
            <w:tcW w:w="1248" w:type="dxa"/>
            <w:tcBorders>
              <w:top w:val="nil"/>
              <w:left w:val="nil"/>
              <w:bottom w:val="nil"/>
              <w:right w:val="nil"/>
            </w:tcBorders>
            <w:shd w:val="clear" w:color="auto" w:fill="auto"/>
            <w:vAlign w:val="bottom"/>
          </w:tcPr>
          <w:p w14:paraId="0000004D"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1.21</w:t>
            </w:r>
          </w:p>
        </w:tc>
      </w:tr>
      <w:tr w:rsidR="00CE25E6" w14:paraId="44650E59" w14:textId="77777777" w:rsidTr="00957932">
        <w:trPr>
          <w:trHeight w:val="285"/>
        </w:trPr>
        <w:tc>
          <w:tcPr>
            <w:tcW w:w="2268" w:type="dxa"/>
            <w:tcBorders>
              <w:top w:val="nil"/>
              <w:left w:val="nil"/>
              <w:bottom w:val="nil"/>
              <w:right w:val="nil"/>
            </w:tcBorders>
            <w:shd w:val="clear" w:color="auto" w:fill="auto"/>
            <w:vAlign w:val="bottom"/>
          </w:tcPr>
          <w:p w14:paraId="0000004E" w14:textId="77777777" w:rsidR="00CE25E6" w:rsidRDefault="00153729">
            <w:pPr>
              <w:spacing w:after="0" w:line="240" w:lineRule="auto"/>
              <w:rPr>
                <w:rFonts w:ascii="Arial" w:eastAsia="Arial" w:hAnsi="Arial" w:cs="Arial"/>
                <w:color w:val="000000"/>
              </w:rPr>
            </w:pPr>
            <w:r>
              <w:rPr>
                <w:rFonts w:ascii="Arial" w:eastAsia="Arial" w:hAnsi="Arial" w:cs="Arial"/>
                <w:color w:val="000000"/>
              </w:rPr>
              <w:t>Seals</w:t>
            </w:r>
          </w:p>
        </w:tc>
        <w:tc>
          <w:tcPr>
            <w:tcW w:w="1247" w:type="dxa"/>
            <w:tcBorders>
              <w:top w:val="nil"/>
              <w:left w:val="nil"/>
              <w:bottom w:val="nil"/>
              <w:right w:val="nil"/>
            </w:tcBorders>
            <w:shd w:val="clear" w:color="auto" w:fill="auto"/>
            <w:vAlign w:val="bottom"/>
          </w:tcPr>
          <w:p w14:paraId="0000004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37</w:t>
            </w:r>
          </w:p>
        </w:tc>
        <w:tc>
          <w:tcPr>
            <w:tcW w:w="1247" w:type="dxa"/>
            <w:tcBorders>
              <w:top w:val="nil"/>
              <w:left w:val="nil"/>
              <w:bottom w:val="nil"/>
              <w:right w:val="nil"/>
            </w:tcBorders>
            <w:shd w:val="clear" w:color="auto" w:fill="auto"/>
            <w:vAlign w:val="bottom"/>
          </w:tcPr>
          <w:p w14:paraId="00000050"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0.40</w:t>
            </w:r>
          </w:p>
        </w:tc>
        <w:tc>
          <w:tcPr>
            <w:tcW w:w="1248" w:type="dxa"/>
            <w:tcBorders>
              <w:top w:val="nil"/>
              <w:left w:val="nil"/>
              <w:bottom w:val="nil"/>
              <w:right w:val="nil"/>
            </w:tcBorders>
            <w:shd w:val="clear" w:color="auto" w:fill="auto"/>
            <w:vAlign w:val="bottom"/>
          </w:tcPr>
          <w:p w14:paraId="0000005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0.25</w:t>
            </w:r>
          </w:p>
        </w:tc>
        <w:tc>
          <w:tcPr>
            <w:tcW w:w="1247" w:type="dxa"/>
            <w:tcBorders>
              <w:top w:val="nil"/>
              <w:left w:val="nil"/>
              <w:bottom w:val="nil"/>
              <w:right w:val="nil"/>
            </w:tcBorders>
            <w:shd w:val="clear" w:color="auto" w:fill="auto"/>
            <w:vAlign w:val="bottom"/>
          </w:tcPr>
          <w:p w14:paraId="00000052"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0.06</w:t>
            </w:r>
          </w:p>
        </w:tc>
        <w:tc>
          <w:tcPr>
            <w:tcW w:w="1248" w:type="dxa"/>
            <w:tcBorders>
              <w:top w:val="nil"/>
              <w:left w:val="nil"/>
              <w:bottom w:val="nil"/>
              <w:right w:val="nil"/>
            </w:tcBorders>
            <w:shd w:val="clear" w:color="auto" w:fill="auto"/>
            <w:vAlign w:val="bottom"/>
          </w:tcPr>
          <w:p w14:paraId="0000005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1.29</w:t>
            </w:r>
          </w:p>
        </w:tc>
      </w:tr>
      <w:tr w:rsidR="00CE25E6" w14:paraId="73E45262" w14:textId="77777777" w:rsidTr="00957932">
        <w:trPr>
          <w:trHeight w:val="285"/>
        </w:trPr>
        <w:tc>
          <w:tcPr>
            <w:tcW w:w="2268" w:type="dxa"/>
            <w:tcBorders>
              <w:top w:val="nil"/>
              <w:left w:val="nil"/>
              <w:bottom w:val="nil"/>
              <w:right w:val="nil"/>
            </w:tcBorders>
            <w:shd w:val="clear" w:color="auto" w:fill="auto"/>
            <w:vAlign w:val="bottom"/>
          </w:tcPr>
          <w:p w14:paraId="00000054" w14:textId="77777777" w:rsidR="00CE25E6" w:rsidRDefault="00CE25E6">
            <w:pPr>
              <w:spacing w:after="0" w:line="240" w:lineRule="auto"/>
              <w:jc w:val="right"/>
              <w:rPr>
                <w:rFonts w:ascii="Arial" w:eastAsia="Arial" w:hAnsi="Arial" w:cs="Arial"/>
                <w:color w:val="000000"/>
              </w:rPr>
            </w:pPr>
          </w:p>
        </w:tc>
        <w:tc>
          <w:tcPr>
            <w:tcW w:w="1247" w:type="dxa"/>
            <w:tcBorders>
              <w:top w:val="nil"/>
              <w:left w:val="nil"/>
              <w:bottom w:val="nil"/>
              <w:right w:val="nil"/>
            </w:tcBorders>
            <w:shd w:val="clear" w:color="auto" w:fill="auto"/>
            <w:vAlign w:val="bottom"/>
          </w:tcPr>
          <w:p w14:paraId="00000055"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56"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57"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58"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59" w14:textId="77777777" w:rsidR="00CE25E6" w:rsidRDefault="00CE25E6">
            <w:pPr>
              <w:spacing w:after="0" w:line="240" w:lineRule="auto"/>
              <w:rPr>
                <w:rFonts w:ascii="Arial" w:eastAsia="Arial" w:hAnsi="Arial" w:cs="Arial"/>
              </w:rPr>
            </w:pPr>
          </w:p>
        </w:tc>
      </w:tr>
      <w:tr w:rsidR="00CE25E6" w14:paraId="19396294" w14:textId="77777777" w:rsidTr="00957932">
        <w:trPr>
          <w:trHeight w:val="285"/>
        </w:trPr>
        <w:tc>
          <w:tcPr>
            <w:tcW w:w="2268" w:type="dxa"/>
            <w:tcBorders>
              <w:top w:val="nil"/>
              <w:left w:val="nil"/>
              <w:bottom w:val="nil"/>
              <w:right w:val="nil"/>
            </w:tcBorders>
            <w:shd w:val="clear" w:color="auto" w:fill="auto"/>
            <w:vAlign w:val="bottom"/>
          </w:tcPr>
          <w:p w14:paraId="0000005A" w14:textId="77777777" w:rsidR="00CE25E6" w:rsidRDefault="00153729">
            <w:pPr>
              <w:spacing w:after="0" w:line="240" w:lineRule="auto"/>
              <w:rPr>
                <w:rFonts w:ascii="Arial" w:eastAsia="Arial" w:hAnsi="Arial" w:cs="Arial"/>
                <w:color w:val="000000"/>
              </w:rPr>
            </w:pPr>
            <w:r>
              <w:rPr>
                <w:rFonts w:ascii="Arial" w:eastAsia="Arial" w:hAnsi="Arial" w:cs="Arial"/>
                <w:color w:val="000000"/>
              </w:rPr>
              <w:t>Weasel</w:t>
            </w:r>
          </w:p>
        </w:tc>
        <w:tc>
          <w:tcPr>
            <w:tcW w:w="1247" w:type="dxa"/>
            <w:tcBorders>
              <w:top w:val="nil"/>
              <w:left w:val="nil"/>
              <w:bottom w:val="nil"/>
              <w:right w:val="nil"/>
            </w:tcBorders>
            <w:shd w:val="clear" w:color="auto" w:fill="auto"/>
            <w:vAlign w:val="bottom"/>
          </w:tcPr>
          <w:p w14:paraId="0000005B"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55</w:t>
            </w:r>
          </w:p>
        </w:tc>
        <w:tc>
          <w:tcPr>
            <w:tcW w:w="1247" w:type="dxa"/>
            <w:tcBorders>
              <w:top w:val="nil"/>
              <w:left w:val="nil"/>
              <w:bottom w:val="nil"/>
              <w:right w:val="nil"/>
            </w:tcBorders>
            <w:shd w:val="clear" w:color="auto" w:fill="auto"/>
            <w:vAlign w:val="bottom"/>
          </w:tcPr>
          <w:p w14:paraId="0000005C"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0.46</w:t>
            </w:r>
          </w:p>
        </w:tc>
        <w:tc>
          <w:tcPr>
            <w:tcW w:w="1248" w:type="dxa"/>
            <w:tcBorders>
              <w:top w:val="nil"/>
              <w:left w:val="nil"/>
              <w:bottom w:val="nil"/>
              <w:right w:val="nil"/>
            </w:tcBorders>
            <w:shd w:val="clear" w:color="auto" w:fill="auto"/>
            <w:vAlign w:val="bottom"/>
          </w:tcPr>
          <w:p w14:paraId="0000005D"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0.04</w:t>
            </w:r>
          </w:p>
        </w:tc>
        <w:tc>
          <w:tcPr>
            <w:tcW w:w="1247" w:type="dxa"/>
            <w:tcBorders>
              <w:top w:val="nil"/>
              <w:left w:val="nil"/>
              <w:bottom w:val="nil"/>
              <w:right w:val="nil"/>
            </w:tcBorders>
            <w:shd w:val="clear" w:color="auto" w:fill="auto"/>
            <w:vAlign w:val="bottom"/>
          </w:tcPr>
          <w:p w14:paraId="0000005E"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0.01</w:t>
            </w:r>
          </w:p>
        </w:tc>
        <w:tc>
          <w:tcPr>
            <w:tcW w:w="1248" w:type="dxa"/>
            <w:tcBorders>
              <w:top w:val="nil"/>
              <w:left w:val="nil"/>
              <w:bottom w:val="nil"/>
              <w:right w:val="nil"/>
            </w:tcBorders>
            <w:shd w:val="clear" w:color="auto" w:fill="auto"/>
            <w:vAlign w:val="bottom"/>
          </w:tcPr>
          <w:p w14:paraId="0000005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1.28</w:t>
            </w:r>
          </w:p>
        </w:tc>
      </w:tr>
      <w:tr w:rsidR="00CE25E6" w14:paraId="49878DAC" w14:textId="77777777" w:rsidTr="00957932">
        <w:trPr>
          <w:trHeight w:val="285"/>
        </w:trPr>
        <w:tc>
          <w:tcPr>
            <w:tcW w:w="2268" w:type="dxa"/>
            <w:tcBorders>
              <w:top w:val="nil"/>
              <w:left w:val="nil"/>
              <w:bottom w:val="nil"/>
              <w:right w:val="nil"/>
            </w:tcBorders>
            <w:shd w:val="clear" w:color="auto" w:fill="auto"/>
            <w:vAlign w:val="bottom"/>
          </w:tcPr>
          <w:p w14:paraId="00000060" w14:textId="77777777" w:rsidR="00CE25E6" w:rsidRDefault="00153729">
            <w:pPr>
              <w:spacing w:after="0" w:line="240" w:lineRule="auto"/>
              <w:rPr>
                <w:rFonts w:ascii="Arial" w:eastAsia="Arial" w:hAnsi="Arial" w:cs="Arial"/>
                <w:color w:val="000000"/>
              </w:rPr>
            </w:pPr>
            <w:r>
              <w:rPr>
                <w:rFonts w:ascii="Arial" w:eastAsia="Arial" w:hAnsi="Arial" w:cs="Arial"/>
                <w:color w:val="000000"/>
              </w:rPr>
              <w:t>Raccoon</w:t>
            </w:r>
          </w:p>
        </w:tc>
        <w:tc>
          <w:tcPr>
            <w:tcW w:w="1247" w:type="dxa"/>
            <w:tcBorders>
              <w:top w:val="nil"/>
              <w:left w:val="nil"/>
              <w:bottom w:val="nil"/>
              <w:right w:val="nil"/>
            </w:tcBorders>
            <w:shd w:val="clear" w:color="auto" w:fill="auto"/>
            <w:vAlign w:val="bottom"/>
          </w:tcPr>
          <w:p w14:paraId="0000006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66</w:t>
            </w:r>
          </w:p>
        </w:tc>
        <w:tc>
          <w:tcPr>
            <w:tcW w:w="1247" w:type="dxa"/>
            <w:tcBorders>
              <w:top w:val="nil"/>
              <w:left w:val="nil"/>
              <w:bottom w:val="nil"/>
              <w:right w:val="nil"/>
            </w:tcBorders>
            <w:shd w:val="clear" w:color="auto" w:fill="auto"/>
            <w:vAlign w:val="bottom"/>
          </w:tcPr>
          <w:p w14:paraId="00000062"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1.10</w:t>
            </w:r>
          </w:p>
        </w:tc>
        <w:tc>
          <w:tcPr>
            <w:tcW w:w="1248" w:type="dxa"/>
            <w:tcBorders>
              <w:top w:val="nil"/>
              <w:left w:val="nil"/>
              <w:bottom w:val="nil"/>
              <w:right w:val="nil"/>
            </w:tcBorders>
            <w:shd w:val="clear" w:color="auto" w:fill="auto"/>
            <w:vAlign w:val="bottom"/>
          </w:tcPr>
          <w:p w14:paraId="0000006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0.70</w:t>
            </w:r>
          </w:p>
        </w:tc>
        <w:tc>
          <w:tcPr>
            <w:tcW w:w="1247" w:type="dxa"/>
            <w:tcBorders>
              <w:top w:val="nil"/>
              <w:left w:val="nil"/>
              <w:bottom w:val="nil"/>
              <w:right w:val="nil"/>
            </w:tcBorders>
            <w:shd w:val="clear" w:color="auto" w:fill="auto"/>
            <w:vAlign w:val="bottom"/>
          </w:tcPr>
          <w:p w14:paraId="00000064"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0.06</w:t>
            </w:r>
          </w:p>
        </w:tc>
        <w:tc>
          <w:tcPr>
            <w:tcW w:w="1248" w:type="dxa"/>
            <w:tcBorders>
              <w:top w:val="nil"/>
              <w:left w:val="nil"/>
              <w:bottom w:val="nil"/>
              <w:right w:val="nil"/>
            </w:tcBorders>
            <w:shd w:val="clear" w:color="auto" w:fill="auto"/>
            <w:vAlign w:val="bottom"/>
          </w:tcPr>
          <w:p w14:paraId="00000065"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2.80</w:t>
            </w:r>
          </w:p>
        </w:tc>
      </w:tr>
      <w:tr w:rsidR="00CE25E6" w14:paraId="7052EB61" w14:textId="77777777" w:rsidTr="00957932">
        <w:trPr>
          <w:trHeight w:val="285"/>
        </w:trPr>
        <w:tc>
          <w:tcPr>
            <w:tcW w:w="2268" w:type="dxa"/>
            <w:tcBorders>
              <w:top w:val="nil"/>
              <w:left w:val="nil"/>
              <w:bottom w:val="nil"/>
              <w:right w:val="nil"/>
            </w:tcBorders>
            <w:shd w:val="clear" w:color="auto" w:fill="auto"/>
            <w:vAlign w:val="bottom"/>
          </w:tcPr>
          <w:p w14:paraId="00000066" w14:textId="77777777" w:rsidR="00CE25E6" w:rsidRDefault="00153729">
            <w:pPr>
              <w:spacing w:after="0" w:line="240" w:lineRule="auto"/>
              <w:rPr>
                <w:rFonts w:ascii="Arial" w:eastAsia="Arial" w:hAnsi="Arial" w:cs="Arial"/>
                <w:color w:val="000000"/>
              </w:rPr>
            </w:pPr>
            <w:r>
              <w:rPr>
                <w:rFonts w:ascii="Arial" w:eastAsia="Arial" w:hAnsi="Arial" w:cs="Arial"/>
                <w:color w:val="000000"/>
              </w:rPr>
              <w:t>Cow</w:t>
            </w:r>
          </w:p>
        </w:tc>
        <w:tc>
          <w:tcPr>
            <w:tcW w:w="1247" w:type="dxa"/>
            <w:tcBorders>
              <w:top w:val="nil"/>
              <w:left w:val="nil"/>
              <w:bottom w:val="nil"/>
              <w:right w:val="nil"/>
            </w:tcBorders>
            <w:shd w:val="clear" w:color="auto" w:fill="auto"/>
            <w:vAlign w:val="bottom"/>
          </w:tcPr>
          <w:p w14:paraId="00000067"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108</w:t>
            </w:r>
          </w:p>
        </w:tc>
        <w:tc>
          <w:tcPr>
            <w:tcW w:w="1247" w:type="dxa"/>
            <w:tcBorders>
              <w:top w:val="nil"/>
              <w:left w:val="nil"/>
              <w:bottom w:val="nil"/>
              <w:right w:val="nil"/>
            </w:tcBorders>
            <w:shd w:val="clear" w:color="auto" w:fill="auto"/>
            <w:vAlign w:val="bottom"/>
          </w:tcPr>
          <w:p w14:paraId="00000068"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0.55</w:t>
            </w:r>
          </w:p>
        </w:tc>
        <w:tc>
          <w:tcPr>
            <w:tcW w:w="1248" w:type="dxa"/>
            <w:tcBorders>
              <w:top w:val="nil"/>
              <w:left w:val="nil"/>
              <w:bottom w:val="nil"/>
              <w:right w:val="nil"/>
            </w:tcBorders>
            <w:shd w:val="clear" w:color="auto" w:fill="auto"/>
            <w:vAlign w:val="bottom"/>
          </w:tcPr>
          <w:p w14:paraId="0000006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0.40</w:t>
            </w:r>
          </w:p>
        </w:tc>
        <w:tc>
          <w:tcPr>
            <w:tcW w:w="1247" w:type="dxa"/>
            <w:tcBorders>
              <w:top w:val="nil"/>
              <w:left w:val="nil"/>
              <w:bottom w:val="nil"/>
              <w:right w:val="nil"/>
            </w:tcBorders>
            <w:shd w:val="clear" w:color="auto" w:fill="auto"/>
            <w:vAlign w:val="bottom"/>
          </w:tcPr>
          <w:p w14:paraId="0000006A"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0.04</w:t>
            </w:r>
          </w:p>
        </w:tc>
        <w:tc>
          <w:tcPr>
            <w:tcW w:w="1248" w:type="dxa"/>
            <w:tcBorders>
              <w:top w:val="nil"/>
              <w:left w:val="nil"/>
              <w:bottom w:val="nil"/>
              <w:right w:val="nil"/>
            </w:tcBorders>
            <w:shd w:val="clear" w:color="auto" w:fill="auto"/>
            <w:vAlign w:val="bottom"/>
          </w:tcPr>
          <w:p w14:paraId="0000006B"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1.98</w:t>
            </w:r>
          </w:p>
        </w:tc>
      </w:tr>
      <w:tr w:rsidR="00CE25E6" w14:paraId="381CD7A8" w14:textId="77777777" w:rsidTr="00957932">
        <w:trPr>
          <w:trHeight w:val="285"/>
        </w:trPr>
        <w:tc>
          <w:tcPr>
            <w:tcW w:w="2268" w:type="dxa"/>
            <w:tcBorders>
              <w:top w:val="nil"/>
              <w:left w:val="nil"/>
              <w:bottom w:val="nil"/>
              <w:right w:val="nil"/>
            </w:tcBorders>
            <w:shd w:val="clear" w:color="auto" w:fill="auto"/>
            <w:vAlign w:val="bottom"/>
          </w:tcPr>
          <w:p w14:paraId="0000006C" w14:textId="77777777" w:rsidR="00CE25E6" w:rsidRDefault="00153729">
            <w:pPr>
              <w:spacing w:after="0" w:line="240" w:lineRule="auto"/>
              <w:rPr>
                <w:rFonts w:ascii="Arial" w:eastAsia="Arial" w:hAnsi="Arial" w:cs="Arial"/>
                <w:color w:val="000000"/>
              </w:rPr>
            </w:pPr>
            <w:r>
              <w:rPr>
                <w:rFonts w:ascii="Arial" w:eastAsia="Arial" w:hAnsi="Arial" w:cs="Arial"/>
                <w:color w:val="000000"/>
              </w:rPr>
              <w:t>Pig</w:t>
            </w:r>
          </w:p>
        </w:tc>
        <w:tc>
          <w:tcPr>
            <w:tcW w:w="1247" w:type="dxa"/>
            <w:tcBorders>
              <w:top w:val="nil"/>
              <w:left w:val="nil"/>
              <w:bottom w:val="nil"/>
              <w:right w:val="nil"/>
            </w:tcBorders>
            <w:shd w:val="clear" w:color="auto" w:fill="auto"/>
            <w:vAlign w:val="bottom"/>
          </w:tcPr>
          <w:p w14:paraId="0000006D"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102</w:t>
            </w:r>
          </w:p>
        </w:tc>
        <w:tc>
          <w:tcPr>
            <w:tcW w:w="1247" w:type="dxa"/>
            <w:tcBorders>
              <w:top w:val="nil"/>
              <w:left w:val="nil"/>
              <w:bottom w:val="nil"/>
              <w:right w:val="nil"/>
            </w:tcBorders>
            <w:shd w:val="clear" w:color="auto" w:fill="auto"/>
            <w:vAlign w:val="bottom"/>
          </w:tcPr>
          <w:p w14:paraId="0000006E"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0.36</w:t>
            </w:r>
          </w:p>
        </w:tc>
        <w:tc>
          <w:tcPr>
            <w:tcW w:w="1248" w:type="dxa"/>
            <w:tcBorders>
              <w:top w:val="nil"/>
              <w:left w:val="nil"/>
              <w:bottom w:val="nil"/>
              <w:right w:val="nil"/>
            </w:tcBorders>
            <w:shd w:val="clear" w:color="auto" w:fill="auto"/>
            <w:vAlign w:val="bottom"/>
          </w:tcPr>
          <w:p w14:paraId="0000006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0.20</w:t>
            </w:r>
          </w:p>
        </w:tc>
        <w:tc>
          <w:tcPr>
            <w:tcW w:w="1247" w:type="dxa"/>
            <w:tcBorders>
              <w:top w:val="nil"/>
              <w:left w:val="nil"/>
              <w:bottom w:val="nil"/>
              <w:right w:val="nil"/>
            </w:tcBorders>
            <w:shd w:val="clear" w:color="auto" w:fill="auto"/>
            <w:vAlign w:val="bottom"/>
          </w:tcPr>
          <w:p w14:paraId="00000070"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0.06</w:t>
            </w:r>
          </w:p>
        </w:tc>
        <w:tc>
          <w:tcPr>
            <w:tcW w:w="1248" w:type="dxa"/>
            <w:tcBorders>
              <w:top w:val="nil"/>
              <w:left w:val="nil"/>
              <w:bottom w:val="nil"/>
              <w:right w:val="nil"/>
            </w:tcBorders>
            <w:shd w:val="clear" w:color="auto" w:fill="auto"/>
            <w:vAlign w:val="bottom"/>
          </w:tcPr>
          <w:p w14:paraId="0000007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0.89</w:t>
            </w:r>
          </w:p>
        </w:tc>
      </w:tr>
      <w:tr w:rsidR="00CE25E6" w14:paraId="458A25C4" w14:textId="77777777" w:rsidTr="00957932">
        <w:trPr>
          <w:trHeight w:val="285"/>
        </w:trPr>
        <w:tc>
          <w:tcPr>
            <w:tcW w:w="2268" w:type="dxa"/>
            <w:tcBorders>
              <w:top w:val="nil"/>
              <w:left w:val="nil"/>
              <w:bottom w:val="nil"/>
              <w:right w:val="nil"/>
            </w:tcBorders>
            <w:shd w:val="clear" w:color="auto" w:fill="auto"/>
            <w:vAlign w:val="bottom"/>
          </w:tcPr>
          <w:p w14:paraId="00000072" w14:textId="77777777" w:rsidR="00CE25E6" w:rsidRDefault="00153729">
            <w:pPr>
              <w:spacing w:after="0" w:line="240" w:lineRule="auto"/>
              <w:rPr>
                <w:rFonts w:ascii="Arial" w:eastAsia="Arial" w:hAnsi="Arial" w:cs="Arial"/>
                <w:color w:val="000000"/>
              </w:rPr>
            </w:pPr>
            <w:r>
              <w:rPr>
                <w:rFonts w:ascii="Arial" w:eastAsia="Arial" w:hAnsi="Arial" w:cs="Arial"/>
                <w:color w:val="000000"/>
              </w:rPr>
              <w:t>Turkey</w:t>
            </w:r>
          </w:p>
        </w:tc>
        <w:tc>
          <w:tcPr>
            <w:tcW w:w="1247" w:type="dxa"/>
            <w:tcBorders>
              <w:top w:val="nil"/>
              <w:left w:val="nil"/>
              <w:bottom w:val="nil"/>
              <w:right w:val="nil"/>
            </w:tcBorders>
            <w:shd w:val="clear" w:color="auto" w:fill="auto"/>
            <w:vAlign w:val="bottom"/>
          </w:tcPr>
          <w:p w14:paraId="0000007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28</w:t>
            </w:r>
          </w:p>
        </w:tc>
        <w:tc>
          <w:tcPr>
            <w:tcW w:w="1247" w:type="dxa"/>
            <w:tcBorders>
              <w:top w:val="nil"/>
              <w:left w:val="nil"/>
              <w:bottom w:val="nil"/>
              <w:right w:val="nil"/>
            </w:tcBorders>
            <w:shd w:val="clear" w:color="auto" w:fill="auto"/>
            <w:vAlign w:val="bottom"/>
          </w:tcPr>
          <w:p w14:paraId="00000074"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0.25</w:t>
            </w:r>
          </w:p>
        </w:tc>
        <w:tc>
          <w:tcPr>
            <w:tcW w:w="1248" w:type="dxa"/>
            <w:tcBorders>
              <w:top w:val="nil"/>
              <w:left w:val="nil"/>
              <w:bottom w:val="nil"/>
              <w:right w:val="nil"/>
            </w:tcBorders>
            <w:shd w:val="clear" w:color="auto" w:fill="auto"/>
            <w:vAlign w:val="bottom"/>
          </w:tcPr>
          <w:p w14:paraId="00000075"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0.14</w:t>
            </w:r>
          </w:p>
        </w:tc>
        <w:tc>
          <w:tcPr>
            <w:tcW w:w="1247" w:type="dxa"/>
            <w:tcBorders>
              <w:top w:val="nil"/>
              <w:left w:val="nil"/>
              <w:bottom w:val="nil"/>
              <w:right w:val="nil"/>
            </w:tcBorders>
            <w:shd w:val="clear" w:color="auto" w:fill="auto"/>
            <w:vAlign w:val="bottom"/>
          </w:tcPr>
          <w:p w14:paraId="00000076"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0.05</w:t>
            </w:r>
          </w:p>
        </w:tc>
        <w:tc>
          <w:tcPr>
            <w:tcW w:w="1248" w:type="dxa"/>
            <w:tcBorders>
              <w:top w:val="nil"/>
              <w:left w:val="nil"/>
              <w:bottom w:val="nil"/>
              <w:right w:val="nil"/>
            </w:tcBorders>
            <w:shd w:val="clear" w:color="auto" w:fill="auto"/>
            <w:vAlign w:val="bottom"/>
          </w:tcPr>
          <w:p w14:paraId="00000077"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0.66</w:t>
            </w:r>
          </w:p>
        </w:tc>
      </w:tr>
      <w:tr w:rsidR="00CE25E6" w14:paraId="5FD7B2F5" w14:textId="77777777" w:rsidTr="00957932">
        <w:trPr>
          <w:trHeight w:val="285"/>
        </w:trPr>
        <w:tc>
          <w:tcPr>
            <w:tcW w:w="2268" w:type="dxa"/>
            <w:tcBorders>
              <w:top w:val="nil"/>
              <w:left w:val="nil"/>
              <w:bottom w:val="nil"/>
              <w:right w:val="nil"/>
            </w:tcBorders>
            <w:shd w:val="clear" w:color="auto" w:fill="auto"/>
            <w:vAlign w:val="bottom"/>
          </w:tcPr>
          <w:p w14:paraId="00000078" w14:textId="77777777" w:rsidR="00CE25E6" w:rsidRDefault="00CE25E6">
            <w:pPr>
              <w:spacing w:after="0" w:line="240" w:lineRule="auto"/>
              <w:jc w:val="right"/>
              <w:rPr>
                <w:rFonts w:ascii="Arial" w:eastAsia="Arial" w:hAnsi="Arial" w:cs="Arial"/>
                <w:color w:val="000000"/>
              </w:rPr>
            </w:pPr>
          </w:p>
        </w:tc>
        <w:tc>
          <w:tcPr>
            <w:tcW w:w="1247" w:type="dxa"/>
            <w:tcBorders>
              <w:top w:val="nil"/>
              <w:left w:val="nil"/>
              <w:bottom w:val="nil"/>
              <w:right w:val="nil"/>
            </w:tcBorders>
            <w:shd w:val="clear" w:color="auto" w:fill="auto"/>
            <w:vAlign w:val="bottom"/>
          </w:tcPr>
          <w:p w14:paraId="00000079"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7A"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7B" w14:textId="77777777" w:rsidR="00CE25E6" w:rsidRDefault="00CE25E6">
            <w:pPr>
              <w:spacing w:after="0" w:line="240" w:lineRule="auto"/>
              <w:rPr>
                <w:rFonts w:ascii="Arial" w:eastAsia="Arial" w:hAnsi="Arial" w:cs="Arial"/>
              </w:rPr>
            </w:pPr>
          </w:p>
        </w:tc>
        <w:tc>
          <w:tcPr>
            <w:tcW w:w="1247" w:type="dxa"/>
            <w:tcBorders>
              <w:top w:val="nil"/>
              <w:left w:val="nil"/>
              <w:bottom w:val="nil"/>
              <w:right w:val="nil"/>
            </w:tcBorders>
            <w:shd w:val="clear" w:color="auto" w:fill="auto"/>
            <w:vAlign w:val="bottom"/>
          </w:tcPr>
          <w:p w14:paraId="0000007C" w14:textId="77777777" w:rsidR="00CE25E6" w:rsidRDefault="00CE25E6">
            <w:pPr>
              <w:spacing w:after="0" w:line="240" w:lineRule="auto"/>
              <w:rPr>
                <w:rFonts w:ascii="Arial" w:eastAsia="Arial" w:hAnsi="Arial" w:cs="Arial"/>
              </w:rPr>
            </w:pPr>
          </w:p>
        </w:tc>
        <w:tc>
          <w:tcPr>
            <w:tcW w:w="1248" w:type="dxa"/>
            <w:tcBorders>
              <w:top w:val="nil"/>
              <w:left w:val="nil"/>
              <w:bottom w:val="nil"/>
              <w:right w:val="nil"/>
            </w:tcBorders>
            <w:shd w:val="clear" w:color="auto" w:fill="auto"/>
            <w:vAlign w:val="bottom"/>
          </w:tcPr>
          <w:p w14:paraId="0000007D" w14:textId="77777777" w:rsidR="00CE25E6" w:rsidRDefault="00CE25E6">
            <w:pPr>
              <w:spacing w:after="0" w:line="240" w:lineRule="auto"/>
              <w:rPr>
                <w:rFonts w:ascii="Arial" w:eastAsia="Arial" w:hAnsi="Arial" w:cs="Arial"/>
              </w:rPr>
            </w:pPr>
          </w:p>
        </w:tc>
      </w:tr>
      <w:tr w:rsidR="00CE25E6" w14:paraId="70F94A47" w14:textId="77777777" w:rsidTr="00957932">
        <w:trPr>
          <w:trHeight w:val="285"/>
        </w:trPr>
        <w:tc>
          <w:tcPr>
            <w:tcW w:w="2268" w:type="dxa"/>
            <w:tcBorders>
              <w:top w:val="nil"/>
              <w:left w:val="nil"/>
              <w:right w:val="nil"/>
            </w:tcBorders>
            <w:shd w:val="clear" w:color="auto" w:fill="auto"/>
            <w:vAlign w:val="bottom"/>
          </w:tcPr>
          <w:p w14:paraId="0000007E" w14:textId="77777777" w:rsidR="00CE25E6" w:rsidRDefault="00153729">
            <w:pPr>
              <w:spacing w:after="0" w:line="240" w:lineRule="auto"/>
              <w:rPr>
                <w:rFonts w:ascii="Arial" w:eastAsia="Arial" w:hAnsi="Arial" w:cs="Arial"/>
                <w:color w:val="000000"/>
              </w:rPr>
            </w:pPr>
            <w:r>
              <w:rPr>
                <w:rFonts w:ascii="Arial" w:eastAsia="Arial" w:hAnsi="Arial" w:cs="Arial"/>
                <w:color w:val="000000"/>
              </w:rPr>
              <w:t>Northern Flicker</w:t>
            </w:r>
          </w:p>
        </w:tc>
        <w:tc>
          <w:tcPr>
            <w:tcW w:w="1247" w:type="dxa"/>
            <w:tcBorders>
              <w:top w:val="nil"/>
              <w:left w:val="nil"/>
              <w:right w:val="nil"/>
            </w:tcBorders>
            <w:shd w:val="clear" w:color="auto" w:fill="auto"/>
            <w:vAlign w:val="bottom"/>
          </w:tcPr>
          <w:p w14:paraId="0000007F"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21</w:t>
            </w:r>
          </w:p>
        </w:tc>
        <w:tc>
          <w:tcPr>
            <w:tcW w:w="1247" w:type="dxa"/>
            <w:tcBorders>
              <w:top w:val="nil"/>
              <w:left w:val="nil"/>
              <w:right w:val="nil"/>
            </w:tcBorders>
            <w:shd w:val="clear" w:color="auto" w:fill="auto"/>
            <w:vAlign w:val="bottom"/>
          </w:tcPr>
          <w:p w14:paraId="00000080"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0.25</w:t>
            </w:r>
          </w:p>
        </w:tc>
        <w:tc>
          <w:tcPr>
            <w:tcW w:w="1248" w:type="dxa"/>
            <w:tcBorders>
              <w:top w:val="nil"/>
              <w:left w:val="nil"/>
              <w:right w:val="nil"/>
            </w:tcBorders>
            <w:shd w:val="clear" w:color="auto" w:fill="auto"/>
            <w:vAlign w:val="bottom"/>
          </w:tcPr>
          <w:p w14:paraId="00000081"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0.11</w:t>
            </w:r>
          </w:p>
        </w:tc>
        <w:tc>
          <w:tcPr>
            <w:tcW w:w="1247" w:type="dxa"/>
            <w:tcBorders>
              <w:top w:val="nil"/>
              <w:left w:val="nil"/>
              <w:right w:val="nil"/>
            </w:tcBorders>
            <w:shd w:val="clear" w:color="auto" w:fill="auto"/>
            <w:vAlign w:val="bottom"/>
          </w:tcPr>
          <w:p w14:paraId="00000082"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0.10</w:t>
            </w:r>
          </w:p>
        </w:tc>
        <w:tc>
          <w:tcPr>
            <w:tcW w:w="1248" w:type="dxa"/>
            <w:tcBorders>
              <w:top w:val="nil"/>
              <w:left w:val="nil"/>
              <w:right w:val="nil"/>
            </w:tcBorders>
            <w:shd w:val="clear" w:color="auto" w:fill="auto"/>
            <w:vAlign w:val="bottom"/>
          </w:tcPr>
          <w:p w14:paraId="00000083"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0.48</w:t>
            </w:r>
          </w:p>
        </w:tc>
      </w:tr>
      <w:tr w:rsidR="00CE25E6" w14:paraId="26A36780" w14:textId="77777777" w:rsidTr="00957932">
        <w:trPr>
          <w:trHeight w:val="285"/>
        </w:trPr>
        <w:tc>
          <w:tcPr>
            <w:tcW w:w="2268" w:type="dxa"/>
            <w:tcBorders>
              <w:top w:val="nil"/>
              <w:left w:val="nil"/>
              <w:bottom w:val="single" w:sz="4" w:space="0" w:color="000000"/>
              <w:right w:val="nil"/>
            </w:tcBorders>
            <w:shd w:val="clear" w:color="auto" w:fill="auto"/>
            <w:vAlign w:val="bottom"/>
          </w:tcPr>
          <w:p w14:paraId="00000084" w14:textId="77777777" w:rsidR="00CE25E6" w:rsidRDefault="00153729">
            <w:pPr>
              <w:spacing w:after="0" w:line="240" w:lineRule="auto"/>
              <w:rPr>
                <w:rFonts w:ascii="Arial" w:eastAsia="Arial" w:hAnsi="Arial" w:cs="Arial"/>
                <w:color w:val="000000"/>
              </w:rPr>
            </w:pPr>
            <w:r>
              <w:rPr>
                <w:rFonts w:ascii="Arial" w:eastAsia="Arial" w:hAnsi="Arial" w:cs="Arial"/>
                <w:color w:val="000000"/>
              </w:rPr>
              <w:t>Hairy Woodpecker</w:t>
            </w:r>
          </w:p>
        </w:tc>
        <w:tc>
          <w:tcPr>
            <w:tcW w:w="1247" w:type="dxa"/>
            <w:tcBorders>
              <w:top w:val="nil"/>
              <w:left w:val="nil"/>
              <w:bottom w:val="single" w:sz="4" w:space="0" w:color="000000"/>
              <w:right w:val="nil"/>
            </w:tcBorders>
            <w:shd w:val="clear" w:color="auto" w:fill="auto"/>
            <w:vAlign w:val="bottom"/>
          </w:tcPr>
          <w:p w14:paraId="00000085"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36</w:t>
            </w:r>
          </w:p>
        </w:tc>
        <w:tc>
          <w:tcPr>
            <w:tcW w:w="1247" w:type="dxa"/>
            <w:tcBorders>
              <w:top w:val="nil"/>
              <w:left w:val="nil"/>
              <w:bottom w:val="single" w:sz="4" w:space="0" w:color="000000"/>
              <w:right w:val="nil"/>
            </w:tcBorders>
            <w:shd w:val="clear" w:color="auto" w:fill="auto"/>
            <w:vAlign w:val="bottom"/>
          </w:tcPr>
          <w:p w14:paraId="00000086"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0.47</w:t>
            </w:r>
          </w:p>
        </w:tc>
        <w:tc>
          <w:tcPr>
            <w:tcW w:w="1248" w:type="dxa"/>
            <w:tcBorders>
              <w:top w:val="nil"/>
              <w:left w:val="nil"/>
              <w:bottom w:val="single" w:sz="4" w:space="0" w:color="000000"/>
              <w:right w:val="nil"/>
            </w:tcBorders>
            <w:shd w:val="clear" w:color="auto" w:fill="auto"/>
            <w:vAlign w:val="bottom"/>
          </w:tcPr>
          <w:p w14:paraId="00000087"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0.24</w:t>
            </w:r>
          </w:p>
        </w:tc>
        <w:tc>
          <w:tcPr>
            <w:tcW w:w="1247" w:type="dxa"/>
            <w:tcBorders>
              <w:top w:val="nil"/>
              <w:left w:val="nil"/>
              <w:bottom w:val="single" w:sz="4" w:space="0" w:color="000000"/>
              <w:right w:val="nil"/>
            </w:tcBorders>
            <w:shd w:val="clear" w:color="auto" w:fill="auto"/>
            <w:vAlign w:val="bottom"/>
          </w:tcPr>
          <w:p w14:paraId="00000088"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0.06</w:t>
            </w:r>
          </w:p>
        </w:tc>
        <w:tc>
          <w:tcPr>
            <w:tcW w:w="1248" w:type="dxa"/>
            <w:tcBorders>
              <w:top w:val="nil"/>
              <w:left w:val="nil"/>
              <w:bottom w:val="single" w:sz="4" w:space="0" w:color="000000"/>
              <w:right w:val="nil"/>
            </w:tcBorders>
            <w:shd w:val="clear" w:color="auto" w:fill="auto"/>
            <w:vAlign w:val="bottom"/>
          </w:tcPr>
          <w:p w14:paraId="00000089" w14:textId="77777777" w:rsidR="00CE25E6" w:rsidRDefault="00153729" w:rsidP="00957932">
            <w:pPr>
              <w:spacing w:after="0" w:line="240" w:lineRule="auto"/>
              <w:rPr>
                <w:rFonts w:ascii="Arial" w:eastAsia="Arial" w:hAnsi="Arial" w:cs="Arial"/>
                <w:color w:val="000000"/>
              </w:rPr>
            </w:pPr>
            <w:r>
              <w:rPr>
                <w:rFonts w:ascii="Arial" w:eastAsia="Arial" w:hAnsi="Arial" w:cs="Arial"/>
                <w:color w:val="000000"/>
              </w:rPr>
              <w:t>1.06</w:t>
            </w:r>
          </w:p>
        </w:tc>
      </w:tr>
    </w:tbl>
    <w:p w14:paraId="0000008A" w14:textId="77777777" w:rsidR="00CE25E6" w:rsidRDefault="00CE25E6">
      <w:pPr>
        <w:pBdr>
          <w:top w:val="nil"/>
          <w:left w:val="nil"/>
          <w:bottom w:val="nil"/>
          <w:right w:val="nil"/>
          <w:between w:val="nil"/>
        </w:pBdr>
        <w:spacing w:after="0" w:line="480" w:lineRule="auto"/>
        <w:rPr>
          <w:rFonts w:ascii="Quattrocento Sans" w:eastAsia="Quattrocento Sans" w:hAnsi="Quattrocento Sans" w:cs="Quattrocento Sans"/>
          <w:color w:val="000000"/>
          <w:sz w:val="18"/>
          <w:szCs w:val="18"/>
        </w:rPr>
      </w:pPr>
    </w:p>
    <w:p w14:paraId="0000008B"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8C" w14:textId="77777777" w:rsidR="00CE25E6" w:rsidRDefault="00153729">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Possible ecological and life-history explanations for variation </w:t>
      </w:r>
    </w:p>
    <w:p w14:paraId="0000008D" w14:textId="729075DA" w:rsidR="00CE25E6" w:rsidRDefault="00153729">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 number of</w:t>
      </w:r>
      <w:proofErr w:type="gramEnd"/>
      <w:r>
        <w:rPr>
          <w:rFonts w:ascii="Times New Roman" w:eastAsia="Times New Roman" w:hAnsi="Times New Roman" w:cs="Times New Roman"/>
          <w:color w:val="000000"/>
          <w:sz w:val="24"/>
          <w:szCs w:val="24"/>
        </w:rPr>
        <w:t xml:space="preserve"> other observations within our dataset lead us to believe that variation in bone turnover may be superseded by diet breadth and physiology as explanations for intra-individual variation. To assess this possibility, comparisons were made, within the study data, to further assess factors </w:t>
      </w:r>
      <w:r w:rsidR="00A72F63">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color w:val="000000"/>
          <w:sz w:val="24"/>
          <w:szCs w:val="24"/>
        </w:rPr>
        <w:t>may influence the amount of intra-individual variation.  Species ecology of the sample individuals is discussed in detail in Table S2.  </w:t>
      </w:r>
    </w:p>
    <w:p w14:paraId="0000008E" w14:textId="77777777" w:rsidR="00CE25E6" w:rsidRDefault="00153729">
      <w:pPr>
        <w:rPr>
          <w:rFonts w:ascii="Times New Roman" w:eastAsia="Times New Roman" w:hAnsi="Times New Roman" w:cs="Times New Roman"/>
          <w:color w:val="000000"/>
          <w:sz w:val="24"/>
          <w:szCs w:val="24"/>
        </w:rPr>
        <w:sectPr w:rsidR="00CE25E6">
          <w:pgSz w:w="12240" w:h="15840"/>
          <w:pgMar w:top="1440" w:right="1440" w:bottom="1440" w:left="1440" w:header="708" w:footer="708" w:gutter="0"/>
          <w:pgNumType w:start="1"/>
          <w:cols w:space="720"/>
        </w:sectPr>
      </w:pPr>
      <w:r>
        <w:br w:type="page"/>
      </w:r>
    </w:p>
    <w:p w14:paraId="0000008F" w14:textId="2B06232F" w:rsidR="00CE25E6" w:rsidRDefault="00153729">
      <w:pPr>
        <w:spacing w:after="0" w:line="240" w:lineRule="auto"/>
        <w:ind w:left="-284" w:right="-9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S2:  A list of the species analysed of intra-bone isotopic variability, ecological history, number of individuals (</w:t>
      </w:r>
      <w:r w:rsidR="00A72F63">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and place of origin. </w:t>
      </w:r>
    </w:p>
    <w:tbl>
      <w:tblPr>
        <w:tblStyle w:val="a0"/>
        <w:tblW w:w="13892" w:type="dxa"/>
        <w:tblInd w:w="-284" w:type="dxa"/>
        <w:tblLayout w:type="fixed"/>
        <w:tblLook w:val="0400" w:firstRow="0" w:lastRow="0" w:firstColumn="0" w:lastColumn="0" w:noHBand="0" w:noVBand="1"/>
      </w:tblPr>
      <w:tblGrid>
        <w:gridCol w:w="3261"/>
        <w:gridCol w:w="2313"/>
        <w:gridCol w:w="2268"/>
        <w:gridCol w:w="1117"/>
        <w:gridCol w:w="1194"/>
        <w:gridCol w:w="439"/>
        <w:gridCol w:w="3300"/>
      </w:tblGrid>
      <w:tr w:rsidR="00CE25E6" w14:paraId="65C66DF1" w14:textId="77777777">
        <w:trPr>
          <w:trHeight w:val="285"/>
        </w:trPr>
        <w:tc>
          <w:tcPr>
            <w:tcW w:w="3261" w:type="dxa"/>
            <w:tcBorders>
              <w:top w:val="single" w:sz="4" w:space="0" w:color="000000"/>
              <w:left w:val="nil"/>
              <w:bottom w:val="single" w:sz="4" w:space="0" w:color="000000"/>
              <w:right w:val="nil"/>
            </w:tcBorders>
            <w:shd w:val="clear" w:color="auto" w:fill="FFFFFF"/>
            <w:vAlign w:val="center"/>
          </w:tcPr>
          <w:p w14:paraId="00000090"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Species</w:t>
            </w:r>
          </w:p>
        </w:tc>
        <w:tc>
          <w:tcPr>
            <w:tcW w:w="2313" w:type="dxa"/>
            <w:tcBorders>
              <w:top w:val="single" w:sz="4" w:space="0" w:color="000000"/>
              <w:left w:val="nil"/>
              <w:bottom w:val="single" w:sz="4" w:space="0" w:color="000000"/>
              <w:right w:val="nil"/>
            </w:tcBorders>
            <w:shd w:val="clear" w:color="auto" w:fill="FFFFFF"/>
            <w:vAlign w:val="center"/>
          </w:tcPr>
          <w:p w14:paraId="00000091"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Common Name</w:t>
            </w:r>
          </w:p>
        </w:tc>
        <w:tc>
          <w:tcPr>
            <w:tcW w:w="2268" w:type="dxa"/>
            <w:tcBorders>
              <w:top w:val="single" w:sz="4" w:space="0" w:color="000000"/>
              <w:left w:val="nil"/>
              <w:bottom w:val="single" w:sz="4" w:space="0" w:color="000000"/>
              <w:right w:val="nil"/>
            </w:tcBorders>
            <w:shd w:val="clear" w:color="auto" w:fill="FFFFFF"/>
            <w:vAlign w:val="center"/>
          </w:tcPr>
          <w:p w14:paraId="00000092"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Diet</w:t>
            </w:r>
          </w:p>
        </w:tc>
        <w:tc>
          <w:tcPr>
            <w:tcW w:w="1117" w:type="dxa"/>
            <w:tcBorders>
              <w:top w:val="single" w:sz="4" w:space="0" w:color="000000"/>
              <w:left w:val="nil"/>
              <w:bottom w:val="single" w:sz="4" w:space="0" w:color="000000"/>
              <w:right w:val="nil"/>
            </w:tcBorders>
            <w:shd w:val="clear" w:color="auto" w:fill="FFFFFF"/>
            <w:vAlign w:val="center"/>
          </w:tcPr>
          <w:p w14:paraId="00000093"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Wild or Domestic</w:t>
            </w:r>
          </w:p>
        </w:tc>
        <w:tc>
          <w:tcPr>
            <w:tcW w:w="1194" w:type="dxa"/>
            <w:tcBorders>
              <w:top w:val="single" w:sz="4" w:space="0" w:color="000000"/>
              <w:left w:val="nil"/>
              <w:bottom w:val="single" w:sz="4" w:space="0" w:color="000000"/>
              <w:right w:val="nil"/>
            </w:tcBorders>
            <w:shd w:val="clear" w:color="auto" w:fill="FFFFFF"/>
            <w:vAlign w:val="center"/>
          </w:tcPr>
          <w:p w14:paraId="00000094"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Migratory</w:t>
            </w:r>
          </w:p>
        </w:tc>
        <w:tc>
          <w:tcPr>
            <w:tcW w:w="439" w:type="dxa"/>
            <w:tcBorders>
              <w:top w:val="single" w:sz="4" w:space="0" w:color="000000"/>
              <w:left w:val="nil"/>
              <w:bottom w:val="single" w:sz="4" w:space="0" w:color="000000"/>
              <w:right w:val="nil"/>
            </w:tcBorders>
            <w:shd w:val="clear" w:color="auto" w:fill="FFFFFF"/>
            <w:vAlign w:val="center"/>
          </w:tcPr>
          <w:p w14:paraId="00000095" w14:textId="258086A3" w:rsidR="00CE25E6" w:rsidRPr="00957932" w:rsidRDefault="00A72F63">
            <w:pPr>
              <w:spacing w:after="0" w:line="240" w:lineRule="auto"/>
              <w:rPr>
                <w:rFonts w:ascii="Arial" w:eastAsia="Arial" w:hAnsi="Arial" w:cs="Arial"/>
                <w:b/>
                <w:color w:val="000000"/>
                <w:sz w:val="18"/>
                <w:szCs w:val="18"/>
              </w:rPr>
            </w:pPr>
            <w:r>
              <w:rPr>
                <w:rFonts w:ascii="Arial" w:eastAsia="Arial" w:hAnsi="Arial" w:cs="Arial"/>
                <w:b/>
                <w:color w:val="000000"/>
                <w:sz w:val="18"/>
                <w:szCs w:val="18"/>
              </w:rPr>
              <w:t>n</w:t>
            </w:r>
          </w:p>
        </w:tc>
        <w:tc>
          <w:tcPr>
            <w:tcW w:w="3300" w:type="dxa"/>
            <w:tcBorders>
              <w:top w:val="single" w:sz="4" w:space="0" w:color="000000"/>
              <w:left w:val="nil"/>
              <w:bottom w:val="single" w:sz="4" w:space="0" w:color="000000"/>
              <w:right w:val="nil"/>
            </w:tcBorders>
            <w:shd w:val="clear" w:color="auto" w:fill="FFFFFF"/>
            <w:vAlign w:val="center"/>
          </w:tcPr>
          <w:p w14:paraId="00000096"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Origin of Samples</w:t>
            </w:r>
          </w:p>
        </w:tc>
      </w:tr>
      <w:tr w:rsidR="00CE25E6" w14:paraId="0874AB98" w14:textId="77777777">
        <w:trPr>
          <w:trHeight w:val="300"/>
        </w:trPr>
        <w:tc>
          <w:tcPr>
            <w:tcW w:w="3261" w:type="dxa"/>
            <w:tcBorders>
              <w:top w:val="nil"/>
              <w:left w:val="nil"/>
              <w:bottom w:val="nil"/>
              <w:right w:val="nil"/>
            </w:tcBorders>
            <w:shd w:val="clear" w:color="auto" w:fill="FFFFFF"/>
            <w:vAlign w:val="bottom"/>
          </w:tcPr>
          <w:p w14:paraId="00000097"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Freshwater Fish</w:t>
            </w:r>
          </w:p>
        </w:tc>
        <w:tc>
          <w:tcPr>
            <w:tcW w:w="2313" w:type="dxa"/>
            <w:tcBorders>
              <w:top w:val="nil"/>
              <w:left w:val="nil"/>
              <w:bottom w:val="nil"/>
              <w:right w:val="nil"/>
            </w:tcBorders>
            <w:shd w:val="clear" w:color="auto" w:fill="FFFFFF"/>
            <w:vAlign w:val="bottom"/>
          </w:tcPr>
          <w:p w14:paraId="0000009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vAlign w:val="bottom"/>
          </w:tcPr>
          <w:p w14:paraId="0000009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vAlign w:val="bottom"/>
          </w:tcPr>
          <w:p w14:paraId="0000009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vAlign w:val="bottom"/>
          </w:tcPr>
          <w:p w14:paraId="0000009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vAlign w:val="bottom"/>
          </w:tcPr>
          <w:p w14:paraId="0000009C" w14:textId="77777777" w:rsidR="00CE25E6" w:rsidRPr="00957932" w:rsidRDefault="00153729">
            <w:pPr>
              <w:spacing w:after="0" w:line="240" w:lineRule="auto"/>
              <w:jc w:val="center"/>
              <w:rPr>
                <w:rFonts w:ascii="Arial" w:eastAsia="Arial" w:hAnsi="Arial" w:cs="Arial"/>
                <w:color w:val="000000"/>
                <w:sz w:val="18"/>
                <w:szCs w:val="18"/>
              </w:rPr>
            </w:pPr>
            <w:r w:rsidRPr="00957932">
              <w:rPr>
                <w:rFonts w:ascii="Arial" w:eastAsia="Arial" w:hAnsi="Arial" w:cs="Arial"/>
                <w:color w:val="000000"/>
                <w:sz w:val="18"/>
                <w:szCs w:val="18"/>
              </w:rPr>
              <w:t> </w:t>
            </w:r>
          </w:p>
        </w:tc>
        <w:tc>
          <w:tcPr>
            <w:tcW w:w="3300" w:type="dxa"/>
            <w:tcBorders>
              <w:top w:val="nil"/>
              <w:left w:val="nil"/>
              <w:bottom w:val="nil"/>
              <w:right w:val="nil"/>
            </w:tcBorders>
            <w:shd w:val="clear" w:color="auto" w:fill="FFFFFF"/>
            <w:vAlign w:val="bottom"/>
          </w:tcPr>
          <w:p w14:paraId="0000009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r>
      <w:tr w:rsidR="00CE25E6" w14:paraId="7EE78F0D" w14:textId="77777777">
        <w:trPr>
          <w:trHeight w:val="300"/>
        </w:trPr>
        <w:tc>
          <w:tcPr>
            <w:tcW w:w="3261" w:type="dxa"/>
            <w:tcBorders>
              <w:top w:val="nil"/>
              <w:left w:val="nil"/>
              <w:bottom w:val="nil"/>
              <w:right w:val="nil"/>
            </w:tcBorders>
            <w:shd w:val="clear" w:color="auto" w:fill="FFFFFF"/>
          </w:tcPr>
          <w:p w14:paraId="0000009E"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Esox americanus</w:t>
            </w:r>
          </w:p>
        </w:tc>
        <w:tc>
          <w:tcPr>
            <w:tcW w:w="2313" w:type="dxa"/>
            <w:tcBorders>
              <w:top w:val="nil"/>
              <w:left w:val="nil"/>
              <w:bottom w:val="nil"/>
              <w:right w:val="nil"/>
            </w:tcBorders>
            <w:shd w:val="clear" w:color="auto" w:fill="FFFFFF"/>
          </w:tcPr>
          <w:p w14:paraId="0000009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Pickerel</w:t>
            </w:r>
          </w:p>
        </w:tc>
        <w:tc>
          <w:tcPr>
            <w:tcW w:w="2268" w:type="dxa"/>
            <w:tcBorders>
              <w:top w:val="nil"/>
              <w:left w:val="nil"/>
              <w:bottom w:val="nil"/>
              <w:right w:val="nil"/>
            </w:tcBorders>
            <w:shd w:val="clear" w:color="auto" w:fill="FFFFFF"/>
          </w:tcPr>
          <w:p w14:paraId="000000A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0A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A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A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A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Lake Ontario, Ontario, Canada</w:t>
            </w:r>
          </w:p>
        </w:tc>
      </w:tr>
      <w:tr w:rsidR="00CE25E6" w14:paraId="1467E5B4" w14:textId="77777777">
        <w:trPr>
          <w:trHeight w:val="300"/>
        </w:trPr>
        <w:tc>
          <w:tcPr>
            <w:tcW w:w="3261" w:type="dxa"/>
            <w:tcBorders>
              <w:top w:val="nil"/>
              <w:left w:val="nil"/>
              <w:bottom w:val="nil"/>
              <w:right w:val="nil"/>
            </w:tcBorders>
            <w:shd w:val="clear" w:color="auto" w:fill="FFFFFF"/>
          </w:tcPr>
          <w:p w14:paraId="000000A5" w14:textId="77777777" w:rsidR="00CE25E6" w:rsidRPr="00957932" w:rsidRDefault="00153729">
            <w:pPr>
              <w:spacing w:after="0" w:line="240" w:lineRule="auto"/>
              <w:ind w:firstLine="400"/>
              <w:rPr>
                <w:rFonts w:ascii="Arial" w:eastAsia="Arial" w:hAnsi="Arial" w:cs="Arial"/>
                <w:i/>
                <w:color w:val="000000"/>
                <w:sz w:val="18"/>
                <w:szCs w:val="18"/>
              </w:rPr>
            </w:pPr>
            <w:proofErr w:type="spellStart"/>
            <w:r w:rsidRPr="00957932">
              <w:rPr>
                <w:rFonts w:ascii="Arial" w:eastAsia="Arial" w:hAnsi="Arial" w:cs="Arial"/>
                <w:i/>
                <w:color w:val="000000"/>
                <w:sz w:val="18"/>
                <w:szCs w:val="18"/>
              </w:rPr>
              <w:t>Perca</w:t>
            </w:r>
            <w:proofErr w:type="spellEnd"/>
            <w:r w:rsidRPr="00957932">
              <w:rPr>
                <w:rFonts w:ascii="Arial" w:eastAsia="Arial" w:hAnsi="Arial" w:cs="Arial"/>
                <w:i/>
                <w:color w:val="000000"/>
                <w:sz w:val="18"/>
                <w:szCs w:val="18"/>
              </w:rPr>
              <w:t xml:space="preserve"> </w:t>
            </w:r>
            <w:proofErr w:type="spellStart"/>
            <w:r w:rsidRPr="00957932">
              <w:rPr>
                <w:rFonts w:ascii="Arial" w:eastAsia="Arial" w:hAnsi="Arial" w:cs="Arial"/>
                <w:i/>
                <w:color w:val="000000"/>
                <w:sz w:val="18"/>
                <w:szCs w:val="18"/>
              </w:rPr>
              <w:t>flavescens</w:t>
            </w:r>
            <w:proofErr w:type="spellEnd"/>
          </w:p>
        </w:tc>
        <w:tc>
          <w:tcPr>
            <w:tcW w:w="2313" w:type="dxa"/>
            <w:tcBorders>
              <w:top w:val="nil"/>
              <w:left w:val="nil"/>
              <w:bottom w:val="nil"/>
              <w:right w:val="nil"/>
            </w:tcBorders>
            <w:shd w:val="clear" w:color="auto" w:fill="FFFFFF"/>
          </w:tcPr>
          <w:p w14:paraId="000000A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Yellow perch</w:t>
            </w:r>
          </w:p>
        </w:tc>
        <w:tc>
          <w:tcPr>
            <w:tcW w:w="2268" w:type="dxa"/>
            <w:tcBorders>
              <w:top w:val="nil"/>
              <w:left w:val="nil"/>
              <w:bottom w:val="nil"/>
              <w:right w:val="nil"/>
            </w:tcBorders>
            <w:shd w:val="clear" w:color="auto" w:fill="FFFFFF"/>
          </w:tcPr>
          <w:p w14:paraId="000000A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0A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A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Yes limited</w:t>
            </w:r>
          </w:p>
        </w:tc>
        <w:tc>
          <w:tcPr>
            <w:tcW w:w="439" w:type="dxa"/>
            <w:tcBorders>
              <w:top w:val="nil"/>
              <w:left w:val="nil"/>
              <w:bottom w:val="nil"/>
              <w:right w:val="nil"/>
            </w:tcBorders>
            <w:shd w:val="clear" w:color="auto" w:fill="FFFFFF"/>
          </w:tcPr>
          <w:p w14:paraId="000000A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3</w:t>
            </w:r>
          </w:p>
        </w:tc>
        <w:tc>
          <w:tcPr>
            <w:tcW w:w="3300" w:type="dxa"/>
            <w:tcBorders>
              <w:top w:val="nil"/>
              <w:left w:val="nil"/>
              <w:bottom w:val="nil"/>
              <w:right w:val="nil"/>
            </w:tcBorders>
            <w:shd w:val="clear" w:color="auto" w:fill="FFFFFF"/>
          </w:tcPr>
          <w:p w14:paraId="000000A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Lake Ontario, Ontario, Canada</w:t>
            </w:r>
          </w:p>
        </w:tc>
      </w:tr>
      <w:tr w:rsidR="00CE25E6" w14:paraId="70E3E728" w14:textId="77777777">
        <w:trPr>
          <w:trHeight w:val="300"/>
        </w:trPr>
        <w:tc>
          <w:tcPr>
            <w:tcW w:w="3261" w:type="dxa"/>
            <w:tcBorders>
              <w:top w:val="nil"/>
              <w:left w:val="nil"/>
              <w:bottom w:val="nil"/>
              <w:right w:val="nil"/>
            </w:tcBorders>
            <w:shd w:val="clear" w:color="auto" w:fill="FFFFFF"/>
            <w:vAlign w:val="bottom"/>
          </w:tcPr>
          <w:p w14:paraId="000000AC"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Marine Fish</w:t>
            </w:r>
          </w:p>
        </w:tc>
        <w:tc>
          <w:tcPr>
            <w:tcW w:w="2313" w:type="dxa"/>
            <w:tcBorders>
              <w:top w:val="nil"/>
              <w:left w:val="nil"/>
              <w:bottom w:val="nil"/>
              <w:right w:val="nil"/>
            </w:tcBorders>
            <w:shd w:val="clear" w:color="auto" w:fill="FFFFFF"/>
            <w:vAlign w:val="bottom"/>
          </w:tcPr>
          <w:p w14:paraId="000000A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vAlign w:val="bottom"/>
          </w:tcPr>
          <w:p w14:paraId="000000A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vAlign w:val="bottom"/>
          </w:tcPr>
          <w:p w14:paraId="000000A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vAlign w:val="bottom"/>
          </w:tcPr>
          <w:p w14:paraId="000000B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vAlign w:val="bottom"/>
          </w:tcPr>
          <w:p w14:paraId="000000B1" w14:textId="77777777" w:rsidR="00CE25E6" w:rsidRPr="00957932" w:rsidRDefault="00153729">
            <w:pPr>
              <w:spacing w:after="0" w:line="240" w:lineRule="auto"/>
              <w:jc w:val="center"/>
              <w:rPr>
                <w:rFonts w:ascii="Arial" w:eastAsia="Arial" w:hAnsi="Arial" w:cs="Arial"/>
                <w:color w:val="000000"/>
                <w:sz w:val="18"/>
                <w:szCs w:val="18"/>
              </w:rPr>
            </w:pPr>
            <w:r w:rsidRPr="00957932">
              <w:rPr>
                <w:rFonts w:ascii="Arial" w:eastAsia="Arial" w:hAnsi="Arial" w:cs="Arial"/>
                <w:color w:val="000000"/>
                <w:sz w:val="18"/>
                <w:szCs w:val="18"/>
              </w:rPr>
              <w:t> </w:t>
            </w:r>
          </w:p>
        </w:tc>
        <w:tc>
          <w:tcPr>
            <w:tcW w:w="3300" w:type="dxa"/>
            <w:tcBorders>
              <w:top w:val="nil"/>
              <w:left w:val="nil"/>
              <w:bottom w:val="nil"/>
              <w:right w:val="nil"/>
            </w:tcBorders>
            <w:shd w:val="clear" w:color="auto" w:fill="FFFFFF"/>
            <w:vAlign w:val="bottom"/>
          </w:tcPr>
          <w:p w14:paraId="000000B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r>
      <w:tr w:rsidR="00CE25E6" w14:paraId="7227CF48" w14:textId="77777777">
        <w:trPr>
          <w:trHeight w:val="300"/>
        </w:trPr>
        <w:tc>
          <w:tcPr>
            <w:tcW w:w="3261" w:type="dxa"/>
            <w:tcBorders>
              <w:top w:val="nil"/>
              <w:left w:val="nil"/>
              <w:bottom w:val="nil"/>
              <w:right w:val="nil"/>
            </w:tcBorders>
            <w:shd w:val="clear" w:color="auto" w:fill="FFFFFF"/>
          </w:tcPr>
          <w:p w14:paraId="000000B3"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 xml:space="preserve">Sebastes </w:t>
            </w:r>
            <w:proofErr w:type="spellStart"/>
            <w:r w:rsidRPr="00957932">
              <w:rPr>
                <w:rFonts w:ascii="Arial" w:eastAsia="Arial" w:hAnsi="Arial" w:cs="Arial"/>
                <w:i/>
                <w:color w:val="000000"/>
                <w:sz w:val="18"/>
                <w:szCs w:val="18"/>
              </w:rPr>
              <w:t>alutus</w:t>
            </w:r>
            <w:proofErr w:type="spellEnd"/>
          </w:p>
        </w:tc>
        <w:tc>
          <w:tcPr>
            <w:tcW w:w="2313" w:type="dxa"/>
            <w:tcBorders>
              <w:top w:val="nil"/>
              <w:left w:val="nil"/>
              <w:bottom w:val="nil"/>
              <w:right w:val="nil"/>
            </w:tcBorders>
            <w:shd w:val="clear" w:color="auto" w:fill="FFFFFF"/>
          </w:tcPr>
          <w:p w14:paraId="000000B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Pacific Ocean Perch</w:t>
            </w:r>
          </w:p>
        </w:tc>
        <w:tc>
          <w:tcPr>
            <w:tcW w:w="2268" w:type="dxa"/>
            <w:tcBorders>
              <w:top w:val="nil"/>
              <w:left w:val="nil"/>
              <w:bottom w:val="nil"/>
              <w:right w:val="nil"/>
            </w:tcBorders>
            <w:shd w:val="clear" w:color="auto" w:fill="FFFFFF"/>
          </w:tcPr>
          <w:p w14:paraId="000000B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0B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B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B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B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Coastal British Columbia, Canada</w:t>
            </w:r>
          </w:p>
        </w:tc>
      </w:tr>
      <w:tr w:rsidR="00CE25E6" w14:paraId="7C47F0C4" w14:textId="77777777">
        <w:trPr>
          <w:trHeight w:val="300"/>
        </w:trPr>
        <w:tc>
          <w:tcPr>
            <w:tcW w:w="3261" w:type="dxa"/>
            <w:tcBorders>
              <w:top w:val="nil"/>
              <w:left w:val="nil"/>
              <w:bottom w:val="nil"/>
              <w:right w:val="nil"/>
            </w:tcBorders>
            <w:shd w:val="clear" w:color="auto" w:fill="FFFFFF"/>
          </w:tcPr>
          <w:p w14:paraId="000000BA"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 xml:space="preserve">Sebastes </w:t>
            </w:r>
            <w:proofErr w:type="spellStart"/>
            <w:r w:rsidRPr="00957932">
              <w:rPr>
                <w:rFonts w:ascii="Arial" w:eastAsia="Arial" w:hAnsi="Arial" w:cs="Arial"/>
                <w:i/>
                <w:color w:val="000000"/>
                <w:sz w:val="18"/>
                <w:szCs w:val="18"/>
              </w:rPr>
              <w:t>babcocki</w:t>
            </w:r>
            <w:proofErr w:type="spellEnd"/>
          </w:p>
        </w:tc>
        <w:tc>
          <w:tcPr>
            <w:tcW w:w="2313" w:type="dxa"/>
            <w:tcBorders>
              <w:top w:val="nil"/>
              <w:left w:val="nil"/>
              <w:bottom w:val="nil"/>
              <w:right w:val="nil"/>
            </w:tcBorders>
            <w:shd w:val="clear" w:color="auto" w:fill="FFFFFF"/>
          </w:tcPr>
          <w:p w14:paraId="000000BB" w14:textId="77777777" w:rsidR="00CE25E6" w:rsidRPr="00957932" w:rsidRDefault="00153729">
            <w:pPr>
              <w:spacing w:after="0" w:line="240" w:lineRule="auto"/>
              <w:rPr>
                <w:rFonts w:ascii="Arial" w:eastAsia="Arial" w:hAnsi="Arial" w:cs="Arial"/>
                <w:color w:val="000000"/>
                <w:sz w:val="18"/>
                <w:szCs w:val="18"/>
              </w:rPr>
            </w:pPr>
            <w:proofErr w:type="spellStart"/>
            <w:r w:rsidRPr="00957932">
              <w:rPr>
                <w:rFonts w:ascii="Arial" w:eastAsia="Arial" w:hAnsi="Arial" w:cs="Arial"/>
                <w:color w:val="000000"/>
                <w:sz w:val="18"/>
                <w:szCs w:val="18"/>
              </w:rPr>
              <w:t>Redbanded</w:t>
            </w:r>
            <w:proofErr w:type="spellEnd"/>
            <w:r w:rsidRPr="00957932">
              <w:rPr>
                <w:rFonts w:ascii="Arial" w:eastAsia="Arial" w:hAnsi="Arial" w:cs="Arial"/>
                <w:color w:val="000000"/>
                <w:sz w:val="18"/>
                <w:szCs w:val="18"/>
              </w:rPr>
              <w:t xml:space="preserve"> Rockfish</w:t>
            </w:r>
          </w:p>
        </w:tc>
        <w:tc>
          <w:tcPr>
            <w:tcW w:w="2268" w:type="dxa"/>
            <w:tcBorders>
              <w:top w:val="nil"/>
              <w:left w:val="nil"/>
              <w:bottom w:val="nil"/>
              <w:right w:val="nil"/>
            </w:tcBorders>
            <w:shd w:val="clear" w:color="auto" w:fill="FFFFFF"/>
          </w:tcPr>
          <w:p w14:paraId="000000B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0B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B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B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2</w:t>
            </w:r>
          </w:p>
        </w:tc>
        <w:tc>
          <w:tcPr>
            <w:tcW w:w="3300" w:type="dxa"/>
            <w:tcBorders>
              <w:top w:val="nil"/>
              <w:left w:val="nil"/>
              <w:bottom w:val="nil"/>
              <w:right w:val="nil"/>
            </w:tcBorders>
            <w:shd w:val="clear" w:color="auto" w:fill="FFFFFF"/>
          </w:tcPr>
          <w:p w14:paraId="000000C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Coastal British Columbia, Canada</w:t>
            </w:r>
          </w:p>
        </w:tc>
      </w:tr>
      <w:tr w:rsidR="00CE25E6" w14:paraId="6EEC99E5" w14:textId="77777777">
        <w:trPr>
          <w:trHeight w:val="300"/>
        </w:trPr>
        <w:tc>
          <w:tcPr>
            <w:tcW w:w="3261" w:type="dxa"/>
            <w:tcBorders>
              <w:top w:val="nil"/>
              <w:left w:val="nil"/>
              <w:bottom w:val="nil"/>
              <w:right w:val="nil"/>
            </w:tcBorders>
            <w:shd w:val="clear" w:color="auto" w:fill="FFFFFF"/>
          </w:tcPr>
          <w:p w14:paraId="000000C1" w14:textId="77777777" w:rsidR="00CE25E6" w:rsidRPr="00957932" w:rsidRDefault="00153729">
            <w:pPr>
              <w:spacing w:after="0" w:line="240" w:lineRule="auto"/>
              <w:ind w:firstLine="400"/>
              <w:rPr>
                <w:rFonts w:ascii="Arial" w:eastAsia="Arial" w:hAnsi="Arial" w:cs="Arial"/>
                <w:i/>
                <w:color w:val="000000"/>
                <w:sz w:val="18"/>
                <w:szCs w:val="18"/>
              </w:rPr>
            </w:pPr>
            <w:proofErr w:type="spellStart"/>
            <w:r w:rsidRPr="00957932">
              <w:rPr>
                <w:rFonts w:ascii="Arial" w:eastAsia="Arial" w:hAnsi="Arial" w:cs="Arial"/>
                <w:i/>
                <w:color w:val="000000"/>
                <w:sz w:val="18"/>
                <w:szCs w:val="18"/>
              </w:rPr>
              <w:t>Sebastolobus</w:t>
            </w:r>
            <w:proofErr w:type="spellEnd"/>
            <w:r w:rsidRPr="00957932">
              <w:rPr>
                <w:rFonts w:ascii="Arial" w:eastAsia="Arial" w:hAnsi="Arial" w:cs="Arial"/>
                <w:i/>
                <w:color w:val="000000"/>
                <w:sz w:val="18"/>
                <w:szCs w:val="18"/>
              </w:rPr>
              <w:t xml:space="preserve"> </w:t>
            </w:r>
            <w:proofErr w:type="spellStart"/>
            <w:r w:rsidRPr="00957932">
              <w:rPr>
                <w:rFonts w:ascii="Arial" w:eastAsia="Arial" w:hAnsi="Arial" w:cs="Arial"/>
                <w:i/>
                <w:color w:val="000000"/>
                <w:sz w:val="18"/>
                <w:szCs w:val="18"/>
              </w:rPr>
              <w:t>alascanus</w:t>
            </w:r>
            <w:proofErr w:type="spellEnd"/>
          </w:p>
        </w:tc>
        <w:tc>
          <w:tcPr>
            <w:tcW w:w="2313" w:type="dxa"/>
            <w:tcBorders>
              <w:top w:val="nil"/>
              <w:left w:val="nil"/>
              <w:bottom w:val="nil"/>
              <w:right w:val="nil"/>
            </w:tcBorders>
            <w:shd w:val="clear" w:color="auto" w:fill="FFFFFF"/>
          </w:tcPr>
          <w:p w14:paraId="000000C2" w14:textId="77777777" w:rsidR="00CE25E6" w:rsidRPr="00957932" w:rsidRDefault="00153729">
            <w:pPr>
              <w:spacing w:after="0" w:line="240" w:lineRule="auto"/>
              <w:rPr>
                <w:rFonts w:ascii="Arial" w:eastAsia="Arial" w:hAnsi="Arial" w:cs="Arial"/>
                <w:color w:val="000000"/>
                <w:sz w:val="18"/>
                <w:szCs w:val="18"/>
              </w:rPr>
            </w:pPr>
            <w:proofErr w:type="spellStart"/>
            <w:r w:rsidRPr="00957932">
              <w:rPr>
                <w:rFonts w:ascii="Arial" w:eastAsia="Arial" w:hAnsi="Arial" w:cs="Arial"/>
                <w:color w:val="000000"/>
                <w:sz w:val="18"/>
                <w:szCs w:val="18"/>
              </w:rPr>
              <w:t>Shortspine</w:t>
            </w:r>
            <w:proofErr w:type="spellEnd"/>
            <w:r w:rsidRPr="00957932">
              <w:rPr>
                <w:rFonts w:ascii="Arial" w:eastAsia="Arial" w:hAnsi="Arial" w:cs="Arial"/>
                <w:color w:val="000000"/>
                <w:sz w:val="18"/>
                <w:szCs w:val="18"/>
              </w:rPr>
              <w:t xml:space="preserve"> </w:t>
            </w:r>
            <w:proofErr w:type="spellStart"/>
            <w:r w:rsidRPr="00957932">
              <w:rPr>
                <w:rFonts w:ascii="Arial" w:eastAsia="Arial" w:hAnsi="Arial" w:cs="Arial"/>
                <w:color w:val="000000"/>
                <w:sz w:val="18"/>
                <w:szCs w:val="18"/>
              </w:rPr>
              <w:t>Thornyhead</w:t>
            </w:r>
            <w:proofErr w:type="spellEnd"/>
          </w:p>
        </w:tc>
        <w:tc>
          <w:tcPr>
            <w:tcW w:w="2268" w:type="dxa"/>
            <w:tcBorders>
              <w:top w:val="nil"/>
              <w:left w:val="nil"/>
              <w:bottom w:val="nil"/>
              <w:right w:val="nil"/>
            </w:tcBorders>
            <w:shd w:val="clear" w:color="auto" w:fill="FFFFFF"/>
          </w:tcPr>
          <w:p w14:paraId="000000C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tcPr>
          <w:p w14:paraId="000000C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tcPr>
          <w:p w14:paraId="000000C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tcPr>
          <w:p w14:paraId="000000C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C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Coastal British Columbia, Canada</w:t>
            </w:r>
          </w:p>
        </w:tc>
      </w:tr>
      <w:tr w:rsidR="00CE25E6" w14:paraId="05D8C86D" w14:textId="77777777">
        <w:trPr>
          <w:trHeight w:val="300"/>
        </w:trPr>
        <w:tc>
          <w:tcPr>
            <w:tcW w:w="3261" w:type="dxa"/>
            <w:tcBorders>
              <w:top w:val="nil"/>
              <w:left w:val="nil"/>
              <w:bottom w:val="nil"/>
              <w:right w:val="nil"/>
            </w:tcBorders>
            <w:shd w:val="clear" w:color="auto" w:fill="FFFFFF"/>
            <w:vAlign w:val="bottom"/>
          </w:tcPr>
          <w:p w14:paraId="000000C8"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Marine Mammal</w:t>
            </w:r>
          </w:p>
        </w:tc>
        <w:tc>
          <w:tcPr>
            <w:tcW w:w="2313" w:type="dxa"/>
            <w:tcBorders>
              <w:top w:val="nil"/>
              <w:left w:val="nil"/>
              <w:bottom w:val="nil"/>
              <w:right w:val="nil"/>
            </w:tcBorders>
            <w:shd w:val="clear" w:color="auto" w:fill="FFFFFF"/>
            <w:vAlign w:val="bottom"/>
          </w:tcPr>
          <w:p w14:paraId="000000C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vAlign w:val="bottom"/>
          </w:tcPr>
          <w:p w14:paraId="000000C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vAlign w:val="bottom"/>
          </w:tcPr>
          <w:p w14:paraId="000000C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vAlign w:val="bottom"/>
          </w:tcPr>
          <w:p w14:paraId="000000C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vAlign w:val="bottom"/>
          </w:tcPr>
          <w:p w14:paraId="000000CD" w14:textId="77777777" w:rsidR="00CE25E6" w:rsidRPr="00957932" w:rsidRDefault="00153729">
            <w:pPr>
              <w:spacing w:after="0" w:line="240" w:lineRule="auto"/>
              <w:jc w:val="center"/>
              <w:rPr>
                <w:rFonts w:ascii="Arial" w:eastAsia="Arial" w:hAnsi="Arial" w:cs="Arial"/>
                <w:color w:val="000000"/>
                <w:sz w:val="18"/>
                <w:szCs w:val="18"/>
              </w:rPr>
            </w:pPr>
            <w:r w:rsidRPr="00957932">
              <w:rPr>
                <w:rFonts w:ascii="Arial" w:eastAsia="Arial" w:hAnsi="Arial" w:cs="Arial"/>
                <w:color w:val="000000"/>
                <w:sz w:val="18"/>
                <w:szCs w:val="18"/>
              </w:rPr>
              <w:t> </w:t>
            </w:r>
          </w:p>
        </w:tc>
        <w:tc>
          <w:tcPr>
            <w:tcW w:w="3300" w:type="dxa"/>
            <w:tcBorders>
              <w:top w:val="nil"/>
              <w:left w:val="nil"/>
              <w:bottom w:val="nil"/>
              <w:right w:val="nil"/>
            </w:tcBorders>
            <w:shd w:val="clear" w:color="auto" w:fill="FFFFFF"/>
            <w:vAlign w:val="bottom"/>
          </w:tcPr>
          <w:p w14:paraId="000000C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r>
      <w:tr w:rsidR="00CE25E6" w14:paraId="688DB62B" w14:textId="77777777">
        <w:trPr>
          <w:trHeight w:val="300"/>
        </w:trPr>
        <w:tc>
          <w:tcPr>
            <w:tcW w:w="3261" w:type="dxa"/>
            <w:tcBorders>
              <w:top w:val="nil"/>
              <w:left w:val="nil"/>
              <w:bottom w:val="nil"/>
              <w:right w:val="nil"/>
            </w:tcBorders>
            <w:shd w:val="clear" w:color="auto" w:fill="FFFFFF"/>
          </w:tcPr>
          <w:p w14:paraId="000000CF" w14:textId="77777777" w:rsidR="00CE25E6" w:rsidRPr="00957932" w:rsidRDefault="00153729">
            <w:pPr>
              <w:spacing w:after="0" w:line="240" w:lineRule="auto"/>
              <w:ind w:firstLine="400"/>
              <w:rPr>
                <w:rFonts w:ascii="Arial" w:eastAsia="Arial" w:hAnsi="Arial" w:cs="Arial"/>
                <w:i/>
                <w:color w:val="000000"/>
                <w:sz w:val="18"/>
                <w:szCs w:val="18"/>
              </w:rPr>
            </w:pPr>
            <w:proofErr w:type="spellStart"/>
            <w:r w:rsidRPr="00957932">
              <w:rPr>
                <w:rFonts w:ascii="Arial" w:eastAsia="Arial" w:hAnsi="Arial" w:cs="Arial"/>
                <w:i/>
                <w:color w:val="000000"/>
                <w:sz w:val="18"/>
                <w:szCs w:val="18"/>
              </w:rPr>
              <w:t>Pagophilus</w:t>
            </w:r>
            <w:proofErr w:type="spellEnd"/>
            <w:r w:rsidRPr="00957932">
              <w:rPr>
                <w:rFonts w:ascii="Arial" w:eastAsia="Arial" w:hAnsi="Arial" w:cs="Arial"/>
                <w:i/>
                <w:color w:val="000000"/>
                <w:sz w:val="18"/>
                <w:szCs w:val="18"/>
              </w:rPr>
              <w:t xml:space="preserve"> </w:t>
            </w:r>
            <w:proofErr w:type="spellStart"/>
            <w:r w:rsidRPr="00957932">
              <w:rPr>
                <w:rFonts w:ascii="Arial" w:eastAsia="Arial" w:hAnsi="Arial" w:cs="Arial"/>
                <w:i/>
                <w:color w:val="000000"/>
                <w:sz w:val="18"/>
                <w:szCs w:val="18"/>
              </w:rPr>
              <w:t>groenlandicus</w:t>
            </w:r>
            <w:proofErr w:type="spellEnd"/>
          </w:p>
        </w:tc>
        <w:tc>
          <w:tcPr>
            <w:tcW w:w="2313" w:type="dxa"/>
            <w:tcBorders>
              <w:top w:val="nil"/>
              <w:left w:val="nil"/>
              <w:bottom w:val="nil"/>
              <w:right w:val="nil"/>
            </w:tcBorders>
            <w:shd w:val="clear" w:color="auto" w:fill="FFFFFF"/>
          </w:tcPr>
          <w:p w14:paraId="000000D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Harp Seal</w:t>
            </w:r>
          </w:p>
        </w:tc>
        <w:tc>
          <w:tcPr>
            <w:tcW w:w="2268" w:type="dxa"/>
            <w:tcBorders>
              <w:top w:val="nil"/>
              <w:left w:val="nil"/>
              <w:bottom w:val="nil"/>
              <w:right w:val="nil"/>
            </w:tcBorders>
            <w:shd w:val="clear" w:color="auto" w:fill="FFFFFF"/>
          </w:tcPr>
          <w:p w14:paraId="000000D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0D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D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Yes</w:t>
            </w:r>
          </w:p>
        </w:tc>
        <w:tc>
          <w:tcPr>
            <w:tcW w:w="439" w:type="dxa"/>
            <w:tcBorders>
              <w:top w:val="nil"/>
              <w:left w:val="nil"/>
              <w:bottom w:val="nil"/>
              <w:right w:val="nil"/>
            </w:tcBorders>
            <w:shd w:val="clear" w:color="auto" w:fill="FFFFFF"/>
          </w:tcPr>
          <w:p w14:paraId="000000D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12</w:t>
            </w:r>
          </w:p>
        </w:tc>
        <w:tc>
          <w:tcPr>
            <w:tcW w:w="3300" w:type="dxa"/>
            <w:tcBorders>
              <w:top w:val="nil"/>
              <w:left w:val="nil"/>
              <w:bottom w:val="nil"/>
              <w:right w:val="nil"/>
            </w:tcBorders>
            <w:shd w:val="clear" w:color="auto" w:fill="FFFFFF"/>
          </w:tcPr>
          <w:p w14:paraId="000000D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Newfoundland, Canada</w:t>
            </w:r>
          </w:p>
        </w:tc>
      </w:tr>
      <w:tr w:rsidR="00CE25E6" w14:paraId="1F926EC8" w14:textId="77777777">
        <w:trPr>
          <w:trHeight w:val="300"/>
        </w:trPr>
        <w:tc>
          <w:tcPr>
            <w:tcW w:w="3261" w:type="dxa"/>
            <w:tcBorders>
              <w:top w:val="nil"/>
              <w:left w:val="nil"/>
              <w:bottom w:val="nil"/>
              <w:right w:val="nil"/>
            </w:tcBorders>
            <w:shd w:val="clear" w:color="auto" w:fill="FFFFFF"/>
            <w:vAlign w:val="bottom"/>
          </w:tcPr>
          <w:p w14:paraId="000000D6"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Terrestrial Avian</w:t>
            </w:r>
          </w:p>
        </w:tc>
        <w:tc>
          <w:tcPr>
            <w:tcW w:w="2313" w:type="dxa"/>
            <w:tcBorders>
              <w:top w:val="nil"/>
              <w:left w:val="nil"/>
              <w:bottom w:val="nil"/>
              <w:right w:val="nil"/>
            </w:tcBorders>
            <w:shd w:val="clear" w:color="auto" w:fill="FFFFFF"/>
            <w:vAlign w:val="bottom"/>
          </w:tcPr>
          <w:p w14:paraId="000000D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vAlign w:val="bottom"/>
          </w:tcPr>
          <w:p w14:paraId="000000D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vAlign w:val="bottom"/>
          </w:tcPr>
          <w:p w14:paraId="000000D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vAlign w:val="bottom"/>
          </w:tcPr>
          <w:p w14:paraId="000000D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vAlign w:val="bottom"/>
          </w:tcPr>
          <w:p w14:paraId="000000DB" w14:textId="77777777" w:rsidR="00CE25E6" w:rsidRPr="00957932" w:rsidRDefault="00153729">
            <w:pPr>
              <w:spacing w:after="0" w:line="240" w:lineRule="auto"/>
              <w:jc w:val="center"/>
              <w:rPr>
                <w:rFonts w:ascii="Arial" w:eastAsia="Arial" w:hAnsi="Arial" w:cs="Arial"/>
                <w:color w:val="000000"/>
                <w:sz w:val="18"/>
                <w:szCs w:val="18"/>
              </w:rPr>
            </w:pPr>
            <w:r w:rsidRPr="00957932">
              <w:rPr>
                <w:rFonts w:ascii="Arial" w:eastAsia="Arial" w:hAnsi="Arial" w:cs="Arial"/>
                <w:color w:val="000000"/>
                <w:sz w:val="18"/>
                <w:szCs w:val="18"/>
              </w:rPr>
              <w:t> </w:t>
            </w:r>
          </w:p>
        </w:tc>
        <w:tc>
          <w:tcPr>
            <w:tcW w:w="3300" w:type="dxa"/>
            <w:tcBorders>
              <w:top w:val="nil"/>
              <w:left w:val="nil"/>
              <w:bottom w:val="nil"/>
              <w:right w:val="nil"/>
            </w:tcBorders>
            <w:shd w:val="clear" w:color="auto" w:fill="FFFFFF"/>
            <w:vAlign w:val="bottom"/>
          </w:tcPr>
          <w:p w14:paraId="000000D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r>
      <w:tr w:rsidR="00CE25E6" w14:paraId="4FB0BC5B" w14:textId="77777777">
        <w:trPr>
          <w:trHeight w:val="300"/>
        </w:trPr>
        <w:tc>
          <w:tcPr>
            <w:tcW w:w="3261" w:type="dxa"/>
            <w:tcBorders>
              <w:top w:val="nil"/>
              <w:left w:val="nil"/>
              <w:bottom w:val="nil"/>
              <w:right w:val="nil"/>
            </w:tcBorders>
            <w:shd w:val="clear" w:color="auto" w:fill="FFFFFF"/>
          </w:tcPr>
          <w:p w14:paraId="000000DD"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Meleagris gallopavo domestica</w:t>
            </w:r>
          </w:p>
        </w:tc>
        <w:tc>
          <w:tcPr>
            <w:tcW w:w="2313" w:type="dxa"/>
            <w:tcBorders>
              <w:top w:val="nil"/>
              <w:left w:val="nil"/>
              <w:bottom w:val="nil"/>
              <w:right w:val="nil"/>
            </w:tcBorders>
            <w:shd w:val="clear" w:color="auto" w:fill="FFFFFF"/>
          </w:tcPr>
          <w:p w14:paraId="000000D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Turkey</w:t>
            </w:r>
          </w:p>
        </w:tc>
        <w:tc>
          <w:tcPr>
            <w:tcW w:w="2268" w:type="dxa"/>
            <w:tcBorders>
              <w:top w:val="nil"/>
              <w:left w:val="nil"/>
              <w:bottom w:val="nil"/>
              <w:right w:val="nil"/>
            </w:tcBorders>
            <w:shd w:val="clear" w:color="auto" w:fill="FFFFFF"/>
          </w:tcPr>
          <w:p w14:paraId="000000D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Monotonous-Grains and Oils fortified with vitamins and minerals</w:t>
            </w:r>
          </w:p>
        </w:tc>
        <w:tc>
          <w:tcPr>
            <w:tcW w:w="1117" w:type="dxa"/>
            <w:tcBorders>
              <w:top w:val="nil"/>
              <w:left w:val="nil"/>
              <w:bottom w:val="nil"/>
              <w:right w:val="nil"/>
            </w:tcBorders>
            <w:shd w:val="clear" w:color="auto" w:fill="FFFFFF"/>
          </w:tcPr>
          <w:p w14:paraId="000000E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Domestic</w:t>
            </w:r>
          </w:p>
        </w:tc>
        <w:tc>
          <w:tcPr>
            <w:tcW w:w="1194" w:type="dxa"/>
            <w:tcBorders>
              <w:top w:val="nil"/>
              <w:left w:val="nil"/>
              <w:bottom w:val="nil"/>
              <w:right w:val="nil"/>
            </w:tcBorders>
            <w:shd w:val="clear" w:color="auto" w:fill="FFFFFF"/>
          </w:tcPr>
          <w:p w14:paraId="000000E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E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E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Household food by-products</w:t>
            </w:r>
          </w:p>
        </w:tc>
      </w:tr>
      <w:tr w:rsidR="00CE25E6" w14:paraId="4A36D6C2" w14:textId="77777777">
        <w:trPr>
          <w:trHeight w:val="300"/>
        </w:trPr>
        <w:tc>
          <w:tcPr>
            <w:tcW w:w="3261" w:type="dxa"/>
            <w:tcBorders>
              <w:top w:val="nil"/>
              <w:left w:val="nil"/>
              <w:bottom w:val="nil"/>
              <w:right w:val="nil"/>
            </w:tcBorders>
            <w:shd w:val="clear" w:color="auto" w:fill="FFFFFF"/>
          </w:tcPr>
          <w:p w14:paraId="000000E4" w14:textId="77777777" w:rsidR="00CE25E6" w:rsidRPr="00957932" w:rsidRDefault="00153729">
            <w:pPr>
              <w:spacing w:after="0" w:line="240" w:lineRule="auto"/>
              <w:ind w:firstLine="400"/>
              <w:rPr>
                <w:rFonts w:ascii="Arial" w:eastAsia="Arial" w:hAnsi="Arial" w:cs="Arial"/>
                <w:i/>
                <w:color w:val="000000"/>
                <w:sz w:val="18"/>
                <w:szCs w:val="18"/>
              </w:rPr>
            </w:pPr>
            <w:proofErr w:type="spellStart"/>
            <w:r w:rsidRPr="00957932">
              <w:rPr>
                <w:rFonts w:ascii="Arial" w:eastAsia="Arial" w:hAnsi="Arial" w:cs="Arial"/>
                <w:i/>
                <w:color w:val="000000"/>
                <w:sz w:val="18"/>
                <w:szCs w:val="18"/>
              </w:rPr>
              <w:t>Colaptes</w:t>
            </w:r>
            <w:proofErr w:type="spellEnd"/>
            <w:r w:rsidRPr="00957932">
              <w:rPr>
                <w:rFonts w:ascii="Arial" w:eastAsia="Arial" w:hAnsi="Arial" w:cs="Arial"/>
                <w:i/>
                <w:color w:val="000000"/>
                <w:sz w:val="18"/>
                <w:szCs w:val="18"/>
              </w:rPr>
              <w:t xml:space="preserve"> auratus</w:t>
            </w:r>
          </w:p>
        </w:tc>
        <w:tc>
          <w:tcPr>
            <w:tcW w:w="2313" w:type="dxa"/>
            <w:tcBorders>
              <w:top w:val="nil"/>
              <w:left w:val="nil"/>
              <w:bottom w:val="nil"/>
              <w:right w:val="nil"/>
            </w:tcBorders>
            <w:shd w:val="clear" w:color="auto" w:fill="FFFFFF"/>
          </w:tcPr>
          <w:p w14:paraId="000000E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Northern flicker</w:t>
            </w:r>
          </w:p>
        </w:tc>
        <w:tc>
          <w:tcPr>
            <w:tcW w:w="2268" w:type="dxa"/>
            <w:tcBorders>
              <w:top w:val="nil"/>
              <w:left w:val="nil"/>
              <w:bottom w:val="nil"/>
              <w:right w:val="nil"/>
            </w:tcBorders>
            <w:shd w:val="clear" w:color="auto" w:fill="FFFFFF"/>
          </w:tcPr>
          <w:p w14:paraId="000000E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Insectivore</w:t>
            </w:r>
          </w:p>
        </w:tc>
        <w:tc>
          <w:tcPr>
            <w:tcW w:w="1117" w:type="dxa"/>
            <w:tcBorders>
              <w:top w:val="nil"/>
              <w:left w:val="nil"/>
              <w:bottom w:val="nil"/>
              <w:right w:val="nil"/>
            </w:tcBorders>
            <w:shd w:val="clear" w:color="auto" w:fill="FFFFFF"/>
          </w:tcPr>
          <w:p w14:paraId="000000E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E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Yes</w:t>
            </w:r>
          </w:p>
        </w:tc>
        <w:tc>
          <w:tcPr>
            <w:tcW w:w="439" w:type="dxa"/>
            <w:tcBorders>
              <w:top w:val="nil"/>
              <w:left w:val="nil"/>
              <w:bottom w:val="nil"/>
              <w:right w:val="nil"/>
            </w:tcBorders>
            <w:shd w:val="clear" w:color="auto" w:fill="FFFFFF"/>
          </w:tcPr>
          <w:p w14:paraId="000000E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E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Horse ranch, Peterborough, Ontario, Canada</w:t>
            </w:r>
          </w:p>
        </w:tc>
      </w:tr>
      <w:tr w:rsidR="00CE25E6" w14:paraId="34D9B94D" w14:textId="77777777">
        <w:trPr>
          <w:trHeight w:val="300"/>
        </w:trPr>
        <w:tc>
          <w:tcPr>
            <w:tcW w:w="3261" w:type="dxa"/>
            <w:tcBorders>
              <w:top w:val="nil"/>
              <w:left w:val="nil"/>
              <w:bottom w:val="nil"/>
              <w:right w:val="nil"/>
            </w:tcBorders>
            <w:shd w:val="clear" w:color="auto" w:fill="FFFFFF"/>
          </w:tcPr>
          <w:p w14:paraId="000000EB" w14:textId="77777777" w:rsidR="00CE25E6" w:rsidRPr="00957932" w:rsidRDefault="00153729">
            <w:pPr>
              <w:spacing w:after="0" w:line="240" w:lineRule="auto"/>
              <w:ind w:firstLine="400"/>
              <w:rPr>
                <w:rFonts w:ascii="Arial" w:eastAsia="Arial" w:hAnsi="Arial" w:cs="Arial"/>
                <w:i/>
                <w:color w:val="000000"/>
                <w:sz w:val="18"/>
                <w:szCs w:val="18"/>
              </w:rPr>
            </w:pPr>
            <w:proofErr w:type="spellStart"/>
            <w:r w:rsidRPr="00957932">
              <w:rPr>
                <w:rFonts w:ascii="Arial" w:eastAsia="Arial" w:hAnsi="Arial" w:cs="Arial"/>
                <w:i/>
                <w:color w:val="000000"/>
                <w:sz w:val="18"/>
                <w:szCs w:val="18"/>
              </w:rPr>
              <w:t>Leuconotopicus</w:t>
            </w:r>
            <w:proofErr w:type="spellEnd"/>
            <w:r w:rsidRPr="00957932">
              <w:rPr>
                <w:rFonts w:ascii="Arial" w:eastAsia="Arial" w:hAnsi="Arial" w:cs="Arial"/>
                <w:i/>
                <w:color w:val="000000"/>
                <w:sz w:val="18"/>
                <w:szCs w:val="18"/>
              </w:rPr>
              <w:t xml:space="preserve"> </w:t>
            </w:r>
            <w:proofErr w:type="spellStart"/>
            <w:r w:rsidRPr="00957932">
              <w:rPr>
                <w:rFonts w:ascii="Arial" w:eastAsia="Arial" w:hAnsi="Arial" w:cs="Arial"/>
                <w:i/>
                <w:color w:val="000000"/>
                <w:sz w:val="18"/>
                <w:szCs w:val="18"/>
              </w:rPr>
              <w:t>villosus</w:t>
            </w:r>
            <w:proofErr w:type="spellEnd"/>
          </w:p>
        </w:tc>
        <w:tc>
          <w:tcPr>
            <w:tcW w:w="2313" w:type="dxa"/>
            <w:tcBorders>
              <w:top w:val="nil"/>
              <w:left w:val="nil"/>
              <w:bottom w:val="nil"/>
              <w:right w:val="nil"/>
            </w:tcBorders>
            <w:shd w:val="clear" w:color="auto" w:fill="FFFFFF"/>
          </w:tcPr>
          <w:p w14:paraId="000000E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Hairy woodpecker</w:t>
            </w:r>
          </w:p>
        </w:tc>
        <w:tc>
          <w:tcPr>
            <w:tcW w:w="2268" w:type="dxa"/>
            <w:tcBorders>
              <w:top w:val="nil"/>
              <w:left w:val="nil"/>
              <w:bottom w:val="nil"/>
              <w:right w:val="nil"/>
            </w:tcBorders>
            <w:shd w:val="clear" w:color="auto" w:fill="FFFFFF"/>
          </w:tcPr>
          <w:p w14:paraId="000000E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Insectivore</w:t>
            </w:r>
          </w:p>
        </w:tc>
        <w:tc>
          <w:tcPr>
            <w:tcW w:w="1117" w:type="dxa"/>
            <w:tcBorders>
              <w:top w:val="nil"/>
              <w:left w:val="nil"/>
              <w:bottom w:val="nil"/>
              <w:right w:val="nil"/>
            </w:tcBorders>
            <w:shd w:val="clear" w:color="auto" w:fill="FFFFFF"/>
          </w:tcPr>
          <w:p w14:paraId="000000E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0E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F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0F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Horse ranch, Peterborough, Ontario, Canada</w:t>
            </w:r>
          </w:p>
        </w:tc>
      </w:tr>
      <w:tr w:rsidR="00CE25E6" w14:paraId="1FA69D3C" w14:textId="77777777">
        <w:trPr>
          <w:trHeight w:val="300"/>
        </w:trPr>
        <w:tc>
          <w:tcPr>
            <w:tcW w:w="3261" w:type="dxa"/>
            <w:tcBorders>
              <w:top w:val="nil"/>
              <w:left w:val="nil"/>
              <w:bottom w:val="nil"/>
              <w:right w:val="nil"/>
            </w:tcBorders>
            <w:shd w:val="clear" w:color="auto" w:fill="FFFFFF"/>
            <w:vAlign w:val="bottom"/>
          </w:tcPr>
          <w:p w14:paraId="000000F2" w14:textId="77777777" w:rsidR="00CE25E6" w:rsidRPr="00957932" w:rsidRDefault="00153729">
            <w:pPr>
              <w:spacing w:after="0" w:line="240" w:lineRule="auto"/>
              <w:rPr>
                <w:rFonts w:ascii="Arial" w:eastAsia="Arial" w:hAnsi="Arial" w:cs="Arial"/>
                <w:b/>
                <w:color w:val="000000"/>
                <w:sz w:val="18"/>
                <w:szCs w:val="18"/>
              </w:rPr>
            </w:pPr>
            <w:r w:rsidRPr="00957932">
              <w:rPr>
                <w:rFonts w:ascii="Arial" w:eastAsia="Arial" w:hAnsi="Arial" w:cs="Arial"/>
                <w:b/>
                <w:color w:val="000000"/>
                <w:sz w:val="18"/>
                <w:szCs w:val="18"/>
              </w:rPr>
              <w:t>Terrestrial Mammal</w:t>
            </w:r>
          </w:p>
        </w:tc>
        <w:tc>
          <w:tcPr>
            <w:tcW w:w="2313" w:type="dxa"/>
            <w:tcBorders>
              <w:top w:val="nil"/>
              <w:left w:val="nil"/>
              <w:bottom w:val="nil"/>
              <w:right w:val="nil"/>
            </w:tcBorders>
            <w:shd w:val="clear" w:color="auto" w:fill="FFFFFF"/>
            <w:vAlign w:val="bottom"/>
          </w:tcPr>
          <w:p w14:paraId="000000F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vAlign w:val="bottom"/>
          </w:tcPr>
          <w:p w14:paraId="000000F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vAlign w:val="bottom"/>
          </w:tcPr>
          <w:p w14:paraId="000000F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vAlign w:val="bottom"/>
          </w:tcPr>
          <w:p w14:paraId="000000F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vAlign w:val="bottom"/>
          </w:tcPr>
          <w:p w14:paraId="000000F7" w14:textId="77777777" w:rsidR="00CE25E6" w:rsidRPr="00957932" w:rsidRDefault="00153729">
            <w:pPr>
              <w:spacing w:after="0" w:line="240" w:lineRule="auto"/>
              <w:jc w:val="center"/>
              <w:rPr>
                <w:rFonts w:ascii="Arial" w:eastAsia="Arial" w:hAnsi="Arial" w:cs="Arial"/>
                <w:color w:val="000000"/>
                <w:sz w:val="18"/>
                <w:szCs w:val="18"/>
              </w:rPr>
            </w:pPr>
            <w:r w:rsidRPr="00957932">
              <w:rPr>
                <w:rFonts w:ascii="Arial" w:eastAsia="Arial" w:hAnsi="Arial" w:cs="Arial"/>
                <w:color w:val="000000"/>
                <w:sz w:val="18"/>
                <w:szCs w:val="18"/>
              </w:rPr>
              <w:t> </w:t>
            </w:r>
          </w:p>
        </w:tc>
        <w:tc>
          <w:tcPr>
            <w:tcW w:w="3300" w:type="dxa"/>
            <w:tcBorders>
              <w:top w:val="nil"/>
              <w:left w:val="nil"/>
              <w:bottom w:val="nil"/>
              <w:right w:val="nil"/>
            </w:tcBorders>
            <w:shd w:val="clear" w:color="auto" w:fill="FFFFFF"/>
            <w:vAlign w:val="bottom"/>
          </w:tcPr>
          <w:p w14:paraId="000000F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r>
      <w:tr w:rsidR="00CE25E6" w14:paraId="55EACD9A" w14:textId="77777777">
        <w:trPr>
          <w:trHeight w:val="300"/>
        </w:trPr>
        <w:tc>
          <w:tcPr>
            <w:tcW w:w="3261" w:type="dxa"/>
            <w:tcBorders>
              <w:top w:val="nil"/>
              <w:left w:val="nil"/>
              <w:bottom w:val="nil"/>
              <w:right w:val="nil"/>
            </w:tcBorders>
            <w:shd w:val="clear" w:color="auto" w:fill="FFFFFF"/>
          </w:tcPr>
          <w:p w14:paraId="000000F9"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Bos taurus</w:t>
            </w:r>
          </w:p>
        </w:tc>
        <w:tc>
          <w:tcPr>
            <w:tcW w:w="2313" w:type="dxa"/>
            <w:tcBorders>
              <w:top w:val="nil"/>
              <w:left w:val="nil"/>
              <w:bottom w:val="nil"/>
              <w:right w:val="nil"/>
            </w:tcBorders>
            <w:shd w:val="clear" w:color="auto" w:fill="FFFFFF"/>
          </w:tcPr>
          <w:p w14:paraId="000000F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Cow</w:t>
            </w:r>
          </w:p>
        </w:tc>
        <w:tc>
          <w:tcPr>
            <w:tcW w:w="2268" w:type="dxa"/>
            <w:tcBorders>
              <w:top w:val="nil"/>
              <w:left w:val="nil"/>
              <w:bottom w:val="nil"/>
              <w:right w:val="nil"/>
            </w:tcBorders>
            <w:shd w:val="clear" w:color="auto" w:fill="FFFFFF"/>
          </w:tcPr>
          <w:p w14:paraId="000000F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Graze, forage, grain (Herbivore)</w:t>
            </w:r>
          </w:p>
        </w:tc>
        <w:tc>
          <w:tcPr>
            <w:tcW w:w="1117" w:type="dxa"/>
            <w:tcBorders>
              <w:top w:val="nil"/>
              <w:left w:val="nil"/>
              <w:bottom w:val="nil"/>
              <w:right w:val="nil"/>
            </w:tcBorders>
            <w:shd w:val="clear" w:color="auto" w:fill="FFFFFF"/>
          </w:tcPr>
          <w:p w14:paraId="000000F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Domestic</w:t>
            </w:r>
          </w:p>
        </w:tc>
        <w:tc>
          <w:tcPr>
            <w:tcW w:w="1194" w:type="dxa"/>
            <w:tcBorders>
              <w:top w:val="nil"/>
              <w:left w:val="nil"/>
              <w:bottom w:val="nil"/>
              <w:right w:val="nil"/>
            </w:tcBorders>
            <w:shd w:val="clear" w:color="auto" w:fill="FFFFFF"/>
          </w:tcPr>
          <w:p w14:paraId="000000F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0FE"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6</w:t>
            </w:r>
          </w:p>
        </w:tc>
        <w:tc>
          <w:tcPr>
            <w:tcW w:w="3300" w:type="dxa"/>
            <w:tcBorders>
              <w:top w:val="nil"/>
              <w:left w:val="nil"/>
              <w:bottom w:val="nil"/>
              <w:right w:val="nil"/>
            </w:tcBorders>
            <w:shd w:val="clear" w:color="auto" w:fill="FFFFFF"/>
          </w:tcPr>
          <w:p w14:paraId="000000F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Articulated bones of dog chew</w:t>
            </w:r>
          </w:p>
        </w:tc>
      </w:tr>
      <w:tr w:rsidR="00CE25E6" w14:paraId="2BDE7FBD" w14:textId="77777777">
        <w:trPr>
          <w:trHeight w:val="300"/>
        </w:trPr>
        <w:tc>
          <w:tcPr>
            <w:tcW w:w="3261" w:type="dxa"/>
            <w:tcBorders>
              <w:top w:val="nil"/>
              <w:left w:val="nil"/>
              <w:bottom w:val="nil"/>
              <w:right w:val="nil"/>
            </w:tcBorders>
            <w:shd w:val="clear" w:color="auto" w:fill="FFFFFF"/>
          </w:tcPr>
          <w:p w14:paraId="00000100"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 </w:t>
            </w:r>
          </w:p>
        </w:tc>
        <w:tc>
          <w:tcPr>
            <w:tcW w:w="2313" w:type="dxa"/>
            <w:tcBorders>
              <w:top w:val="nil"/>
              <w:left w:val="nil"/>
              <w:bottom w:val="nil"/>
              <w:right w:val="nil"/>
            </w:tcBorders>
            <w:shd w:val="clear" w:color="auto" w:fill="FFFFFF"/>
          </w:tcPr>
          <w:p w14:paraId="0000010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2268" w:type="dxa"/>
            <w:tcBorders>
              <w:top w:val="nil"/>
              <w:left w:val="nil"/>
              <w:bottom w:val="nil"/>
              <w:right w:val="nil"/>
            </w:tcBorders>
            <w:shd w:val="clear" w:color="auto" w:fill="FFFFFF"/>
          </w:tcPr>
          <w:p w14:paraId="0000010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17" w:type="dxa"/>
            <w:tcBorders>
              <w:top w:val="nil"/>
              <w:left w:val="nil"/>
              <w:bottom w:val="nil"/>
              <w:right w:val="nil"/>
            </w:tcBorders>
            <w:shd w:val="clear" w:color="auto" w:fill="FFFFFF"/>
          </w:tcPr>
          <w:p w14:paraId="0000010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1194" w:type="dxa"/>
            <w:tcBorders>
              <w:top w:val="nil"/>
              <w:left w:val="nil"/>
              <w:bottom w:val="nil"/>
              <w:right w:val="nil"/>
            </w:tcBorders>
            <w:shd w:val="clear" w:color="auto" w:fill="FFFFFF"/>
          </w:tcPr>
          <w:p w14:paraId="0000010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w:t>
            </w:r>
          </w:p>
        </w:tc>
        <w:tc>
          <w:tcPr>
            <w:tcW w:w="439" w:type="dxa"/>
            <w:tcBorders>
              <w:top w:val="nil"/>
              <w:left w:val="nil"/>
              <w:bottom w:val="nil"/>
              <w:right w:val="nil"/>
            </w:tcBorders>
            <w:shd w:val="clear" w:color="auto" w:fill="FFFFFF"/>
          </w:tcPr>
          <w:p w14:paraId="00000105"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10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Dairy farm, Windsor, Ontario, Canada</w:t>
            </w:r>
          </w:p>
        </w:tc>
      </w:tr>
      <w:tr w:rsidR="00CE25E6" w14:paraId="11D733A1" w14:textId="77777777">
        <w:trPr>
          <w:trHeight w:val="300"/>
        </w:trPr>
        <w:tc>
          <w:tcPr>
            <w:tcW w:w="3261" w:type="dxa"/>
            <w:tcBorders>
              <w:top w:val="nil"/>
              <w:left w:val="nil"/>
              <w:bottom w:val="nil"/>
              <w:right w:val="nil"/>
            </w:tcBorders>
            <w:shd w:val="clear" w:color="auto" w:fill="FFFFFF"/>
          </w:tcPr>
          <w:p w14:paraId="00000107"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 xml:space="preserve">Sus scrofa </w:t>
            </w:r>
            <w:proofErr w:type="spellStart"/>
            <w:r w:rsidRPr="00957932">
              <w:rPr>
                <w:rFonts w:ascii="Arial" w:eastAsia="Arial" w:hAnsi="Arial" w:cs="Arial"/>
                <w:i/>
                <w:color w:val="000000"/>
                <w:sz w:val="18"/>
                <w:szCs w:val="18"/>
              </w:rPr>
              <w:t>domesticus</w:t>
            </w:r>
            <w:proofErr w:type="spellEnd"/>
          </w:p>
        </w:tc>
        <w:tc>
          <w:tcPr>
            <w:tcW w:w="2313" w:type="dxa"/>
            <w:tcBorders>
              <w:top w:val="nil"/>
              <w:left w:val="nil"/>
              <w:bottom w:val="nil"/>
              <w:right w:val="nil"/>
            </w:tcBorders>
            <w:shd w:val="clear" w:color="auto" w:fill="FFFFFF"/>
          </w:tcPr>
          <w:p w14:paraId="0000010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Pig</w:t>
            </w:r>
          </w:p>
        </w:tc>
        <w:tc>
          <w:tcPr>
            <w:tcW w:w="2268" w:type="dxa"/>
            <w:tcBorders>
              <w:top w:val="nil"/>
              <w:left w:val="nil"/>
              <w:bottom w:val="nil"/>
              <w:right w:val="nil"/>
            </w:tcBorders>
            <w:shd w:val="clear" w:color="auto" w:fill="FFFFFF"/>
          </w:tcPr>
          <w:p w14:paraId="0000010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 xml:space="preserve">Monotonous-Grains and legumes, </w:t>
            </w:r>
            <w:proofErr w:type="spellStart"/>
            <w:r w:rsidRPr="00957932">
              <w:rPr>
                <w:rFonts w:ascii="Arial" w:eastAsia="Arial" w:hAnsi="Arial" w:cs="Arial"/>
                <w:color w:val="000000"/>
                <w:sz w:val="18"/>
                <w:szCs w:val="18"/>
              </w:rPr>
              <w:t>fortited</w:t>
            </w:r>
            <w:proofErr w:type="spellEnd"/>
            <w:r w:rsidRPr="00957932">
              <w:rPr>
                <w:rFonts w:ascii="Arial" w:eastAsia="Arial" w:hAnsi="Arial" w:cs="Arial"/>
                <w:color w:val="000000"/>
                <w:sz w:val="18"/>
                <w:szCs w:val="18"/>
              </w:rPr>
              <w:t xml:space="preserve"> with vitamins and minerals</w:t>
            </w:r>
          </w:p>
        </w:tc>
        <w:tc>
          <w:tcPr>
            <w:tcW w:w="1117" w:type="dxa"/>
            <w:tcBorders>
              <w:top w:val="nil"/>
              <w:left w:val="nil"/>
              <w:bottom w:val="nil"/>
              <w:right w:val="nil"/>
            </w:tcBorders>
            <w:shd w:val="clear" w:color="auto" w:fill="FFFFFF"/>
          </w:tcPr>
          <w:p w14:paraId="0000010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Domestic</w:t>
            </w:r>
          </w:p>
        </w:tc>
        <w:tc>
          <w:tcPr>
            <w:tcW w:w="1194" w:type="dxa"/>
            <w:tcBorders>
              <w:top w:val="nil"/>
              <w:left w:val="nil"/>
              <w:bottom w:val="nil"/>
              <w:right w:val="nil"/>
            </w:tcBorders>
            <w:shd w:val="clear" w:color="auto" w:fill="FFFFFF"/>
          </w:tcPr>
          <w:p w14:paraId="0000010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10C"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2</w:t>
            </w:r>
          </w:p>
        </w:tc>
        <w:tc>
          <w:tcPr>
            <w:tcW w:w="3300" w:type="dxa"/>
            <w:tcBorders>
              <w:top w:val="nil"/>
              <w:left w:val="nil"/>
              <w:bottom w:val="nil"/>
              <w:right w:val="nil"/>
            </w:tcBorders>
            <w:shd w:val="clear" w:color="auto" w:fill="FFFFFF"/>
          </w:tcPr>
          <w:p w14:paraId="0000010D"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Household food by-products</w:t>
            </w:r>
          </w:p>
        </w:tc>
      </w:tr>
      <w:tr w:rsidR="00CE25E6" w14:paraId="07E46349" w14:textId="77777777">
        <w:trPr>
          <w:trHeight w:val="300"/>
        </w:trPr>
        <w:tc>
          <w:tcPr>
            <w:tcW w:w="3261" w:type="dxa"/>
            <w:tcBorders>
              <w:top w:val="nil"/>
              <w:left w:val="nil"/>
              <w:bottom w:val="nil"/>
              <w:right w:val="nil"/>
            </w:tcBorders>
            <w:shd w:val="clear" w:color="auto" w:fill="FFFFFF"/>
          </w:tcPr>
          <w:p w14:paraId="0000010E"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 xml:space="preserve">Mustela </w:t>
            </w:r>
            <w:proofErr w:type="spellStart"/>
            <w:r w:rsidRPr="00957932">
              <w:rPr>
                <w:rFonts w:ascii="Arial" w:eastAsia="Arial" w:hAnsi="Arial" w:cs="Arial"/>
                <w:i/>
                <w:color w:val="000000"/>
                <w:sz w:val="18"/>
                <w:szCs w:val="18"/>
              </w:rPr>
              <w:t>frenata</w:t>
            </w:r>
            <w:proofErr w:type="spellEnd"/>
          </w:p>
        </w:tc>
        <w:tc>
          <w:tcPr>
            <w:tcW w:w="2313" w:type="dxa"/>
            <w:tcBorders>
              <w:top w:val="nil"/>
              <w:left w:val="nil"/>
              <w:bottom w:val="nil"/>
              <w:right w:val="nil"/>
            </w:tcBorders>
            <w:shd w:val="clear" w:color="auto" w:fill="FFFFFF"/>
          </w:tcPr>
          <w:p w14:paraId="0000010F"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Long tailed Weasel</w:t>
            </w:r>
          </w:p>
        </w:tc>
        <w:tc>
          <w:tcPr>
            <w:tcW w:w="2268" w:type="dxa"/>
            <w:tcBorders>
              <w:top w:val="nil"/>
              <w:left w:val="nil"/>
              <w:bottom w:val="nil"/>
              <w:right w:val="nil"/>
            </w:tcBorders>
            <w:shd w:val="clear" w:color="auto" w:fill="FFFFFF"/>
          </w:tcPr>
          <w:p w14:paraId="00000110"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Carnivore</w:t>
            </w:r>
          </w:p>
        </w:tc>
        <w:tc>
          <w:tcPr>
            <w:tcW w:w="1117" w:type="dxa"/>
            <w:tcBorders>
              <w:top w:val="nil"/>
              <w:left w:val="nil"/>
              <w:bottom w:val="nil"/>
              <w:right w:val="nil"/>
            </w:tcBorders>
            <w:shd w:val="clear" w:color="auto" w:fill="FFFFFF"/>
          </w:tcPr>
          <w:p w14:paraId="00000111"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nil"/>
              <w:right w:val="nil"/>
            </w:tcBorders>
            <w:shd w:val="clear" w:color="auto" w:fill="FFFFFF"/>
          </w:tcPr>
          <w:p w14:paraId="00000112"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nil"/>
              <w:right w:val="nil"/>
            </w:tcBorders>
            <w:shd w:val="clear" w:color="auto" w:fill="FFFFFF"/>
          </w:tcPr>
          <w:p w14:paraId="00000113"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nil"/>
              <w:right w:val="nil"/>
            </w:tcBorders>
            <w:shd w:val="clear" w:color="auto" w:fill="FFFFFF"/>
          </w:tcPr>
          <w:p w14:paraId="00000114"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Horse ranch, Peterborough, Ontario, Canada</w:t>
            </w:r>
          </w:p>
        </w:tc>
      </w:tr>
      <w:tr w:rsidR="00CE25E6" w14:paraId="5FC1990C" w14:textId="77777777">
        <w:trPr>
          <w:trHeight w:val="300"/>
        </w:trPr>
        <w:tc>
          <w:tcPr>
            <w:tcW w:w="3261" w:type="dxa"/>
            <w:tcBorders>
              <w:top w:val="nil"/>
              <w:left w:val="nil"/>
              <w:bottom w:val="single" w:sz="4" w:space="0" w:color="000000"/>
              <w:right w:val="nil"/>
            </w:tcBorders>
            <w:shd w:val="clear" w:color="auto" w:fill="FFFFFF"/>
          </w:tcPr>
          <w:p w14:paraId="00000115" w14:textId="77777777" w:rsidR="00CE25E6" w:rsidRPr="00957932" w:rsidRDefault="00153729">
            <w:pPr>
              <w:spacing w:after="0" w:line="240" w:lineRule="auto"/>
              <w:ind w:firstLine="400"/>
              <w:rPr>
                <w:rFonts w:ascii="Arial" w:eastAsia="Arial" w:hAnsi="Arial" w:cs="Arial"/>
                <w:i/>
                <w:color w:val="000000"/>
                <w:sz w:val="18"/>
                <w:szCs w:val="18"/>
              </w:rPr>
            </w:pPr>
            <w:r w:rsidRPr="00957932">
              <w:rPr>
                <w:rFonts w:ascii="Arial" w:eastAsia="Arial" w:hAnsi="Arial" w:cs="Arial"/>
                <w:i/>
                <w:color w:val="000000"/>
                <w:sz w:val="18"/>
                <w:szCs w:val="18"/>
              </w:rPr>
              <w:t>Procyon lotor</w:t>
            </w:r>
          </w:p>
        </w:tc>
        <w:tc>
          <w:tcPr>
            <w:tcW w:w="2313" w:type="dxa"/>
            <w:tcBorders>
              <w:top w:val="nil"/>
              <w:left w:val="nil"/>
              <w:bottom w:val="single" w:sz="4" w:space="0" w:color="000000"/>
              <w:right w:val="nil"/>
            </w:tcBorders>
            <w:shd w:val="clear" w:color="auto" w:fill="FFFFFF"/>
          </w:tcPr>
          <w:p w14:paraId="00000116"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Raccoon</w:t>
            </w:r>
          </w:p>
        </w:tc>
        <w:tc>
          <w:tcPr>
            <w:tcW w:w="2268" w:type="dxa"/>
            <w:tcBorders>
              <w:top w:val="nil"/>
              <w:left w:val="nil"/>
              <w:bottom w:val="single" w:sz="4" w:space="0" w:color="000000"/>
              <w:right w:val="nil"/>
            </w:tcBorders>
            <w:shd w:val="clear" w:color="auto" w:fill="FFFFFF"/>
          </w:tcPr>
          <w:p w14:paraId="00000117"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Opportunistic omnivore</w:t>
            </w:r>
          </w:p>
        </w:tc>
        <w:tc>
          <w:tcPr>
            <w:tcW w:w="1117" w:type="dxa"/>
            <w:tcBorders>
              <w:top w:val="nil"/>
              <w:left w:val="nil"/>
              <w:bottom w:val="single" w:sz="4" w:space="0" w:color="000000"/>
              <w:right w:val="nil"/>
            </w:tcBorders>
            <w:shd w:val="clear" w:color="auto" w:fill="FFFFFF"/>
          </w:tcPr>
          <w:p w14:paraId="00000118"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Wild</w:t>
            </w:r>
          </w:p>
        </w:tc>
        <w:tc>
          <w:tcPr>
            <w:tcW w:w="1194" w:type="dxa"/>
            <w:tcBorders>
              <w:top w:val="nil"/>
              <w:left w:val="nil"/>
              <w:bottom w:val="single" w:sz="4" w:space="0" w:color="000000"/>
              <w:right w:val="nil"/>
            </w:tcBorders>
            <w:shd w:val="clear" w:color="auto" w:fill="FFFFFF"/>
          </w:tcPr>
          <w:p w14:paraId="00000119"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No</w:t>
            </w:r>
          </w:p>
        </w:tc>
        <w:tc>
          <w:tcPr>
            <w:tcW w:w="439" w:type="dxa"/>
            <w:tcBorders>
              <w:top w:val="nil"/>
              <w:left w:val="nil"/>
              <w:bottom w:val="single" w:sz="4" w:space="0" w:color="000000"/>
              <w:right w:val="nil"/>
            </w:tcBorders>
            <w:shd w:val="clear" w:color="auto" w:fill="FFFFFF"/>
          </w:tcPr>
          <w:p w14:paraId="0000011A"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1</w:t>
            </w:r>
          </w:p>
        </w:tc>
        <w:tc>
          <w:tcPr>
            <w:tcW w:w="3300" w:type="dxa"/>
            <w:tcBorders>
              <w:top w:val="nil"/>
              <w:left w:val="nil"/>
              <w:bottom w:val="single" w:sz="4" w:space="0" w:color="000000"/>
              <w:right w:val="nil"/>
            </w:tcBorders>
            <w:shd w:val="clear" w:color="auto" w:fill="FFFFFF"/>
          </w:tcPr>
          <w:p w14:paraId="0000011B" w14:textId="77777777" w:rsidR="00CE25E6" w:rsidRPr="00957932" w:rsidRDefault="00153729">
            <w:pPr>
              <w:spacing w:after="0" w:line="240" w:lineRule="auto"/>
              <w:rPr>
                <w:rFonts w:ascii="Arial" w:eastAsia="Arial" w:hAnsi="Arial" w:cs="Arial"/>
                <w:color w:val="000000"/>
                <w:sz w:val="18"/>
                <w:szCs w:val="18"/>
              </w:rPr>
            </w:pPr>
            <w:r w:rsidRPr="00957932">
              <w:rPr>
                <w:rFonts w:ascii="Arial" w:eastAsia="Arial" w:hAnsi="Arial" w:cs="Arial"/>
                <w:color w:val="000000"/>
                <w:sz w:val="18"/>
                <w:szCs w:val="18"/>
              </w:rPr>
              <w:t>Dairy farm, Windsor, Ontario, Canada</w:t>
            </w:r>
          </w:p>
        </w:tc>
      </w:tr>
    </w:tbl>
    <w:p w14:paraId="0000011C" w14:textId="77777777" w:rsidR="00CE25E6" w:rsidRDefault="00CE25E6">
      <w:pPr>
        <w:rPr>
          <w:rFonts w:ascii="Times New Roman" w:eastAsia="Times New Roman" w:hAnsi="Times New Roman" w:cs="Times New Roman"/>
          <w:color w:val="000000"/>
          <w:sz w:val="24"/>
          <w:szCs w:val="24"/>
        </w:rPr>
        <w:sectPr w:rsidR="00CE25E6">
          <w:pgSz w:w="15840" w:h="12240" w:orient="landscape"/>
          <w:pgMar w:top="1440" w:right="1440" w:bottom="1440" w:left="1440" w:header="708" w:footer="708" w:gutter="0"/>
          <w:cols w:space="720"/>
        </w:sectPr>
      </w:pPr>
    </w:p>
    <w:p w14:paraId="0000011D" w14:textId="0BCBE412" w:rsidR="00CE25E6" w:rsidRDefault="00153729">
      <w:pPr>
        <w:pBdr>
          <w:top w:val="nil"/>
          <w:left w:val="nil"/>
          <w:bottom w:val="nil"/>
          <w:right w:val="nil"/>
          <w:between w:val="nil"/>
        </w:pBdr>
        <w:spacing w:after="0" w:line="48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lastRenderedPageBreak/>
        <w:t xml:space="preserve">The intra-individual variation was assessed across clades: birds, fish, and mammals (Table S1, Figures S1A).  This comparison demonstrated that the mammals and fish had </w:t>
      </w:r>
      <w:r w:rsidR="002B04C7">
        <w:rPr>
          <w:rFonts w:ascii="Times New Roman" w:eastAsia="Times New Roman" w:hAnsi="Times New Roman" w:cs="Times New Roman"/>
          <w:color w:val="000000"/>
          <w:sz w:val="24"/>
          <w:szCs w:val="24"/>
        </w:rPr>
        <w:t xml:space="preserve">very similar </w:t>
      </w:r>
      <w:r>
        <w:rPr>
          <w:rFonts w:ascii="Times New Roman" w:eastAsia="Times New Roman" w:hAnsi="Times New Roman" w:cs="Times New Roman"/>
          <w:color w:val="000000"/>
          <w:sz w:val="24"/>
          <w:szCs w:val="24"/>
        </w:rPr>
        <w:t>2σ, upper values of 1.53</w:t>
      </w:r>
      <w:r w:rsidR="00A72F63">
        <w:rPr>
          <w:rFonts w:ascii="Times New Roman" w:eastAsia="Times New Roman" w:hAnsi="Times New Roman" w:cs="Times New Roman"/>
          <w:color w:val="000000"/>
          <w:sz w:val="24"/>
          <w:szCs w:val="24"/>
        </w:rPr>
        <w:t xml:space="preserve"> </w:t>
      </w:r>
      <w:r w:rsidRPr="00957932">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and 1.44</w:t>
      </w:r>
      <w:r w:rsidR="00A72F63">
        <w:rPr>
          <w:rFonts w:ascii="Times New Roman" w:eastAsia="Times New Roman" w:hAnsi="Times New Roman" w:cs="Times New Roman"/>
          <w:color w:val="000000"/>
          <w:sz w:val="24"/>
          <w:szCs w:val="24"/>
        </w:rPr>
        <w:t xml:space="preserve"> </w:t>
      </w:r>
      <w:r w:rsidRPr="00957932">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respectively</w:t>
      </w:r>
      <w:r w:rsidR="002B04C7">
        <w:rPr>
          <w:rFonts w:ascii="Times New Roman" w:eastAsia="Times New Roman" w:hAnsi="Times New Roman" w:cs="Times New Roman"/>
          <w:color w:val="000000"/>
          <w:sz w:val="24"/>
          <w:szCs w:val="24"/>
        </w:rPr>
        <w:t xml:space="preserve"> for intra-individual variation</w:t>
      </w:r>
      <w:r>
        <w:rPr>
          <w:rFonts w:ascii="Times New Roman" w:eastAsia="Times New Roman" w:hAnsi="Times New Roman" w:cs="Times New Roman"/>
          <w:color w:val="000000"/>
          <w:sz w:val="24"/>
          <w:szCs w:val="24"/>
        </w:rPr>
        <w:t>.  The intra-individual variation of the birds had a 2σ upper value of 0.77</w:t>
      </w:r>
      <w:r w:rsidR="00A72F63">
        <w:rPr>
          <w:rFonts w:ascii="Times New Roman" w:eastAsia="Times New Roman" w:hAnsi="Times New Roman" w:cs="Times New Roman"/>
          <w:color w:val="000000"/>
          <w:sz w:val="24"/>
          <w:szCs w:val="24"/>
        </w:rPr>
        <w:t xml:space="preserve"> </w:t>
      </w:r>
      <w:r w:rsidRPr="00957932">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indicating that, based on this </w:t>
      </w:r>
      <w:r w:rsidR="002B04C7">
        <w:rPr>
          <w:rFonts w:ascii="Times New Roman" w:eastAsia="Times New Roman" w:hAnsi="Times New Roman" w:cs="Times New Roman"/>
          <w:color w:val="000000"/>
          <w:sz w:val="24"/>
          <w:szCs w:val="24"/>
        </w:rPr>
        <w:t xml:space="preserve">limited </w:t>
      </w:r>
      <w:r>
        <w:rPr>
          <w:rFonts w:ascii="Times New Roman" w:eastAsia="Times New Roman" w:hAnsi="Times New Roman" w:cs="Times New Roman"/>
          <w:color w:val="000000"/>
          <w:sz w:val="24"/>
          <w:szCs w:val="24"/>
        </w:rPr>
        <w:t>data set; birds may have a narrower range of intra-individual variation than mammals and fish</w:t>
      </w:r>
      <w:r w:rsidR="002B04C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B04C7">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his observation is worthy of further investigation</w:t>
      </w:r>
      <w:r w:rsidR="002B04C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0000011E" w14:textId="72F98769" w:rsidR="00CE25E6" w:rsidRDefault="00153729">
      <w:pPr>
        <w:pBdr>
          <w:top w:val="nil"/>
          <w:left w:val="nil"/>
          <w:bottom w:val="nil"/>
          <w:right w:val="nil"/>
          <w:between w:val="nil"/>
        </w:pBdr>
        <w:spacing w:after="0" w:line="48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xml:space="preserve">Examination of the marine environment was conducted through comparison of the harp seal and Pacific Ocean perch samples (Table S1, Figures S1B). In comparison to the migratory behaviour of harp seals (discussed in main text; </w:t>
      </w:r>
      <w:proofErr w:type="spellStart"/>
      <w:r>
        <w:rPr>
          <w:rFonts w:ascii="Times New Roman" w:eastAsia="Times New Roman" w:hAnsi="Times New Roman" w:cs="Times New Roman"/>
          <w:color w:val="000000"/>
          <w:sz w:val="24"/>
          <w:szCs w:val="24"/>
        </w:rPr>
        <w:t>Bajzak</w:t>
      </w:r>
      <w:proofErr w:type="spellEnd"/>
      <w:r>
        <w:rPr>
          <w:rFonts w:ascii="Times New Roman" w:eastAsia="Times New Roman" w:hAnsi="Times New Roman" w:cs="Times New Roman"/>
          <w:color w:val="000000"/>
          <w:sz w:val="24"/>
          <w:szCs w:val="24"/>
        </w:rPr>
        <w:t> et al., 2011; Falk-Petersen et al., 2004), Pacific Ocean perch may forage in areas as large as 70 km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to 400 km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but are not specifically migratory (</w:t>
      </w:r>
      <w:proofErr w:type="spellStart"/>
      <w:r>
        <w:rPr>
          <w:rFonts w:ascii="Times New Roman" w:eastAsia="Times New Roman" w:hAnsi="Times New Roman" w:cs="Times New Roman"/>
          <w:color w:val="000000"/>
          <w:sz w:val="24"/>
          <w:szCs w:val="24"/>
        </w:rPr>
        <w:t>Palof</w:t>
      </w:r>
      <w:proofErr w:type="spellEnd"/>
      <w:r>
        <w:rPr>
          <w:rFonts w:ascii="Times New Roman" w:eastAsia="Times New Roman" w:hAnsi="Times New Roman" w:cs="Times New Roman"/>
          <w:color w:val="000000"/>
          <w:sz w:val="24"/>
          <w:szCs w:val="24"/>
        </w:rPr>
        <w:t> et al., 2011).  Both species are marine carnivores though Pacific Ocean perch occupy a lower trophic position than harp seals (</w:t>
      </w:r>
      <w:proofErr w:type="spellStart"/>
      <w:r>
        <w:rPr>
          <w:rFonts w:ascii="Times New Roman" w:eastAsia="Times New Roman" w:hAnsi="Times New Roman" w:cs="Times New Roman"/>
          <w:color w:val="000000"/>
          <w:sz w:val="24"/>
          <w:szCs w:val="24"/>
        </w:rPr>
        <w:t>Hulson</w:t>
      </w:r>
      <w:proofErr w:type="spellEnd"/>
      <w:r>
        <w:rPr>
          <w:rFonts w:ascii="Times New Roman" w:eastAsia="Times New Roman" w:hAnsi="Times New Roman" w:cs="Times New Roman"/>
          <w:color w:val="000000"/>
          <w:sz w:val="24"/>
          <w:szCs w:val="24"/>
        </w:rPr>
        <w:t xml:space="preserve"> et al., 2017; Falk-Petersen et al., 2004).  The 2σ upper value </w:t>
      </w:r>
      <w:r w:rsidR="002B04C7">
        <w:rPr>
          <w:rFonts w:ascii="Times New Roman" w:eastAsia="Times New Roman" w:hAnsi="Times New Roman" w:cs="Times New Roman"/>
          <w:color w:val="000000"/>
          <w:sz w:val="24"/>
          <w:szCs w:val="24"/>
        </w:rPr>
        <w:t xml:space="preserve">for intra-individual variation in </w:t>
      </w:r>
      <w:r>
        <w:rPr>
          <w:rFonts w:ascii="Times New Roman" w:eastAsia="Times New Roman" w:hAnsi="Times New Roman" w:cs="Times New Roman"/>
          <w:color w:val="000000"/>
          <w:sz w:val="24"/>
          <w:szCs w:val="24"/>
        </w:rPr>
        <w:t>the Pacific Ocean perch was determined to be 1.27 ‰ and the value for the harp seal samples was 0.90 ‰.  Given the values obtained for the clades, </w:t>
      </w:r>
      <w:proofErr w:type="gramStart"/>
      <w:r>
        <w:rPr>
          <w:rFonts w:ascii="Times New Roman" w:eastAsia="Times New Roman" w:hAnsi="Times New Roman" w:cs="Times New Roman"/>
          <w:color w:val="000000"/>
          <w:sz w:val="24"/>
          <w:szCs w:val="24"/>
        </w:rPr>
        <w:t>fish</w:t>
      </w:r>
      <w:proofErr w:type="gramEnd"/>
      <w:r>
        <w:rPr>
          <w:rFonts w:ascii="Times New Roman" w:eastAsia="Times New Roman" w:hAnsi="Times New Roman" w:cs="Times New Roman"/>
          <w:color w:val="000000"/>
          <w:sz w:val="24"/>
          <w:szCs w:val="24"/>
        </w:rPr>
        <w:t> and mammals</w:t>
      </w:r>
      <w:r w:rsidR="002B04C7">
        <w:rPr>
          <w:rFonts w:ascii="Times New Roman" w:eastAsia="Times New Roman" w:hAnsi="Times New Roman" w:cs="Times New Roman"/>
          <w:color w:val="000000"/>
          <w:sz w:val="24"/>
          <w:szCs w:val="24"/>
        </w:rPr>
        <w:t xml:space="preserve"> (Figure S2)</w:t>
      </w:r>
      <w:r>
        <w:rPr>
          <w:rFonts w:ascii="Times New Roman" w:eastAsia="Times New Roman" w:hAnsi="Times New Roman" w:cs="Times New Roman"/>
          <w:color w:val="000000"/>
          <w:sz w:val="24"/>
          <w:szCs w:val="24"/>
        </w:rPr>
        <w:t>, it is unlikely that this difference is attributable to the taxonom</w:t>
      </w:r>
      <w:r w:rsidR="002B04C7">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The hypothesis at the outset was that seasonal migration would produce greater </w:t>
      </w:r>
      <w:r w:rsidR="002B04C7">
        <w:rPr>
          <w:rFonts w:ascii="Times New Roman" w:eastAsia="Times New Roman" w:hAnsi="Times New Roman" w:cs="Times New Roman"/>
          <w:color w:val="000000"/>
          <w:sz w:val="24"/>
          <w:szCs w:val="24"/>
        </w:rPr>
        <w:t xml:space="preserve">intra-individual </w:t>
      </w:r>
      <w:r>
        <w:rPr>
          <w:rFonts w:ascii="Times New Roman" w:eastAsia="Times New Roman" w:hAnsi="Times New Roman" w:cs="Times New Roman"/>
          <w:color w:val="000000"/>
          <w:sz w:val="24"/>
          <w:szCs w:val="24"/>
        </w:rPr>
        <w:t xml:space="preserve">variation; however, the </w:t>
      </w:r>
      <w:r w:rsidR="002B04C7">
        <w:rPr>
          <w:rFonts w:ascii="Times New Roman" w:eastAsia="Times New Roman" w:hAnsi="Times New Roman" w:cs="Times New Roman"/>
          <w:color w:val="000000"/>
          <w:sz w:val="24"/>
          <w:szCs w:val="24"/>
        </w:rPr>
        <w:t xml:space="preserve">harp </w:t>
      </w:r>
      <w:r>
        <w:rPr>
          <w:rFonts w:ascii="Times New Roman" w:eastAsia="Times New Roman" w:hAnsi="Times New Roman" w:cs="Times New Roman"/>
          <w:color w:val="000000"/>
          <w:sz w:val="24"/>
          <w:szCs w:val="24"/>
        </w:rPr>
        <w:t>seals do not provide support for this</w:t>
      </w:r>
      <w:r w:rsidR="002B04C7">
        <w:rPr>
          <w:rFonts w:ascii="Times New Roman" w:eastAsia="Times New Roman" w:hAnsi="Times New Roman" w:cs="Times New Roman"/>
          <w:color w:val="000000"/>
          <w:sz w:val="24"/>
          <w:szCs w:val="24"/>
        </w:rPr>
        <w:t xml:space="preserve"> as they had levels of intra-individual variation that were slightly lower, on average, relative to the other mammals included in this study (Table S1)</w:t>
      </w:r>
      <w:r>
        <w:rPr>
          <w:rFonts w:ascii="Times New Roman" w:eastAsia="Times New Roman" w:hAnsi="Times New Roman" w:cs="Times New Roman"/>
          <w:color w:val="000000"/>
          <w:sz w:val="24"/>
          <w:szCs w:val="24"/>
        </w:rPr>
        <w:t>. </w:t>
      </w:r>
    </w:p>
    <w:p w14:paraId="0000011F" w14:textId="69CCA9AC" w:rsidR="00CE25E6" w:rsidRDefault="00153729">
      <w:pPr>
        <w:pBdr>
          <w:top w:val="nil"/>
          <w:left w:val="nil"/>
          <w:bottom w:val="nil"/>
          <w:right w:val="nil"/>
          <w:between w:val="nil"/>
        </w:pBdr>
        <w:spacing w:after="0" w:line="48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To further investigate the potential effects migration may have on variation, a comparison was made between the northern flicker and the hairy woodpecker (Table S</w:t>
      </w:r>
      <w:r w:rsidR="002B04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Figures S1C).  The northern flicker is broadly distributed across Canada, as far north as the Yukon, throughout the summer months and migrates to the southern United States for the winter months (Flockhart and Wiebe, 2007; Sibley, 2003).  Northern flickers forage on the ground and are specialized consumers of ants (</w:t>
      </w:r>
      <w:proofErr w:type="spellStart"/>
      <w:r>
        <w:rPr>
          <w:rFonts w:ascii="Times New Roman" w:eastAsia="Times New Roman" w:hAnsi="Times New Roman" w:cs="Times New Roman"/>
          <w:color w:val="000000"/>
          <w:sz w:val="24"/>
          <w:szCs w:val="24"/>
        </w:rPr>
        <w:t>Gow</w:t>
      </w:r>
      <w:proofErr w:type="spellEnd"/>
      <w:r>
        <w:rPr>
          <w:rFonts w:ascii="Times New Roman" w:eastAsia="Times New Roman" w:hAnsi="Times New Roman" w:cs="Times New Roman"/>
          <w:color w:val="000000"/>
          <w:sz w:val="24"/>
          <w:szCs w:val="24"/>
        </w:rPr>
        <w:t> et al. 2013).  Hairy woodpeckers are broadly dispersed across Canada and are non-migratory (Sibley, 2003; Villard and </w:t>
      </w:r>
      <w:proofErr w:type="spellStart"/>
      <w:r>
        <w:rPr>
          <w:rFonts w:ascii="Times New Roman" w:eastAsia="Times New Roman" w:hAnsi="Times New Roman" w:cs="Times New Roman"/>
          <w:color w:val="000000"/>
          <w:sz w:val="24"/>
          <w:szCs w:val="24"/>
        </w:rPr>
        <w:t>Beninger</w:t>
      </w:r>
      <w:proofErr w:type="spellEnd"/>
      <w:r>
        <w:rPr>
          <w:rFonts w:ascii="Times New Roman" w:eastAsia="Times New Roman" w:hAnsi="Times New Roman" w:cs="Times New Roman"/>
          <w:color w:val="000000"/>
          <w:sz w:val="24"/>
          <w:szCs w:val="24"/>
        </w:rPr>
        <w:t>, 1993; Morrison and With, 1987).</w:t>
      </w:r>
    </w:p>
    <w:p w14:paraId="00000120" w14:textId="77777777" w:rsidR="00CE25E6" w:rsidRDefault="00153729">
      <w:pPr>
        <w:pBdr>
          <w:top w:val="nil"/>
          <w:left w:val="nil"/>
          <w:bottom w:val="nil"/>
          <w:right w:val="nil"/>
          <w:between w:val="nil"/>
        </w:pBdr>
        <w:spacing w:after="0" w:line="480" w:lineRule="auto"/>
        <w:rPr>
          <w:rFonts w:ascii="Quattrocento Sans" w:eastAsia="Quattrocento Sans" w:hAnsi="Quattrocento Sans" w:cs="Quattrocento Sans"/>
          <w:color w:val="000000"/>
          <w:sz w:val="18"/>
          <w:szCs w:val="18"/>
        </w:rPr>
      </w:pPr>
      <w:r>
        <w:rPr>
          <w:noProof/>
          <w:color w:val="000000"/>
        </w:rPr>
        <w:lastRenderedPageBreak/>
        <w:drawing>
          <wp:inline distT="0" distB="0" distL="0" distR="0" wp14:anchorId="1BB63EBA" wp14:editId="39912363">
            <wp:extent cx="5867868" cy="6032234"/>
            <wp:effectExtent l="0" t="0" r="0" b="0"/>
            <wp:docPr id="3901178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67868" cy="6032234"/>
                    </a:xfrm>
                    <a:prstGeom prst="rect">
                      <a:avLst/>
                    </a:prstGeom>
                    <a:ln/>
                  </pic:spPr>
                </pic:pic>
              </a:graphicData>
            </a:graphic>
          </wp:inline>
        </w:drawing>
      </w:r>
      <w:r>
        <w:rPr>
          <w:rFonts w:ascii="Times New Roman" w:eastAsia="Times New Roman" w:hAnsi="Times New Roman" w:cs="Times New Roman"/>
          <w:color w:val="000000"/>
          <w:sz w:val="24"/>
          <w:szCs w:val="24"/>
        </w:rPr>
        <w:t> </w:t>
      </w:r>
    </w:p>
    <w:p w14:paraId="00000121" w14:textId="6B96264A" w:rsidR="00CE25E6" w:rsidRDefault="00153729">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Figure S</w:t>
      </w:r>
      <w:r w:rsidR="002B04C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The mean and 95% confidence interval for the mean of different animal groupings or species based on the distance between </w:t>
      </w:r>
      <w:r>
        <w:rPr>
          <w:rFonts w:ascii="Times New Roman" w:eastAsia="Times New Roman" w:hAnsi="Times New Roman" w:cs="Times New Roman"/>
          <w:i/>
          <w:color w:val="000000"/>
          <w:sz w:val="24"/>
          <w:szCs w:val="24"/>
        </w:rPr>
        <w:t>δ</w:t>
      </w:r>
      <w:r>
        <w:rPr>
          <w:rFonts w:ascii="Times New Roman" w:eastAsia="Times New Roman" w:hAnsi="Times New Roman" w:cs="Times New Roman"/>
          <w:color w:val="000000"/>
          <w:sz w:val="24"/>
          <w:szCs w:val="24"/>
          <w:vertAlign w:val="superscript"/>
        </w:rPr>
        <w:t>13</w:t>
      </w:r>
      <w:r>
        <w:rPr>
          <w:rFonts w:ascii="Times New Roman" w:eastAsia="Times New Roman" w:hAnsi="Times New Roman" w:cs="Times New Roman"/>
          <w:color w:val="000000"/>
          <w:sz w:val="24"/>
          <w:szCs w:val="24"/>
        </w:rPr>
        <w:t>C and </w:t>
      </w:r>
      <w:r>
        <w:rPr>
          <w:rFonts w:ascii="Times New Roman" w:eastAsia="Times New Roman" w:hAnsi="Times New Roman" w:cs="Times New Roman"/>
          <w:i/>
          <w:color w:val="000000"/>
          <w:sz w:val="24"/>
          <w:szCs w:val="24"/>
        </w:rPr>
        <w:t>δ</w:t>
      </w:r>
      <w:r>
        <w:rPr>
          <w:rFonts w:ascii="Times New Roman" w:eastAsia="Times New Roman" w:hAnsi="Times New Roman" w:cs="Times New Roman"/>
          <w:color w:val="000000"/>
          <w:sz w:val="24"/>
          <w:szCs w:val="24"/>
          <w:vertAlign w:val="superscript"/>
        </w:rPr>
        <w:t>15</w:t>
      </w:r>
      <w:r>
        <w:rPr>
          <w:rFonts w:ascii="Times New Roman" w:eastAsia="Times New Roman" w:hAnsi="Times New Roman" w:cs="Times New Roman"/>
          <w:color w:val="000000"/>
          <w:sz w:val="24"/>
          <w:szCs w:val="24"/>
        </w:rPr>
        <w:t>N values of bone collagen from different bones within the same individual in isotopic space (‰). </w:t>
      </w:r>
    </w:p>
    <w:p w14:paraId="00000122" w14:textId="77777777" w:rsidR="00CE25E6" w:rsidRDefault="00153729">
      <w:pPr>
        <w:pBdr>
          <w:top w:val="nil"/>
          <w:left w:val="nil"/>
          <w:bottom w:val="nil"/>
          <w:right w:val="nil"/>
          <w:between w:val="nil"/>
        </w:pBdr>
        <w:spacing w:after="0" w:line="48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123" w14:textId="31800216" w:rsidR="00CE25E6" w:rsidRDefault="00153729">
      <w:pPr>
        <w:pBdr>
          <w:top w:val="nil"/>
          <w:left w:val="nil"/>
          <w:bottom w:val="nil"/>
          <w:right w:val="nil"/>
          <w:between w:val="nil"/>
        </w:pBdr>
        <w:spacing w:after="0" w:line="48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Hairy woodpeckers are insectivores, foraging on a range of grubs and beetles available beneath thin bark on tree trunks and branches (Villard and </w:t>
      </w:r>
      <w:proofErr w:type="spellStart"/>
      <w:r>
        <w:rPr>
          <w:rFonts w:ascii="Times New Roman" w:eastAsia="Times New Roman" w:hAnsi="Times New Roman" w:cs="Times New Roman"/>
          <w:color w:val="000000"/>
          <w:sz w:val="24"/>
          <w:szCs w:val="24"/>
        </w:rPr>
        <w:t>Beninger</w:t>
      </w:r>
      <w:proofErr w:type="spellEnd"/>
      <w:r>
        <w:rPr>
          <w:rFonts w:ascii="Times New Roman" w:eastAsia="Times New Roman" w:hAnsi="Times New Roman" w:cs="Times New Roman"/>
          <w:color w:val="000000"/>
          <w:sz w:val="24"/>
          <w:szCs w:val="24"/>
        </w:rPr>
        <w:t xml:space="preserve">, 1993; Morrison and With, 1987).  The 2σ upper value of the northern flicker was 0.46 ‰ and the 2σ upper value of the hairy woodpecker was 0.95 ‰.  Once again, the environmental differences associated with migration did not result in a higher degree of </w:t>
      </w:r>
      <w:r>
        <w:rPr>
          <w:rFonts w:ascii="Times New Roman" w:eastAsia="Times New Roman" w:hAnsi="Times New Roman" w:cs="Times New Roman"/>
          <w:color w:val="000000"/>
          <w:sz w:val="24"/>
          <w:szCs w:val="24"/>
        </w:rPr>
        <w:lastRenderedPageBreak/>
        <w:t>variation, relative to the non-migratory comparator</w:t>
      </w:r>
      <w:r w:rsidR="0093429F">
        <w:rPr>
          <w:rFonts w:ascii="Times New Roman" w:eastAsia="Times New Roman" w:hAnsi="Times New Roman" w:cs="Times New Roman"/>
          <w:color w:val="000000"/>
          <w:sz w:val="24"/>
          <w:szCs w:val="24"/>
        </w:rPr>
        <w:t>, but our sample size was small</w:t>
      </w:r>
      <w:r>
        <w:rPr>
          <w:rFonts w:ascii="Times New Roman" w:eastAsia="Times New Roman" w:hAnsi="Times New Roman" w:cs="Times New Roman"/>
          <w:color w:val="000000"/>
          <w:sz w:val="24"/>
          <w:szCs w:val="24"/>
        </w:rPr>
        <w:t xml:space="preserve">.  The confluence of diet breadth and rapid growth </w:t>
      </w:r>
      <w:r w:rsidR="0093429F">
        <w:rPr>
          <w:rFonts w:ascii="Times New Roman" w:eastAsia="Times New Roman" w:hAnsi="Times New Roman" w:cs="Times New Roman"/>
          <w:color w:val="000000"/>
          <w:sz w:val="24"/>
          <w:szCs w:val="24"/>
        </w:rPr>
        <w:t xml:space="preserve">or high metabolic rates in birds </w:t>
      </w:r>
      <w:r>
        <w:rPr>
          <w:rFonts w:ascii="Times New Roman" w:eastAsia="Times New Roman" w:hAnsi="Times New Roman" w:cs="Times New Roman"/>
          <w:color w:val="000000"/>
          <w:sz w:val="24"/>
          <w:szCs w:val="24"/>
        </w:rPr>
        <w:t>may supersede migration in importance, with both species growing rapidly through maturation and the hairy woodpecker incorporating a wider diet breadth than the northern flicker through that period. </w:t>
      </w:r>
      <w:r w:rsidR="0093429F">
        <w:rPr>
          <w:rFonts w:ascii="Times New Roman" w:eastAsia="Times New Roman" w:hAnsi="Times New Roman" w:cs="Times New Roman"/>
          <w:color w:val="000000"/>
          <w:sz w:val="24"/>
          <w:szCs w:val="24"/>
        </w:rPr>
        <w:t xml:space="preserve">Moreover, migratory behaviour should only increase intra-individual variation in circumstances where the endpoints of the migration are characterized by isotopically distinct foods (for </w:t>
      </w:r>
      <w:r w:rsidR="0093429F" w:rsidRPr="0093429F">
        <w:rPr>
          <w:rFonts w:ascii="Times New Roman" w:eastAsia="Times New Roman" w:hAnsi="Times New Roman" w:cs="Times New Roman"/>
          <w:i/>
          <w:iCs/>
          <w:color w:val="000000"/>
          <w:sz w:val="24"/>
          <w:szCs w:val="24"/>
          <w:lang w:val="en-GB"/>
        </w:rPr>
        <w:sym w:font="Symbol" w:char="F064"/>
      </w:r>
      <w:r w:rsidR="0093429F" w:rsidRPr="0093429F">
        <w:rPr>
          <w:rFonts w:ascii="Times New Roman" w:eastAsia="Times New Roman" w:hAnsi="Times New Roman" w:cs="Times New Roman"/>
          <w:color w:val="000000"/>
          <w:sz w:val="24"/>
          <w:szCs w:val="24"/>
          <w:vertAlign w:val="superscript"/>
          <w:lang w:val="en-GB"/>
        </w:rPr>
        <w:t>13</w:t>
      </w:r>
      <w:r w:rsidR="0093429F" w:rsidRPr="0093429F">
        <w:rPr>
          <w:rFonts w:ascii="Times New Roman" w:eastAsia="Times New Roman" w:hAnsi="Times New Roman" w:cs="Times New Roman"/>
          <w:color w:val="000000"/>
          <w:sz w:val="24"/>
          <w:szCs w:val="24"/>
          <w:lang w:val="en-GB"/>
        </w:rPr>
        <w:t>C</w:t>
      </w:r>
      <w:r w:rsidR="0093429F">
        <w:rPr>
          <w:rFonts w:ascii="Times New Roman" w:eastAsia="Times New Roman" w:hAnsi="Times New Roman" w:cs="Times New Roman"/>
          <w:color w:val="000000"/>
          <w:sz w:val="24"/>
          <w:szCs w:val="24"/>
        </w:rPr>
        <w:t xml:space="preserve"> and </w:t>
      </w:r>
      <w:r w:rsidR="0093429F" w:rsidRPr="0093429F">
        <w:rPr>
          <w:rFonts w:ascii="Times New Roman" w:eastAsia="Times New Roman" w:hAnsi="Times New Roman" w:cs="Times New Roman"/>
          <w:i/>
          <w:iCs/>
          <w:color w:val="000000"/>
          <w:sz w:val="24"/>
          <w:szCs w:val="24"/>
          <w:lang w:val="en-GB"/>
        </w:rPr>
        <w:sym w:font="Symbol" w:char="F064"/>
      </w:r>
      <w:r w:rsidR="0093429F" w:rsidRPr="0093429F">
        <w:rPr>
          <w:rFonts w:ascii="Times New Roman" w:eastAsia="Times New Roman" w:hAnsi="Times New Roman" w:cs="Times New Roman"/>
          <w:color w:val="000000"/>
          <w:sz w:val="24"/>
          <w:szCs w:val="24"/>
          <w:vertAlign w:val="superscript"/>
          <w:lang w:val="en-GB"/>
        </w:rPr>
        <w:t>1</w:t>
      </w:r>
      <w:r w:rsidR="0093429F">
        <w:rPr>
          <w:rFonts w:ascii="Times New Roman" w:eastAsia="Times New Roman" w:hAnsi="Times New Roman" w:cs="Times New Roman"/>
          <w:color w:val="000000"/>
          <w:sz w:val="24"/>
          <w:szCs w:val="24"/>
          <w:vertAlign w:val="superscript"/>
          <w:lang w:val="en-GB"/>
        </w:rPr>
        <w:t>5</w:t>
      </w:r>
      <w:r w:rsidR="0093429F">
        <w:rPr>
          <w:rFonts w:ascii="Times New Roman" w:eastAsia="Times New Roman" w:hAnsi="Times New Roman" w:cs="Times New Roman"/>
          <w:color w:val="000000"/>
          <w:sz w:val="24"/>
          <w:szCs w:val="24"/>
          <w:lang w:val="en-GB"/>
        </w:rPr>
        <w:t>N</w:t>
      </w:r>
      <w:r w:rsidR="0093429F">
        <w:rPr>
          <w:rFonts w:ascii="Times New Roman" w:eastAsia="Times New Roman" w:hAnsi="Times New Roman" w:cs="Times New Roman"/>
          <w:color w:val="000000"/>
          <w:sz w:val="24"/>
          <w:szCs w:val="24"/>
        </w:rPr>
        <w:t>)</w:t>
      </w:r>
      <w:r w:rsidR="00982D7D">
        <w:rPr>
          <w:rFonts w:ascii="Times New Roman" w:eastAsia="Times New Roman" w:hAnsi="Times New Roman" w:cs="Times New Roman"/>
          <w:color w:val="000000"/>
          <w:sz w:val="24"/>
          <w:szCs w:val="24"/>
        </w:rPr>
        <w:t xml:space="preserve"> and this may not be the case for the northern flicker</w:t>
      </w:r>
      <w:r w:rsidR="0093429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81798"/>
          <w:sz w:val="24"/>
          <w:szCs w:val="24"/>
        </w:rPr>
        <w:t> </w:t>
      </w:r>
    </w:p>
    <w:p w14:paraId="00000126" w14:textId="4D859424" w:rsidR="00CE25E6" w:rsidRDefault="00153729" w:rsidP="00957932">
      <w:pPr>
        <w:pBdr>
          <w:top w:val="nil"/>
          <w:left w:val="nil"/>
          <w:bottom w:val="nil"/>
          <w:right w:val="nil"/>
          <w:between w:val="nil"/>
        </w:pBdr>
        <w:spacing w:after="0" w:line="48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000000"/>
          <w:sz w:val="24"/>
          <w:szCs w:val="24"/>
        </w:rPr>
        <w:t>Turkey and pig are fed homogenous diets consisting of pellets or crumb (</w:t>
      </w:r>
      <w:proofErr w:type="spellStart"/>
      <w:r>
        <w:rPr>
          <w:rFonts w:ascii="Times New Roman" w:eastAsia="Times New Roman" w:hAnsi="Times New Roman" w:cs="Times New Roman"/>
          <w:color w:val="000000"/>
          <w:sz w:val="24"/>
          <w:szCs w:val="24"/>
        </w:rPr>
        <w:t>Marchewka</w:t>
      </w:r>
      <w:proofErr w:type="spellEnd"/>
      <w:r>
        <w:rPr>
          <w:rFonts w:ascii="Times New Roman" w:eastAsia="Times New Roman" w:hAnsi="Times New Roman" w:cs="Times New Roman"/>
          <w:color w:val="000000"/>
          <w:sz w:val="24"/>
          <w:szCs w:val="24"/>
        </w:rPr>
        <w:t> et al., 2013).  Turkeys are fed grains and plant oils, sometimes with a 6% to 8% contribution of animal by-products, with nutrition balanced through the addition of vitamins and minerals (Turkey Farmers of Canada, 2019).  Pigs are fed similarly with a meal comprised of grains, soybeans, and canola meal, fortified with vitamins and minerals (Manitoba Pork, 2019).  The diet of beef cattle is controlled, consisting of graze and dried forage (hay) until they reach a weight of 410 kg at which time they are moved to a feedlot where they consume forage which is incrementally augmented by grain until the grain component is 90% of the diet (Canadian Cattlemen’s Association and Beef Information Centre, 2010).  Dairy cows are provisioned with feed based on crops grown at the farmer’s discretion (Dairy Farmers of Canada, 2019).  The most common feeds for dairy cows include grass, corn, barley, clover, alfalfa, oats</w:t>
      </w:r>
      <w:r w:rsidR="00982D7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soybeans (Dairy Farmers of Canada, 2019).  </w:t>
      </w:r>
      <w:r w:rsidR="00982D7D">
        <w:rPr>
          <w:rFonts w:ascii="Times New Roman" w:eastAsia="Times New Roman" w:hAnsi="Times New Roman" w:cs="Times New Roman"/>
          <w:color w:val="000000"/>
          <w:sz w:val="24"/>
          <w:szCs w:val="24"/>
        </w:rPr>
        <w:t xml:space="preserve">Diet switching in cattle may explain why they had higher levels of intra-individual variation than either pigs or turkeys as well as </w:t>
      </w:r>
      <w:r w:rsidR="00A0593B">
        <w:rPr>
          <w:rFonts w:ascii="Times New Roman" w:eastAsia="Times New Roman" w:hAnsi="Times New Roman" w:cs="Times New Roman"/>
          <w:color w:val="000000"/>
          <w:sz w:val="24"/>
          <w:szCs w:val="24"/>
        </w:rPr>
        <w:t xml:space="preserve">the </w:t>
      </w:r>
      <w:r w:rsidR="00982D7D">
        <w:rPr>
          <w:rFonts w:ascii="Times New Roman" w:eastAsia="Times New Roman" w:hAnsi="Times New Roman" w:cs="Times New Roman"/>
          <w:color w:val="000000"/>
          <w:sz w:val="24"/>
          <w:szCs w:val="24"/>
        </w:rPr>
        <w:t>harp seals and the weasel</w:t>
      </w:r>
      <w:r w:rsidR="00A0593B">
        <w:rPr>
          <w:rFonts w:ascii="Times New Roman" w:eastAsia="Times New Roman" w:hAnsi="Times New Roman" w:cs="Times New Roman"/>
          <w:color w:val="000000"/>
          <w:sz w:val="24"/>
          <w:szCs w:val="24"/>
        </w:rPr>
        <w:t xml:space="preserve"> (Table S1, Figure S2)</w:t>
      </w:r>
      <w:r w:rsidR="00982D7D">
        <w:rPr>
          <w:rFonts w:ascii="Times New Roman" w:eastAsia="Times New Roman" w:hAnsi="Times New Roman" w:cs="Times New Roman"/>
          <w:color w:val="000000"/>
          <w:sz w:val="24"/>
          <w:szCs w:val="24"/>
        </w:rPr>
        <w:t xml:space="preserve">. This relatively high level of intra-individual variation for cattle is noteworthy since we used a new </w:t>
      </w:r>
      <w:r w:rsidR="00A0593B">
        <w:rPr>
          <w:rFonts w:ascii="Times New Roman" w:eastAsia="Times New Roman" w:hAnsi="Times New Roman" w:cs="Times New Roman"/>
          <w:color w:val="000000"/>
          <w:sz w:val="24"/>
          <w:szCs w:val="24"/>
        </w:rPr>
        <w:t xml:space="preserve">isotopic </w:t>
      </w:r>
      <w:r w:rsidR="00982D7D">
        <w:rPr>
          <w:rFonts w:ascii="Times New Roman" w:eastAsia="Times New Roman" w:hAnsi="Times New Roman" w:cs="Times New Roman"/>
          <w:color w:val="000000"/>
          <w:sz w:val="24"/>
          <w:szCs w:val="24"/>
        </w:rPr>
        <w:t xml:space="preserve">dataset generated from domestic cattle bones to test our NIDS metric. The relatively high levels of intra-individual variation observed for modern domestic cattle are therefore likely to increase the probability of misclassifying two bones as coming from distinct individuals when they are from the same individual. </w:t>
      </w:r>
    </w:p>
    <w:p w14:paraId="58B55F2D" w14:textId="77777777" w:rsidR="002B04C7" w:rsidRDefault="002B04C7">
      <w:pP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br w:type="page"/>
      </w:r>
    </w:p>
    <w:p w14:paraId="00000127" w14:textId="0E291272"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lastRenderedPageBreak/>
        <w:t>References</w:t>
      </w:r>
    </w:p>
    <w:p w14:paraId="00000128"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29" w14:textId="2B54C051"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bookmarkStart w:id="1" w:name="_Hlk78475737"/>
      <w:proofErr w:type="spellStart"/>
      <w:r>
        <w:rPr>
          <w:rFonts w:ascii="Times New Roman" w:eastAsia="Times New Roman" w:hAnsi="Times New Roman" w:cs="Times New Roman"/>
          <w:color w:val="000000"/>
          <w:sz w:val="24"/>
          <w:szCs w:val="24"/>
          <w:highlight w:val="white"/>
        </w:rPr>
        <w:t>Bajzak</w:t>
      </w:r>
      <w:proofErr w:type="spellEnd"/>
      <w:r>
        <w:rPr>
          <w:rFonts w:ascii="Times New Roman" w:eastAsia="Times New Roman" w:hAnsi="Times New Roman" w:cs="Times New Roman"/>
          <w:color w:val="000000"/>
          <w:sz w:val="24"/>
          <w:szCs w:val="24"/>
          <w:highlight w:val="white"/>
        </w:rPr>
        <w:t>, C. E., Hammill, M. O., Stenson, G. B., &amp; </w:t>
      </w:r>
      <w:proofErr w:type="spellStart"/>
      <w:r>
        <w:rPr>
          <w:rFonts w:ascii="Times New Roman" w:eastAsia="Times New Roman" w:hAnsi="Times New Roman" w:cs="Times New Roman"/>
          <w:color w:val="000000"/>
          <w:sz w:val="24"/>
          <w:szCs w:val="24"/>
          <w:highlight w:val="white"/>
        </w:rPr>
        <w:t>Prinsenberg</w:t>
      </w:r>
      <w:proofErr w:type="spellEnd"/>
      <w:r>
        <w:rPr>
          <w:rFonts w:ascii="Times New Roman" w:eastAsia="Times New Roman" w:hAnsi="Times New Roman" w:cs="Times New Roman"/>
          <w:color w:val="000000"/>
          <w:sz w:val="24"/>
          <w:szCs w:val="24"/>
          <w:highlight w:val="white"/>
        </w:rPr>
        <w:t>, S. (2011). Drifting away: implications of changes in ice conditions for a pack-ice-breeding phocid, the harp seal (</w:t>
      </w:r>
      <w:proofErr w:type="spellStart"/>
      <w:r>
        <w:rPr>
          <w:rFonts w:ascii="Times New Roman" w:eastAsia="Times New Roman" w:hAnsi="Times New Roman" w:cs="Times New Roman"/>
          <w:color w:val="000000"/>
          <w:sz w:val="24"/>
          <w:szCs w:val="24"/>
          <w:highlight w:val="white"/>
        </w:rPr>
        <w:t>Pagophilus</w:t>
      </w:r>
      <w:proofErr w:type="spellEnd"/>
      <w:r>
        <w:rPr>
          <w:rFonts w:ascii="Times New Roman" w:eastAsia="Times New Roman" w:hAnsi="Times New Roman" w:cs="Times New Roman"/>
          <w:color w:val="000000"/>
          <w:sz w:val="24"/>
          <w:szCs w:val="24"/>
          <w:highlight w:val="white"/>
        </w:rPr>
        <w:t> </w:t>
      </w:r>
      <w:proofErr w:type="spellStart"/>
      <w:r>
        <w:rPr>
          <w:rFonts w:ascii="Times New Roman" w:eastAsia="Times New Roman" w:hAnsi="Times New Roman" w:cs="Times New Roman"/>
          <w:color w:val="000000"/>
          <w:sz w:val="24"/>
          <w:szCs w:val="24"/>
          <w:highlight w:val="white"/>
        </w:rPr>
        <w:t>groenlandicus</w:t>
      </w:r>
      <w:proofErr w:type="spellEnd"/>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i/>
          <w:color w:val="000000"/>
          <w:sz w:val="24"/>
          <w:szCs w:val="24"/>
          <w:highlight w:val="white"/>
        </w:rPr>
        <w:t>. Canadian Journal of Zoology, </w:t>
      </w:r>
      <w:r>
        <w:rPr>
          <w:rFonts w:ascii="Times New Roman" w:eastAsia="Times New Roman" w:hAnsi="Times New Roman" w:cs="Times New Roman"/>
          <w:color w:val="000000"/>
          <w:sz w:val="24"/>
          <w:szCs w:val="24"/>
          <w:highlight w:val="white"/>
        </w:rPr>
        <w:t>89(11), 1050–1062. </w:t>
      </w:r>
      <w:r w:rsidR="00721DB1" w:rsidRPr="00721DB1">
        <w:rPr>
          <w:rFonts w:ascii="Times New Roman" w:eastAsia="Times New Roman" w:hAnsi="Times New Roman" w:cs="Times New Roman"/>
          <w:color w:val="000000"/>
          <w:sz w:val="24"/>
          <w:szCs w:val="24"/>
        </w:rPr>
        <w:t>https://doi.org/10.1139/z11-081</w:t>
      </w:r>
    </w:p>
    <w:p w14:paraId="0000012A"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2B"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222222"/>
          <w:sz w:val="24"/>
          <w:szCs w:val="24"/>
          <w:highlight w:val="white"/>
        </w:rPr>
        <w:t>Canadian </w:t>
      </w:r>
      <w:proofErr w:type="spellStart"/>
      <w:r>
        <w:rPr>
          <w:rFonts w:ascii="Times New Roman" w:eastAsia="Times New Roman" w:hAnsi="Times New Roman" w:cs="Times New Roman"/>
          <w:color w:val="222222"/>
          <w:sz w:val="24"/>
          <w:szCs w:val="24"/>
          <w:highlight w:val="white"/>
        </w:rPr>
        <w:t>Cattlement’s</w:t>
      </w:r>
      <w:proofErr w:type="spellEnd"/>
      <w:r>
        <w:rPr>
          <w:rFonts w:ascii="Times New Roman" w:eastAsia="Times New Roman" w:hAnsi="Times New Roman" w:cs="Times New Roman"/>
          <w:color w:val="222222"/>
          <w:sz w:val="24"/>
          <w:szCs w:val="24"/>
          <w:highlight w:val="white"/>
        </w:rPr>
        <w:t> Association and Beef Information Centre (2010). </w:t>
      </w:r>
      <w:r>
        <w:rPr>
          <w:rFonts w:ascii="Times New Roman" w:eastAsia="Times New Roman" w:hAnsi="Times New Roman" w:cs="Times New Roman"/>
          <w:i/>
          <w:color w:val="222222"/>
          <w:sz w:val="24"/>
          <w:szCs w:val="24"/>
          <w:highlight w:val="white"/>
        </w:rPr>
        <w:t>What Do Beef Cattle Eat?</w:t>
      </w:r>
      <w:r>
        <w:rPr>
          <w:rFonts w:ascii="Times New Roman" w:eastAsia="Times New Roman" w:hAnsi="Times New Roman" w:cs="Times New Roman"/>
          <w:color w:val="222222"/>
          <w:sz w:val="24"/>
          <w:szCs w:val="24"/>
          <w:highlight w:val="white"/>
          <w:u w:val="single"/>
        </w:rPr>
        <w:t> </w:t>
      </w:r>
      <w:r>
        <w:rPr>
          <w:rFonts w:ascii="Times New Roman" w:eastAsia="Times New Roman" w:hAnsi="Times New Roman" w:cs="Times New Roman"/>
          <w:color w:val="222222"/>
          <w:sz w:val="24"/>
          <w:szCs w:val="24"/>
          <w:highlight w:val="white"/>
        </w:rPr>
        <w:t>http://www.ontariobeef.com/uploads/userfiles/files/what%20do%20beef%20cattle%20eat.pdf </w:t>
      </w:r>
      <w:r>
        <w:rPr>
          <w:rFonts w:ascii="Times New Roman" w:eastAsia="Times New Roman" w:hAnsi="Times New Roman" w:cs="Times New Roman"/>
          <w:color w:val="000000"/>
          <w:sz w:val="24"/>
          <w:szCs w:val="24"/>
          <w:highlight w:val="white"/>
        </w:rPr>
        <w:t> Accessed May 28, 2019. </w:t>
      </w:r>
    </w:p>
    <w:p w14:paraId="0000012C"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2D"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Dairy Farmers of Canada (February 14, 2019).  The Canadian Cow Diet.  </w:t>
      </w:r>
      <w:r>
        <w:rPr>
          <w:rFonts w:ascii="Times New Roman" w:eastAsia="Times New Roman" w:hAnsi="Times New Roman" w:cs="Times New Roman"/>
          <w:color w:val="222222"/>
          <w:sz w:val="24"/>
          <w:szCs w:val="24"/>
          <w:highlight w:val="white"/>
        </w:rPr>
        <w:t>https://dairyfarmersofcanada.ca/en/dairy-in-canada/dairy-excellence/canadian-cow-diet</w:t>
      </w:r>
      <w:r>
        <w:rPr>
          <w:rFonts w:ascii="Times New Roman" w:eastAsia="Times New Roman" w:hAnsi="Times New Roman" w:cs="Times New Roman"/>
          <w:color w:val="000000"/>
          <w:sz w:val="24"/>
          <w:szCs w:val="24"/>
          <w:highlight w:val="white"/>
        </w:rPr>
        <w:t>  Accessed June 13, 2019. </w:t>
      </w:r>
    </w:p>
    <w:p w14:paraId="0000012E"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2F" w14:textId="5ED9D5DC"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222222"/>
          <w:sz w:val="24"/>
          <w:szCs w:val="24"/>
          <w:highlight w:val="white"/>
        </w:rPr>
        <w:t>Falk‐Petersen, S., </w:t>
      </w:r>
      <w:proofErr w:type="spellStart"/>
      <w:r>
        <w:rPr>
          <w:rFonts w:ascii="Times New Roman" w:eastAsia="Times New Roman" w:hAnsi="Times New Roman" w:cs="Times New Roman"/>
          <w:color w:val="222222"/>
          <w:sz w:val="24"/>
          <w:szCs w:val="24"/>
          <w:highlight w:val="white"/>
        </w:rPr>
        <w:t>Haug</w:t>
      </w:r>
      <w:proofErr w:type="spellEnd"/>
      <w:r>
        <w:rPr>
          <w:rFonts w:ascii="Times New Roman" w:eastAsia="Times New Roman" w:hAnsi="Times New Roman" w:cs="Times New Roman"/>
          <w:color w:val="222222"/>
          <w:sz w:val="24"/>
          <w:szCs w:val="24"/>
          <w:highlight w:val="white"/>
        </w:rPr>
        <w:t>, T., </w:t>
      </w:r>
      <w:proofErr w:type="spellStart"/>
      <w:r>
        <w:rPr>
          <w:rFonts w:ascii="Times New Roman" w:eastAsia="Times New Roman" w:hAnsi="Times New Roman" w:cs="Times New Roman"/>
          <w:color w:val="222222"/>
          <w:sz w:val="24"/>
          <w:szCs w:val="24"/>
          <w:highlight w:val="white"/>
        </w:rPr>
        <w:t>Nilssen</w:t>
      </w:r>
      <w:proofErr w:type="spellEnd"/>
      <w:r>
        <w:rPr>
          <w:rFonts w:ascii="Times New Roman" w:eastAsia="Times New Roman" w:hAnsi="Times New Roman" w:cs="Times New Roman"/>
          <w:color w:val="222222"/>
          <w:sz w:val="24"/>
          <w:szCs w:val="24"/>
          <w:highlight w:val="white"/>
        </w:rPr>
        <w:t>, K. T., </w:t>
      </w:r>
      <w:proofErr w:type="spellStart"/>
      <w:r>
        <w:rPr>
          <w:rFonts w:ascii="Times New Roman" w:eastAsia="Times New Roman" w:hAnsi="Times New Roman" w:cs="Times New Roman"/>
          <w:color w:val="222222"/>
          <w:sz w:val="24"/>
          <w:szCs w:val="24"/>
          <w:highlight w:val="white"/>
        </w:rPr>
        <w:t>Wold</w:t>
      </w:r>
      <w:proofErr w:type="spellEnd"/>
      <w:r>
        <w:rPr>
          <w:rFonts w:ascii="Times New Roman" w:eastAsia="Times New Roman" w:hAnsi="Times New Roman" w:cs="Times New Roman"/>
          <w:color w:val="222222"/>
          <w:sz w:val="24"/>
          <w:szCs w:val="24"/>
          <w:highlight w:val="white"/>
        </w:rPr>
        <w:t>, A., &amp; Dahl, T. M. (2004). Lipids and trophic linkages in harp seal (</w:t>
      </w:r>
      <w:proofErr w:type="spellStart"/>
      <w:r>
        <w:rPr>
          <w:rFonts w:ascii="Times New Roman" w:eastAsia="Times New Roman" w:hAnsi="Times New Roman" w:cs="Times New Roman"/>
          <w:color w:val="222222"/>
          <w:sz w:val="24"/>
          <w:szCs w:val="24"/>
          <w:highlight w:val="white"/>
        </w:rPr>
        <w:t>Phoca</w:t>
      </w:r>
      <w:proofErr w:type="spellEnd"/>
      <w:r>
        <w:rPr>
          <w:rFonts w:ascii="Times New Roman" w:eastAsia="Times New Roman" w:hAnsi="Times New Roman" w:cs="Times New Roman"/>
          <w:color w:val="222222"/>
          <w:sz w:val="24"/>
          <w:szCs w:val="24"/>
          <w:highlight w:val="white"/>
        </w:rPr>
        <w:t> </w:t>
      </w:r>
      <w:proofErr w:type="spellStart"/>
      <w:r>
        <w:rPr>
          <w:rFonts w:ascii="Times New Roman" w:eastAsia="Times New Roman" w:hAnsi="Times New Roman" w:cs="Times New Roman"/>
          <w:color w:val="222222"/>
          <w:sz w:val="24"/>
          <w:szCs w:val="24"/>
          <w:highlight w:val="white"/>
        </w:rPr>
        <w:t>groenlandica</w:t>
      </w:r>
      <w:proofErr w:type="spellEnd"/>
      <w:r>
        <w:rPr>
          <w:rFonts w:ascii="Times New Roman" w:eastAsia="Times New Roman" w:hAnsi="Times New Roman" w:cs="Times New Roman"/>
          <w:color w:val="222222"/>
          <w:sz w:val="24"/>
          <w:szCs w:val="24"/>
          <w:highlight w:val="white"/>
        </w:rPr>
        <w:t>) from the eastern Barents Sea. </w:t>
      </w:r>
      <w:r>
        <w:rPr>
          <w:rFonts w:ascii="Times New Roman" w:eastAsia="Times New Roman" w:hAnsi="Times New Roman" w:cs="Times New Roman"/>
          <w:i/>
          <w:color w:val="222222"/>
          <w:sz w:val="24"/>
          <w:szCs w:val="24"/>
          <w:highlight w:val="white"/>
        </w:rPr>
        <w:t>Polar Research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23</w:t>
      </w:r>
      <w:r>
        <w:rPr>
          <w:rFonts w:ascii="Times New Roman" w:eastAsia="Times New Roman" w:hAnsi="Times New Roman" w:cs="Times New Roman"/>
          <w:color w:val="222222"/>
          <w:sz w:val="24"/>
          <w:szCs w:val="24"/>
          <w:highlight w:val="white"/>
        </w:rPr>
        <w:t>(1), 43-50. </w:t>
      </w:r>
      <w:r w:rsidR="00721DB1" w:rsidRPr="00721DB1">
        <w:rPr>
          <w:rFonts w:ascii="Times New Roman" w:eastAsia="Times New Roman" w:hAnsi="Times New Roman" w:cs="Times New Roman"/>
          <w:color w:val="222222"/>
          <w:sz w:val="24"/>
          <w:szCs w:val="24"/>
        </w:rPr>
        <w:t>https://doi.org/10.1111/j.1751-8369.2004.tb00128.x</w:t>
      </w:r>
    </w:p>
    <w:p w14:paraId="00000130"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31"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Flockhart, D. T., &amp; Wiebe, K. L. (2007). The role of weather and migration in assortative pairing within the northern flicker (</w:t>
      </w:r>
      <w:proofErr w:type="spellStart"/>
      <w:r>
        <w:rPr>
          <w:rFonts w:ascii="Times New Roman" w:eastAsia="Times New Roman" w:hAnsi="Times New Roman" w:cs="Times New Roman"/>
          <w:color w:val="222222"/>
          <w:sz w:val="24"/>
          <w:szCs w:val="24"/>
          <w:highlight w:val="white"/>
        </w:rPr>
        <w:t>Colaptes</w:t>
      </w:r>
      <w:proofErr w:type="spellEnd"/>
      <w:r>
        <w:rPr>
          <w:rFonts w:ascii="Times New Roman" w:eastAsia="Times New Roman" w:hAnsi="Times New Roman" w:cs="Times New Roman"/>
          <w:color w:val="222222"/>
          <w:sz w:val="24"/>
          <w:szCs w:val="24"/>
          <w:highlight w:val="white"/>
        </w:rPr>
        <w:t> auratus) hybrid zone. </w:t>
      </w:r>
      <w:r>
        <w:rPr>
          <w:rFonts w:ascii="Times New Roman" w:eastAsia="Times New Roman" w:hAnsi="Times New Roman" w:cs="Times New Roman"/>
          <w:i/>
          <w:color w:val="222222"/>
          <w:sz w:val="24"/>
          <w:szCs w:val="24"/>
          <w:highlight w:val="white"/>
        </w:rPr>
        <w:t>Evolutionary Ecology Research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9</w:t>
      </w:r>
      <w:r>
        <w:rPr>
          <w:rFonts w:ascii="Times New Roman" w:eastAsia="Times New Roman" w:hAnsi="Times New Roman" w:cs="Times New Roman"/>
          <w:color w:val="222222"/>
          <w:sz w:val="24"/>
          <w:szCs w:val="24"/>
          <w:highlight w:val="white"/>
        </w:rPr>
        <w:t>(6), 887-903. </w:t>
      </w:r>
    </w:p>
    <w:p w14:paraId="00000132"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35" w14:textId="4534BF72" w:rsidR="00CE25E6" w:rsidRDefault="00153729" w:rsidP="0095793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roofErr w:type="spellStart"/>
      <w:r>
        <w:rPr>
          <w:rFonts w:ascii="Times New Roman" w:eastAsia="Times New Roman" w:hAnsi="Times New Roman" w:cs="Times New Roman"/>
          <w:color w:val="000000"/>
          <w:sz w:val="24"/>
          <w:szCs w:val="24"/>
          <w:highlight w:val="white"/>
        </w:rPr>
        <w:t>Gow</w:t>
      </w:r>
      <w:proofErr w:type="spellEnd"/>
      <w:r>
        <w:rPr>
          <w:rFonts w:ascii="Times New Roman" w:eastAsia="Times New Roman" w:hAnsi="Times New Roman" w:cs="Times New Roman"/>
          <w:color w:val="000000"/>
          <w:sz w:val="24"/>
          <w:szCs w:val="24"/>
          <w:highlight w:val="white"/>
        </w:rPr>
        <w:t>, E. A., Wiebe, K. L., &amp; Higgins, R. J. (2013). Lack of diet segregation during breeding by male and female Northern Flickers foraging on ants</w:t>
      </w:r>
      <w:r>
        <w:rPr>
          <w:rFonts w:ascii="Times New Roman" w:eastAsia="Times New Roman" w:hAnsi="Times New Roman" w:cs="Times New Roman"/>
          <w:i/>
          <w:color w:val="000000"/>
          <w:sz w:val="24"/>
          <w:szCs w:val="24"/>
          <w:highlight w:val="white"/>
        </w:rPr>
        <w:t>. Journal of Field Ornithology, 84</w:t>
      </w:r>
      <w:r>
        <w:rPr>
          <w:rFonts w:ascii="Times New Roman" w:eastAsia="Times New Roman" w:hAnsi="Times New Roman" w:cs="Times New Roman"/>
          <w:color w:val="000000"/>
          <w:sz w:val="24"/>
          <w:szCs w:val="24"/>
          <w:highlight w:val="white"/>
        </w:rPr>
        <w:t>(3), 262–269.</w:t>
      </w:r>
      <w:r w:rsidR="00721DB1">
        <w:rPr>
          <w:rFonts w:ascii="Times New Roman" w:eastAsia="Times New Roman" w:hAnsi="Times New Roman" w:cs="Times New Roman"/>
          <w:color w:val="000000"/>
          <w:sz w:val="24"/>
          <w:szCs w:val="24"/>
          <w:highlight w:val="white"/>
        </w:rPr>
        <w:t xml:space="preserve"> </w:t>
      </w:r>
      <w:r w:rsidR="00721DB1" w:rsidRPr="00721DB1">
        <w:rPr>
          <w:rFonts w:ascii="Times New Roman" w:eastAsia="Times New Roman" w:hAnsi="Times New Roman" w:cs="Times New Roman"/>
          <w:color w:val="000000"/>
          <w:sz w:val="24"/>
          <w:szCs w:val="24"/>
        </w:rPr>
        <w:t>https://doi.org/10.1111/jofo.12025</w:t>
      </w:r>
    </w:p>
    <w:p w14:paraId="67B5D242" w14:textId="4550299C" w:rsidR="00F115C2" w:rsidRDefault="00F115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76B89AA" w14:textId="77777777" w:rsidR="00F115C2" w:rsidRPr="00957932" w:rsidRDefault="00F115C2" w:rsidP="00957932">
      <w:pPr>
        <w:autoSpaceDE w:val="0"/>
        <w:autoSpaceDN w:val="0"/>
        <w:adjustRightInd w:val="0"/>
        <w:spacing w:after="0" w:line="240" w:lineRule="auto"/>
        <w:rPr>
          <w:rFonts w:ascii="Times New Roman" w:hAnsi="Times New Roman" w:cs="Times New Roman"/>
          <w:color w:val="000000"/>
          <w:sz w:val="24"/>
          <w:szCs w:val="24"/>
          <w:lang w:val="en-US"/>
        </w:rPr>
      </w:pPr>
      <w:r w:rsidRPr="00957932">
        <w:rPr>
          <w:rFonts w:ascii="Times New Roman" w:hAnsi="Times New Roman" w:cs="Times New Roman"/>
          <w:color w:val="000000"/>
          <w:sz w:val="24"/>
          <w:szCs w:val="24"/>
          <w:lang w:val="en-US"/>
        </w:rPr>
        <w:t xml:space="preserve">Guiry EJ, Szpak P, Richards MP, 2016. Effects of lipid extraction and ultrafiltration on stable carbon and nitrogen isotopic compositions of fish bone collagen. </w:t>
      </w:r>
      <w:r w:rsidRPr="00957932">
        <w:rPr>
          <w:rFonts w:ascii="Times New Roman" w:hAnsi="Times New Roman" w:cs="Times New Roman"/>
          <w:i/>
          <w:iCs/>
          <w:color w:val="000000"/>
          <w:sz w:val="24"/>
          <w:szCs w:val="24"/>
          <w:lang w:val="en-US"/>
        </w:rPr>
        <w:t>Rapid Communications in Mass Spectrometry</w:t>
      </w:r>
      <w:r w:rsidRPr="00957932">
        <w:rPr>
          <w:rFonts w:ascii="Times New Roman" w:hAnsi="Times New Roman" w:cs="Times New Roman"/>
          <w:color w:val="000000"/>
          <w:sz w:val="24"/>
          <w:szCs w:val="24"/>
          <w:lang w:val="en-US"/>
        </w:rPr>
        <w:t xml:space="preserve"> 30, 1591-1600. doi:10.1002/rcm.7590</w:t>
      </w:r>
    </w:p>
    <w:p w14:paraId="438CF621" w14:textId="77777777" w:rsidR="00F115C2" w:rsidRDefault="00F115C2" w:rsidP="00F115C2">
      <w:pPr>
        <w:pStyle w:val="CommentText"/>
      </w:pPr>
    </w:p>
    <w:p w14:paraId="2F591446" w14:textId="11CB32BF" w:rsidR="00F115C2" w:rsidRPr="00721DB1" w:rsidRDefault="00F115C2" w:rsidP="00F115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sidRPr="00957932">
        <w:rPr>
          <w:rFonts w:ascii="Times New Roman" w:hAnsi="Times New Roman" w:cs="Times New Roman"/>
          <w:color w:val="000000"/>
          <w:sz w:val="24"/>
          <w:szCs w:val="24"/>
          <w:lang w:val="en-US"/>
        </w:rPr>
        <w:t xml:space="preserve">Guiry EJ, Szpak P, 2020. Quality control for modern bone collagen stable carbon and nitrogen isotope measurements. </w:t>
      </w:r>
      <w:r w:rsidRPr="00957932">
        <w:rPr>
          <w:rFonts w:ascii="Times New Roman" w:hAnsi="Times New Roman" w:cs="Times New Roman"/>
          <w:i/>
          <w:iCs/>
          <w:color w:val="000000"/>
          <w:sz w:val="24"/>
          <w:szCs w:val="24"/>
          <w:lang w:val="en-US"/>
        </w:rPr>
        <w:t>Methods in Ecology and Evolution</w:t>
      </w:r>
      <w:r w:rsidRPr="00957932">
        <w:rPr>
          <w:rFonts w:ascii="Times New Roman" w:hAnsi="Times New Roman" w:cs="Times New Roman"/>
          <w:color w:val="000000"/>
          <w:sz w:val="24"/>
          <w:szCs w:val="24"/>
          <w:lang w:val="en-US"/>
        </w:rPr>
        <w:t xml:space="preserve"> 11, 1049-1060. doi:10.1111/2041-210X.13433</w:t>
      </w:r>
    </w:p>
    <w:p w14:paraId="00000136"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37"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Hulson</w:t>
      </w:r>
      <w:proofErr w:type="spellEnd"/>
      <w:r>
        <w:rPr>
          <w:rFonts w:ascii="Times New Roman" w:eastAsia="Times New Roman" w:hAnsi="Times New Roman" w:cs="Times New Roman"/>
          <w:color w:val="222222"/>
          <w:sz w:val="24"/>
          <w:szCs w:val="24"/>
          <w:highlight w:val="white"/>
        </w:rPr>
        <w:t>, P. J., </w:t>
      </w:r>
      <w:proofErr w:type="spellStart"/>
      <w:r>
        <w:rPr>
          <w:rFonts w:ascii="Times New Roman" w:eastAsia="Times New Roman" w:hAnsi="Times New Roman" w:cs="Times New Roman"/>
          <w:color w:val="222222"/>
          <w:sz w:val="24"/>
          <w:szCs w:val="24"/>
          <w:highlight w:val="white"/>
        </w:rPr>
        <w:t>Hanselman</w:t>
      </w:r>
      <w:proofErr w:type="spellEnd"/>
      <w:r>
        <w:rPr>
          <w:rFonts w:ascii="Times New Roman" w:eastAsia="Times New Roman" w:hAnsi="Times New Roman" w:cs="Times New Roman"/>
          <w:color w:val="222222"/>
          <w:sz w:val="24"/>
          <w:szCs w:val="24"/>
          <w:highlight w:val="white"/>
        </w:rPr>
        <w:t>, D. H., Lunsford, C. R., &amp; </w:t>
      </w:r>
      <w:proofErr w:type="spellStart"/>
      <w:r>
        <w:rPr>
          <w:rFonts w:ascii="Times New Roman" w:eastAsia="Times New Roman" w:hAnsi="Times New Roman" w:cs="Times New Roman"/>
          <w:color w:val="222222"/>
          <w:sz w:val="24"/>
          <w:szCs w:val="24"/>
          <w:highlight w:val="white"/>
        </w:rPr>
        <w:t>Fissel</w:t>
      </w:r>
      <w:proofErr w:type="spellEnd"/>
      <w:r>
        <w:rPr>
          <w:rFonts w:ascii="Times New Roman" w:eastAsia="Times New Roman" w:hAnsi="Times New Roman" w:cs="Times New Roman"/>
          <w:color w:val="222222"/>
          <w:sz w:val="24"/>
          <w:szCs w:val="24"/>
          <w:highlight w:val="white"/>
        </w:rPr>
        <w:t>, B. (2017) Assessment of the </w:t>
      </w:r>
      <w:proofErr w:type="gramStart"/>
      <w:r>
        <w:rPr>
          <w:rFonts w:ascii="Times New Roman" w:eastAsia="Times New Roman" w:hAnsi="Times New Roman" w:cs="Times New Roman"/>
          <w:color w:val="222222"/>
          <w:sz w:val="24"/>
          <w:szCs w:val="24"/>
          <w:highlight w:val="white"/>
        </w:rPr>
        <w:t>Pacific ocean</w:t>
      </w:r>
      <w:proofErr w:type="gramEnd"/>
      <w:r>
        <w:rPr>
          <w:rFonts w:ascii="Times New Roman" w:eastAsia="Times New Roman" w:hAnsi="Times New Roman" w:cs="Times New Roman"/>
          <w:color w:val="222222"/>
          <w:sz w:val="24"/>
          <w:szCs w:val="24"/>
          <w:highlight w:val="white"/>
        </w:rPr>
        <w:t> perch stock in the Gulf of Alaska. In Stock Assessment and Fishery Evaluation Report for the Groundfish Resources of the Gulf of Alaska, </w:t>
      </w:r>
      <w:proofErr w:type="spellStart"/>
      <w:r>
        <w:rPr>
          <w:rFonts w:ascii="Times New Roman" w:eastAsia="Times New Roman" w:hAnsi="Times New Roman" w:cs="Times New Roman"/>
          <w:color w:val="222222"/>
          <w:sz w:val="24"/>
          <w:szCs w:val="24"/>
          <w:highlight w:val="white"/>
        </w:rPr>
        <w:t>chpt</w:t>
      </w:r>
      <w:proofErr w:type="spellEnd"/>
      <w:r>
        <w:rPr>
          <w:rFonts w:ascii="Times New Roman" w:eastAsia="Times New Roman" w:hAnsi="Times New Roman" w:cs="Times New Roman"/>
          <w:color w:val="222222"/>
          <w:sz w:val="24"/>
          <w:szCs w:val="24"/>
          <w:highlight w:val="white"/>
        </w:rPr>
        <w:t>. 9. Anchorage, AK: North Pacific Fishery Management Council. </w:t>
      </w:r>
    </w:p>
    <w:p w14:paraId="00000138"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39"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222222"/>
          <w:sz w:val="24"/>
          <w:szCs w:val="24"/>
          <w:highlight w:val="white"/>
        </w:rPr>
        <w:t>Manitoba Pork (2019). </w:t>
      </w:r>
      <w:r>
        <w:rPr>
          <w:rFonts w:ascii="Times New Roman" w:eastAsia="Times New Roman" w:hAnsi="Times New Roman" w:cs="Times New Roman"/>
          <w:i/>
          <w:color w:val="222222"/>
          <w:sz w:val="24"/>
          <w:szCs w:val="24"/>
          <w:highlight w:val="white"/>
        </w:rPr>
        <w:t>What Do Pigs Eat?</w:t>
      </w:r>
      <w:r>
        <w:rPr>
          <w:rFonts w:ascii="Times New Roman" w:eastAsia="Times New Roman" w:hAnsi="Times New Roman" w:cs="Times New Roman"/>
          <w:color w:val="222222"/>
          <w:sz w:val="24"/>
          <w:szCs w:val="24"/>
          <w:highlight w:val="white"/>
        </w:rPr>
        <w:t xml:space="preserve">  https://www.manitobapork.com/on-the-farm/how-pigs-are-raised/what-do-pigs-eat </w:t>
      </w:r>
      <w:r>
        <w:rPr>
          <w:rFonts w:ascii="Times New Roman" w:eastAsia="Times New Roman" w:hAnsi="Times New Roman" w:cs="Times New Roman"/>
          <w:color w:val="000000"/>
          <w:sz w:val="24"/>
          <w:szCs w:val="24"/>
          <w:highlight w:val="white"/>
        </w:rPr>
        <w:t>Accessed May 29, 2019. </w:t>
      </w:r>
    </w:p>
    <w:p w14:paraId="0000013A"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p>
    <w:p w14:paraId="0000013B" w14:textId="186F6368"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Marchewka</w:t>
      </w:r>
      <w:proofErr w:type="spellEnd"/>
      <w:r>
        <w:rPr>
          <w:rFonts w:ascii="Times New Roman" w:eastAsia="Times New Roman" w:hAnsi="Times New Roman" w:cs="Times New Roman"/>
          <w:color w:val="222222"/>
          <w:sz w:val="24"/>
          <w:szCs w:val="24"/>
          <w:highlight w:val="white"/>
        </w:rPr>
        <w:t>, J., Watanabe, T. T. N., Ferrante, V., &amp; Estevez, I. (2013). Review of the social and environmental factors affecting the behavior and welfare of turkeys (Meleagris gallopavo). </w:t>
      </w:r>
      <w:r>
        <w:rPr>
          <w:rFonts w:ascii="Times New Roman" w:eastAsia="Times New Roman" w:hAnsi="Times New Roman" w:cs="Times New Roman"/>
          <w:i/>
          <w:color w:val="222222"/>
          <w:sz w:val="24"/>
          <w:szCs w:val="24"/>
          <w:highlight w:val="white"/>
        </w:rPr>
        <w:t>Poultry Science</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92</w:t>
      </w:r>
      <w:r>
        <w:rPr>
          <w:rFonts w:ascii="Times New Roman" w:eastAsia="Times New Roman" w:hAnsi="Times New Roman" w:cs="Times New Roman"/>
          <w:color w:val="222222"/>
          <w:sz w:val="24"/>
          <w:szCs w:val="24"/>
          <w:highlight w:val="white"/>
        </w:rPr>
        <w:t>(6), 1467-1473. </w:t>
      </w:r>
      <w:r w:rsidR="00721DB1" w:rsidRPr="00721DB1">
        <w:rPr>
          <w:rFonts w:ascii="Times New Roman" w:eastAsia="Times New Roman" w:hAnsi="Times New Roman" w:cs="Times New Roman"/>
          <w:color w:val="222222"/>
          <w:sz w:val="24"/>
          <w:szCs w:val="24"/>
        </w:rPr>
        <w:t>https://doi.org/10.3382/ps.2012-02943</w:t>
      </w:r>
    </w:p>
    <w:p w14:paraId="0000013C"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3D" w14:textId="080652BF"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Morrison, M. L., &amp; With, K. A. (1987). </w:t>
      </w:r>
      <w:proofErr w:type="spellStart"/>
      <w:r>
        <w:rPr>
          <w:rFonts w:ascii="Times New Roman" w:eastAsia="Times New Roman" w:hAnsi="Times New Roman" w:cs="Times New Roman"/>
          <w:color w:val="222222"/>
          <w:sz w:val="24"/>
          <w:szCs w:val="24"/>
          <w:highlight w:val="white"/>
        </w:rPr>
        <w:t>Interseasonal</w:t>
      </w:r>
      <w:proofErr w:type="spellEnd"/>
      <w:r>
        <w:rPr>
          <w:rFonts w:ascii="Times New Roman" w:eastAsia="Times New Roman" w:hAnsi="Times New Roman" w:cs="Times New Roman"/>
          <w:color w:val="222222"/>
          <w:sz w:val="24"/>
          <w:szCs w:val="24"/>
          <w:highlight w:val="white"/>
        </w:rPr>
        <w:t> and intersexual resource partitioning in hairy and white-headed woodpeckers. </w:t>
      </w:r>
      <w:r>
        <w:rPr>
          <w:rFonts w:ascii="Times New Roman" w:eastAsia="Times New Roman" w:hAnsi="Times New Roman" w:cs="Times New Roman"/>
          <w:i/>
          <w:color w:val="222222"/>
          <w:sz w:val="24"/>
          <w:szCs w:val="24"/>
          <w:highlight w:val="white"/>
        </w:rPr>
        <w:t>The Auk</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104</w:t>
      </w:r>
      <w:r>
        <w:rPr>
          <w:rFonts w:ascii="Times New Roman" w:eastAsia="Times New Roman" w:hAnsi="Times New Roman" w:cs="Times New Roman"/>
          <w:color w:val="222222"/>
          <w:sz w:val="24"/>
          <w:szCs w:val="24"/>
          <w:highlight w:val="white"/>
        </w:rPr>
        <w:t>(2), 225-233. </w:t>
      </w:r>
      <w:r w:rsidR="00721DB1" w:rsidRPr="00721DB1">
        <w:rPr>
          <w:rFonts w:ascii="Times New Roman" w:eastAsia="Times New Roman" w:hAnsi="Times New Roman" w:cs="Times New Roman"/>
          <w:color w:val="222222"/>
          <w:sz w:val="24"/>
          <w:szCs w:val="24"/>
        </w:rPr>
        <w:t>https://doi.org/10.1093/auk/104.2.225</w:t>
      </w:r>
    </w:p>
    <w:p w14:paraId="0000013E"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3F" w14:textId="13A164C3" w:rsidR="00CE25E6" w:rsidRDefault="00153729" w:rsidP="00957932">
      <w:pPr>
        <w:pBdr>
          <w:top w:val="nil"/>
          <w:left w:val="nil"/>
          <w:bottom w:val="nil"/>
          <w:right w:val="nil"/>
          <w:between w:val="nil"/>
        </w:pBdr>
        <w:spacing w:after="0" w:line="240" w:lineRule="auto"/>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lastRenderedPageBreak/>
        <w:t>Palof</w:t>
      </w:r>
      <w:proofErr w:type="spellEnd"/>
      <w:r>
        <w:rPr>
          <w:rFonts w:ascii="Times New Roman" w:eastAsia="Times New Roman" w:hAnsi="Times New Roman" w:cs="Times New Roman"/>
          <w:color w:val="222222"/>
          <w:sz w:val="24"/>
          <w:szCs w:val="24"/>
          <w:highlight w:val="white"/>
        </w:rPr>
        <w:t>, K. J., Heifetz, J., &amp; </w:t>
      </w:r>
      <w:proofErr w:type="spellStart"/>
      <w:r>
        <w:rPr>
          <w:rFonts w:ascii="Times New Roman" w:eastAsia="Times New Roman" w:hAnsi="Times New Roman" w:cs="Times New Roman"/>
          <w:color w:val="222222"/>
          <w:sz w:val="24"/>
          <w:szCs w:val="24"/>
          <w:highlight w:val="white"/>
        </w:rPr>
        <w:t>Gharrett</w:t>
      </w:r>
      <w:proofErr w:type="spellEnd"/>
      <w:r>
        <w:rPr>
          <w:rFonts w:ascii="Times New Roman" w:eastAsia="Times New Roman" w:hAnsi="Times New Roman" w:cs="Times New Roman"/>
          <w:color w:val="222222"/>
          <w:sz w:val="24"/>
          <w:szCs w:val="24"/>
          <w:highlight w:val="white"/>
        </w:rPr>
        <w:t>, A. J. (2011). Geographic structure in Alaskan </w:t>
      </w:r>
      <w:proofErr w:type="gramStart"/>
      <w:r>
        <w:rPr>
          <w:rFonts w:ascii="Times New Roman" w:eastAsia="Times New Roman" w:hAnsi="Times New Roman" w:cs="Times New Roman"/>
          <w:color w:val="222222"/>
          <w:sz w:val="24"/>
          <w:szCs w:val="24"/>
          <w:highlight w:val="white"/>
        </w:rPr>
        <w:t>Pacific ocean</w:t>
      </w:r>
      <w:proofErr w:type="gramEnd"/>
      <w:r>
        <w:rPr>
          <w:rFonts w:ascii="Times New Roman" w:eastAsia="Times New Roman" w:hAnsi="Times New Roman" w:cs="Times New Roman"/>
          <w:color w:val="222222"/>
          <w:sz w:val="24"/>
          <w:szCs w:val="24"/>
          <w:highlight w:val="white"/>
        </w:rPr>
        <w:t> perch (Sebastes </w:t>
      </w:r>
      <w:proofErr w:type="spellStart"/>
      <w:r>
        <w:rPr>
          <w:rFonts w:ascii="Times New Roman" w:eastAsia="Times New Roman" w:hAnsi="Times New Roman" w:cs="Times New Roman"/>
          <w:color w:val="222222"/>
          <w:sz w:val="24"/>
          <w:szCs w:val="24"/>
          <w:highlight w:val="white"/>
        </w:rPr>
        <w:t>alutus</w:t>
      </w:r>
      <w:proofErr w:type="spellEnd"/>
      <w:r>
        <w:rPr>
          <w:rFonts w:ascii="Times New Roman" w:eastAsia="Times New Roman" w:hAnsi="Times New Roman" w:cs="Times New Roman"/>
          <w:color w:val="222222"/>
          <w:sz w:val="24"/>
          <w:szCs w:val="24"/>
          <w:highlight w:val="white"/>
        </w:rPr>
        <w:t>) indicates limited lifetime dispersal. </w:t>
      </w:r>
      <w:r>
        <w:rPr>
          <w:rFonts w:ascii="Times New Roman" w:eastAsia="Times New Roman" w:hAnsi="Times New Roman" w:cs="Times New Roman"/>
          <w:i/>
          <w:color w:val="222222"/>
          <w:sz w:val="24"/>
          <w:szCs w:val="24"/>
          <w:highlight w:val="white"/>
        </w:rPr>
        <w:t>Marine Biology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highlight w:val="white"/>
        </w:rPr>
        <w:t>158</w:t>
      </w:r>
      <w:r>
        <w:rPr>
          <w:rFonts w:ascii="Times New Roman" w:eastAsia="Times New Roman" w:hAnsi="Times New Roman" w:cs="Times New Roman"/>
          <w:color w:val="222222"/>
          <w:sz w:val="24"/>
          <w:szCs w:val="24"/>
          <w:highlight w:val="white"/>
        </w:rPr>
        <w:t>(4), 779-792.</w:t>
      </w:r>
      <w:r w:rsidR="00721DB1">
        <w:rPr>
          <w:rFonts w:ascii="Times New Roman" w:eastAsia="Times New Roman" w:hAnsi="Times New Roman" w:cs="Times New Roman"/>
          <w:color w:val="222222"/>
          <w:sz w:val="24"/>
          <w:szCs w:val="24"/>
          <w:highlight w:val="white"/>
        </w:rPr>
        <w:t xml:space="preserve"> </w:t>
      </w:r>
      <w:r w:rsidR="00721DB1" w:rsidRPr="00721DB1">
        <w:rPr>
          <w:rFonts w:ascii="Times New Roman" w:eastAsia="Times New Roman" w:hAnsi="Times New Roman" w:cs="Times New Roman"/>
          <w:color w:val="222222"/>
          <w:sz w:val="24"/>
          <w:szCs w:val="24"/>
        </w:rPr>
        <w:t>https://doi.org/10.1007/s00227-010-1606-2</w:t>
      </w:r>
    </w:p>
    <w:p w14:paraId="00000140"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0000143"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Sibley, D. A. (2003).  </w:t>
      </w:r>
      <w:r>
        <w:rPr>
          <w:rFonts w:ascii="Times New Roman" w:eastAsia="Times New Roman" w:hAnsi="Times New Roman" w:cs="Times New Roman"/>
          <w:i/>
          <w:color w:val="000000"/>
          <w:sz w:val="24"/>
          <w:szCs w:val="24"/>
          <w:highlight w:val="white"/>
        </w:rPr>
        <w:t>The Sibley Field Guide to Birds of Eastern North America</w:t>
      </w:r>
      <w:r>
        <w:rPr>
          <w:rFonts w:ascii="Times New Roman" w:eastAsia="Times New Roman" w:hAnsi="Times New Roman" w:cs="Times New Roman"/>
          <w:color w:val="000000"/>
          <w:sz w:val="24"/>
          <w:szCs w:val="24"/>
          <w:highlight w:val="white"/>
        </w:rPr>
        <w:t>.  Alfred A. Knopf, New York. </w:t>
      </w:r>
    </w:p>
    <w:p w14:paraId="00000144"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45" w14:textId="77777777" w:rsidR="00CE25E6" w:rsidRDefault="0015372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Turkey Farmers of Canada (2019).  </w:t>
      </w:r>
      <w:r>
        <w:rPr>
          <w:rFonts w:ascii="Times New Roman" w:eastAsia="Times New Roman" w:hAnsi="Times New Roman" w:cs="Times New Roman"/>
          <w:i/>
          <w:color w:val="000000"/>
          <w:sz w:val="24"/>
          <w:szCs w:val="24"/>
          <w:highlight w:val="white"/>
        </w:rPr>
        <w:t>What Turkeys Eat</w:t>
      </w:r>
      <w:r>
        <w:rPr>
          <w:rFonts w:ascii="Times New Roman" w:eastAsia="Times New Roman" w:hAnsi="Times New Roman" w:cs="Times New Roman"/>
          <w:color w:val="000000"/>
          <w:sz w:val="24"/>
          <w:szCs w:val="24"/>
          <w:highlight w:val="white"/>
        </w:rPr>
        <w:t>.  https://www.turkeyfarmersofcanada.ca/on-the-farm/what-turkeys-eat-3/ Accessed May 26, 2019. </w:t>
      </w:r>
    </w:p>
    <w:p w14:paraId="00000146"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48" w14:textId="77777777" w:rsidR="00CE25E6" w:rsidRDefault="00CE25E6">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p>
    <w:p w14:paraId="01E84988" w14:textId="77777777" w:rsidR="00721DB1" w:rsidRDefault="00153729" w:rsidP="00721DB1">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Villard, P., &amp; </w:t>
      </w:r>
      <w:proofErr w:type="spellStart"/>
      <w:r>
        <w:rPr>
          <w:rFonts w:ascii="Times New Roman" w:eastAsia="Times New Roman" w:hAnsi="Times New Roman" w:cs="Times New Roman"/>
          <w:color w:val="222222"/>
          <w:sz w:val="24"/>
          <w:szCs w:val="24"/>
          <w:highlight w:val="white"/>
        </w:rPr>
        <w:t>Beninger</w:t>
      </w:r>
      <w:proofErr w:type="spellEnd"/>
      <w:r>
        <w:rPr>
          <w:rFonts w:ascii="Times New Roman" w:eastAsia="Times New Roman" w:hAnsi="Times New Roman" w:cs="Times New Roman"/>
          <w:color w:val="222222"/>
          <w:sz w:val="24"/>
          <w:szCs w:val="24"/>
          <w:highlight w:val="white"/>
        </w:rPr>
        <w:t>, C. W. (1993). Foraging behavior of male Black-backed and Hairy Woodpeckers in a forest burn (</w:t>
      </w:r>
      <w:proofErr w:type="spellStart"/>
      <w:r>
        <w:rPr>
          <w:rFonts w:ascii="Times New Roman" w:eastAsia="Times New Roman" w:hAnsi="Times New Roman" w:cs="Times New Roman"/>
          <w:color w:val="222222"/>
          <w:sz w:val="24"/>
          <w:szCs w:val="24"/>
          <w:highlight w:val="white"/>
        </w:rPr>
        <w:t>Conducta</w:t>
      </w:r>
      <w:proofErr w:type="spellEnd"/>
      <w:r>
        <w:rPr>
          <w:rFonts w:ascii="Times New Roman" w:eastAsia="Times New Roman" w:hAnsi="Times New Roman" w:cs="Times New Roman"/>
          <w:color w:val="222222"/>
          <w:sz w:val="24"/>
          <w:szCs w:val="24"/>
          <w:highlight w:val="white"/>
        </w:rPr>
        <w:t> de </w:t>
      </w:r>
      <w:proofErr w:type="spellStart"/>
      <w:r>
        <w:rPr>
          <w:rFonts w:ascii="Times New Roman" w:eastAsia="Times New Roman" w:hAnsi="Times New Roman" w:cs="Times New Roman"/>
          <w:color w:val="222222"/>
          <w:sz w:val="24"/>
          <w:szCs w:val="24"/>
          <w:highlight w:val="white"/>
        </w:rPr>
        <w:t>Forrajeo</w:t>
      </w:r>
      <w:proofErr w:type="spellEnd"/>
      <w:r>
        <w:rPr>
          <w:rFonts w:ascii="Times New Roman" w:eastAsia="Times New Roman" w:hAnsi="Times New Roman" w:cs="Times New Roman"/>
          <w:color w:val="222222"/>
          <w:sz w:val="24"/>
          <w:szCs w:val="24"/>
          <w:highlight w:val="white"/>
        </w:rPr>
        <w:t> de </w:t>
      </w:r>
      <w:proofErr w:type="spellStart"/>
      <w:r>
        <w:rPr>
          <w:rFonts w:ascii="Times New Roman" w:eastAsia="Times New Roman" w:hAnsi="Times New Roman" w:cs="Times New Roman"/>
          <w:color w:val="222222"/>
          <w:sz w:val="24"/>
          <w:szCs w:val="24"/>
          <w:highlight w:val="white"/>
        </w:rPr>
        <w:t>Individuos</w:t>
      </w:r>
      <w:proofErr w:type="spellEnd"/>
      <w:r>
        <w:rPr>
          <w:rFonts w:ascii="Times New Roman" w:eastAsia="Times New Roman" w:hAnsi="Times New Roman" w:cs="Times New Roman"/>
          <w:color w:val="222222"/>
          <w:sz w:val="24"/>
          <w:szCs w:val="24"/>
          <w:highlight w:val="white"/>
        </w:rPr>
        <w:t> Machos de los </w:t>
      </w:r>
      <w:proofErr w:type="spellStart"/>
      <w:r>
        <w:rPr>
          <w:rFonts w:ascii="Times New Roman" w:eastAsia="Times New Roman" w:hAnsi="Times New Roman" w:cs="Times New Roman"/>
          <w:color w:val="222222"/>
          <w:sz w:val="24"/>
          <w:szCs w:val="24"/>
          <w:highlight w:val="white"/>
        </w:rPr>
        <w:t>Carpinteros</w:t>
      </w:r>
      <w:proofErr w:type="spellEnd"/>
      <w:r>
        <w:rPr>
          <w:rFonts w:ascii="Times New Roman" w:eastAsia="Times New Roman" w:hAnsi="Times New Roman" w:cs="Times New Roman"/>
          <w:color w:val="222222"/>
          <w:sz w:val="24"/>
          <w:szCs w:val="24"/>
          <w:highlight w:val="white"/>
        </w:rPr>
        <w:t> </w:t>
      </w:r>
      <w:proofErr w:type="spellStart"/>
      <w:r>
        <w:rPr>
          <w:rFonts w:ascii="Times New Roman" w:eastAsia="Times New Roman" w:hAnsi="Times New Roman" w:cs="Times New Roman"/>
          <w:color w:val="222222"/>
          <w:sz w:val="24"/>
          <w:szCs w:val="24"/>
          <w:highlight w:val="white"/>
        </w:rPr>
        <w:t>Picoides</w:t>
      </w:r>
      <w:proofErr w:type="spellEnd"/>
      <w:r>
        <w:rPr>
          <w:rFonts w:ascii="Times New Roman" w:eastAsia="Times New Roman" w:hAnsi="Times New Roman" w:cs="Times New Roman"/>
          <w:color w:val="222222"/>
          <w:sz w:val="24"/>
          <w:szCs w:val="24"/>
          <w:highlight w:val="white"/>
        </w:rPr>
        <w:t> </w:t>
      </w:r>
      <w:proofErr w:type="spellStart"/>
      <w:r>
        <w:rPr>
          <w:rFonts w:ascii="Times New Roman" w:eastAsia="Times New Roman" w:hAnsi="Times New Roman" w:cs="Times New Roman"/>
          <w:color w:val="222222"/>
          <w:sz w:val="24"/>
          <w:szCs w:val="24"/>
          <w:highlight w:val="white"/>
        </w:rPr>
        <w:t>villosus</w:t>
      </w:r>
      <w:proofErr w:type="spellEnd"/>
      <w:r>
        <w:rPr>
          <w:rFonts w:ascii="Times New Roman" w:eastAsia="Times New Roman" w:hAnsi="Times New Roman" w:cs="Times New Roman"/>
          <w:color w:val="222222"/>
          <w:sz w:val="24"/>
          <w:szCs w:val="24"/>
          <w:highlight w:val="white"/>
        </w:rPr>
        <w:t> y P. arcticus </w:t>
      </w:r>
      <w:proofErr w:type="spellStart"/>
      <w:r>
        <w:rPr>
          <w:rFonts w:ascii="Times New Roman" w:eastAsia="Times New Roman" w:hAnsi="Times New Roman" w:cs="Times New Roman"/>
          <w:color w:val="222222"/>
          <w:sz w:val="24"/>
          <w:szCs w:val="24"/>
          <w:highlight w:val="white"/>
        </w:rPr>
        <w:t>en</w:t>
      </w:r>
      <w:proofErr w:type="spellEnd"/>
      <w:r>
        <w:rPr>
          <w:rFonts w:ascii="Times New Roman" w:eastAsia="Times New Roman" w:hAnsi="Times New Roman" w:cs="Times New Roman"/>
          <w:color w:val="222222"/>
          <w:sz w:val="24"/>
          <w:szCs w:val="24"/>
          <w:highlight w:val="white"/>
        </w:rPr>
        <w:t> un </w:t>
      </w:r>
      <w:proofErr w:type="spellStart"/>
      <w:r>
        <w:rPr>
          <w:color w:val="222222"/>
          <w:sz w:val="24"/>
          <w:szCs w:val="24"/>
          <w:highlight w:val="white"/>
        </w:rPr>
        <w:t>Área</w:t>
      </w:r>
      <w:proofErr w:type="spellEnd"/>
      <w:r>
        <w:rPr>
          <w:rFonts w:ascii="Times New Roman" w:eastAsia="Times New Roman" w:hAnsi="Times New Roman" w:cs="Times New Roman"/>
          <w:color w:val="222222"/>
          <w:sz w:val="24"/>
          <w:szCs w:val="24"/>
          <w:highlight w:val="white"/>
        </w:rPr>
        <w:t> </w:t>
      </w:r>
      <w:proofErr w:type="spellStart"/>
      <w:r>
        <w:rPr>
          <w:rFonts w:ascii="Times New Roman" w:eastAsia="Times New Roman" w:hAnsi="Times New Roman" w:cs="Times New Roman"/>
          <w:color w:val="222222"/>
          <w:sz w:val="24"/>
          <w:szCs w:val="24"/>
          <w:highlight w:val="white"/>
        </w:rPr>
        <w:t>Forestal</w:t>
      </w:r>
      <w:proofErr w:type="spellEnd"/>
      <w:r>
        <w:rPr>
          <w:rFonts w:ascii="Times New Roman" w:eastAsia="Times New Roman" w:hAnsi="Times New Roman" w:cs="Times New Roman"/>
          <w:color w:val="222222"/>
          <w:sz w:val="24"/>
          <w:szCs w:val="24"/>
          <w:highlight w:val="white"/>
        </w:rPr>
        <w:t> Quemada). </w:t>
      </w:r>
      <w:r>
        <w:rPr>
          <w:rFonts w:ascii="Times New Roman" w:eastAsia="Times New Roman" w:hAnsi="Times New Roman" w:cs="Times New Roman"/>
          <w:i/>
          <w:color w:val="222222"/>
          <w:sz w:val="24"/>
          <w:szCs w:val="24"/>
          <w:highlight w:val="white"/>
        </w:rPr>
        <w:t>Journal of Field Ornithology</w:t>
      </w:r>
      <w:r>
        <w:rPr>
          <w:rFonts w:ascii="Times New Roman" w:eastAsia="Times New Roman" w:hAnsi="Times New Roman" w:cs="Times New Roman"/>
          <w:color w:val="222222"/>
          <w:sz w:val="24"/>
          <w:szCs w:val="24"/>
          <w:highlight w:val="white"/>
        </w:rPr>
        <w:t>, 71-76.</w:t>
      </w:r>
    </w:p>
    <w:p w14:paraId="00000149" w14:textId="3430B39E" w:rsidR="00CE25E6" w:rsidRDefault="00721DB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721DB1">
        <w:rPr>
          <w:rFonts w:ascii="Times New Roman" w:eastAsia="Times New Roman" w:hAnsi="Times New Roman" w:cs="Times New Roman"/>
          <w:color w:val="222222"/>
          <w:sz w:val="24"/>
          <w:szCs w:val="24"/>
        </w:rPr>
        <w:t>https://www.jstor.org/stable/4513772</w:t>
      </w:r>
    </w:p>
    <w:bookmarkEnd w:id="1"/>
    <w:p w14:paraId="000001DA" w14:textId="77777777" w:rsidR="00CE25E6" w:rsidRDefault="00CE25E6">
      <w:pPr>
        <w:tabs>
          <w:tab w:val="left" w:pos="5595"/>
        </w:tabs>
        <w:rPr>
          <w:rFonts w:ascii="Times New Roman" w:eastAsia="Times New Roman" w:hAnsi="Times New Roman" w:cs="Times New Roman"/>
          <w:sz w:val="24"/>
          <w:szCs w:val="24"/>
        </w:rPr>
      </w:pPr>
    </w:p>
    <w:sectPr w:rsidR="00CE25E6" w:rsidSect="00957932">
      <w:pgSz w:w="12240" w:h="15840"/>
      <w:pgMar w:top="1134" w:right="1134" w:bottom="1134" w:left="1134"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NTI0sDC3MDcxMDNT0lEKTi0uzszPAykwqQUA/OyQSCwAAAA="/>
  </w:docVars>
  <w:rsids>
    <w:rsidRoot w:val="00CE25E6"/>
    <w:rsid w:val="000C6C10"/>
    <w:rsid w:val="00153729"/>
    <w:rsid w:val="001C4BAC"/>
    <w:rsid w:val="00207A43"/>
    <w:rsid w:val="002B04C7"/>
    <w:rsid w:val="002C771B"/>
    <w:rsid w:val="004302C5"/>
    <w:rsid w:val="00721DB1"/>
    <w:rsid w:val="007A7D28"/>
    <w:rsid w:val="008E1B36"/>
    <w:rsid w:val="0093429F"/>
    <w:rsid w:val="00957932"/>
    <w:rsid w:val="00982D7D"/>
    <w:rsid w:val="00A0593B"/>
    <w:rsid w:val="00A72F63"/>
    <w:rsid w:val="00B523F1"/>
    <w:rsid w:val="00CD1DE7"/>
    <w:rsid w:val="00CE25E6"/>
    <w:rsid w:val="00D22965"/>
    <w:rsid w:val="00DC607B"/>
    <w:rsid w:val="00F115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E1C8"/>
  <w15:docId w15:val="{6DDC9094-D329-C143-BD09-CC221B75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23DC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823DC2"/>
  </w:style>
  <w:style w:type="character" w:customStyle="1" w:styleId="eop">
    <w:name w:val="eop"/>
    <w:basedOn w:val="DefaultParagraphFont"/>
    <w:rsid w:val="00823DC2"/>
  </w:style>
  <w:style w:type="character" w:customStyle="1" w:styleId="spellingerror">
    <w:name w:val="spellingerror"/>
    <w:basedOn w:val="DefaultParagraphFont"/>
    <w:rsid w:val="00823DC2"/>
  </w:style>
  <w:style w:type="character" w:customStyle="1" w:styleId="contextualspellingandgrammarerror">
    <w:name w:val="contextualspellingandgrammarerror"/>
    <w:basedOn w:val="DefaultParagraphFont"/>
    <w:rsid w:val="00823DC2"/>
  </w:style>
  <w:style w:type="character" w:styleId="Hyperlink">
    <w:name w:val="Hyperlink"/>
    <w:basedOn w:val="DefaultParagraphFont"/>
    <w:uiPriority w:val="99"/>
    <w:semiHidden/>
    <w:unhideWhenUsed/>
    <w:rsid w:val="00264C18"/>
    <w:rPr>
      <w:color w:val="0000FF"/>
      <w:u w:val="single"/>
    </w:rPr>
  </w:style>
  <w:style w:type="character" w:customStyle="1" w:styleId="findhit">
    <w:name w:val="findhit"/>
    <w:basedOn w:val="DefaultParagraphFont"/>
    <w:rsid w:val="0015152B"/>
  </w:style>
  <w:style w:type="character" w:styleId="CommentReference">
    <w:name w:val="annotation reference"/>
    <w:basedOn w:val="DefaultParagraphFont"/>
    <w:uiPriority w:val="99"/>
    <w:semiHidden/>
    <w:unhideWhenUsed/>
    <w:rsid w:val="001C7517"/>
    <w:rPr>
      <w:sz w:val="16"/>
      <w:szCs w:val="16"/>
    </w:rPr>
  </w:style>
  <w:style w:type="paragraph" w:styleId="CommentText">
    <w:name w:val="annotation text"/>
    <w:basedOn w:val="Normal"/>
    <w:link w:val="CommentTextChar"/>
    <w:uiPriority w:val="99"/>
    <w:semiHidden/>
    <w:unhideWhenUsed/>
    <w:rsid w:val="001C7517"/>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C7517"/>
    <w:rPr>
      <w:rFonts w:ascii="Times New Roman" w:hAnsi="Times New Roman"/>
      <w:sz w:val="20"/>
      <w:szCs w:val="20"/>
    </w:rPr>
  </w:style>
  <w:style w:type="paragraph" w:styleId="BalloonText">
    <w:name w:val="Balloon Text"/>
    <w:basedOn w:val="Normal"/>
    <w:link w:val="BalloonTextChar"/>
    <w:uiPriority w:val="99"/>
    <w:semiHidden/>
    <w:unhideWhenUsed/>
    <w:rsid w:val="001C75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517"/>
    <w:rPr>
      <w:rFonts w:ascii="Segoe UI" w:hAnsi="Segoe UI" w:cs="Segoe UI"/>
      <w:sz w:val="18"/>
      <w:szCs w:val="18"/>
    </w:rPr>
  </w:style>
  <w:style w:type="character" w:styleId="FollowedHyperlink">
    <w:name w:val="FollowedHyperlink"/>
    <w:basedOn w:val="DefaultParagraphFont"/>
    <w:uiPriority w:val="99"/>
    <w:semiHidden/>
    <w:unhideWhenUsed/>
    <w:rsid w:val="0021066E"/>
    <w:rPr>
      <w:color w:val="954F72"/>
      <w:u w:val="single"/>
    </w:rPr>
  </w:style>
  <w:style w:type="paragraph" w:customStyle="1" w:styleId="msonormal0">
    <w:name w:val="msonormal"/>
    <w:basedOn w:val="Normal"/>
    <w:rsid w:val="0021066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font5">
    <w:name w:val="font5"/>
    <w:basedOn w:val="Normal"/>
    <w:rsid w:val="0021066E"/>
    <w:pPr>
      <w:spacing w:before="100" w:beforeAutospacing="1" w:after="100" w:afterAutospacing="1" w:line="240" w:lineRule="auto"/>
    </w:pPr>
    <w:rPr>
      <w:rFonts w:ascii="Times New Roman" w:eastAsia="Times New Roman" w:hAnsi="Times New Roman" w:cs="Times New Roman"/>
      <w:b/>
      <w:bCs/>
      <w:sz w:val="20"/>
      <w:szCs w:val="20"/>
      <w:lang w:eastAsia="en-CA"/>
    </w:rPr>
  </w:style>
  <w:style w:type="paragraph" w:customStyle="1" w:styleId="font6">
    <w:name w:val="font6"/>
    <w:basedOn w:val="Normal"/>
    <w:rsid w:val="0021066E"/>
    <w:pPr>
      <w:spacing w:before="100" w:beforeAutospacing="1" w:after="100" w:afterAutospacing="1" w:line="240" w:lineRule="auto"/>
    </w:pPr>
    <w:rPr>
      <w:rFonts w:ascii="Times New Roman" w:eastAsia="Times New Roman" w:hAnsi="Times New Roman" w:cs="Times New Roman"/>
      <w:b/>
      <w:bCs/>
      <w:i/>
      <w:iCs/>
      <w:sz w:val="20"/>
      <w:szCs w:val="20"/>
      <w:lang w:eastAsia="en-CA"/>
    </w:rPr>
  </w:style>
  <w:style w:type="paragraph" w:customStyle="1" w:styleId="font7">
    <w:name w:val="font7"/>
    <w:basedOn w:val="Normal"/>
    <w:rsid w:val="0021066E"/>
    <w:pPr>
      <w:spacing w:before="100" w:beforeAutospacing="1" w:after="100" w:afterAutospacing="1" w:line="240" w:lineRule="auto"/>
    </w:pPr>
    <w:rPr>
      <w:rFonts w:ascii="Times New Roman" w:eastAsia="Times New Roman" w:hAnsi="Times New Roman" w:cs="Times New Roman"/>
      <w:b/>
      <w:bCs/>
      <w:sz w:val="20"/>
      <w:szCs w:val="20"/>
      <w:lang w:eastAsia="en-CA"/>
    </w:rPr>
  </w:style>
  <w:style w:type="paragraph" w:customStyle="1" w:styleId="xl65">
    <w:name w:val="xl65"/>
    <w:basedOn w:val="Normal"/>
    <w:rsid w:val="0021066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CA"/>
    </w:rPr>
  </w:style>
  <w:style w:type="paragraph" w:customStyle="1" w:styleId="xl66">
    <w:name w:val="xl66"/>
    <w:basedOn w:val="Normal"/>
    <w:rsid w:val="0021066E"/>
    <w:pPr>
      <w:spacing w:before="100" w:beforeAutospacing="1" w:after="100" w:afterAutospacing="1" w:line="240" w:lineRule="auto"/>
    </w:pPr>
    <w:rPr>
      <w:rFonts w:ascii="Times New Roman" w:eastAsia="Times New Roman" w:hAnsi="Times New Roman" w:cs="Times New Roman"/>
      <w:b/>
      <w:bCs/>
      <w:sz w:val="20"/>
      <w:szCs w:val="20"/>
      <w:lang w:eastAsia="en-CA"/>
    </w:rPr>
  </w:style>
  <w:style w:type="paragraph" w:customStyle="1" w:styleId="xl67">
    <w:name w:val="xl67"/>
    <w:basedOn w:val="Normal"/>
    <w:rsid w:val="0021066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CA"/>
    </w:rPr>
  </w:style>
  <w:style w:type="paragraph" w:customStyle="1" w:styleId="xl68">
    <w:name w:val="xl68"/>
    <w:basedOn w:val="Normal"/>
    <w:rsid w:val="0021066E"/>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CA"/>
    </w:rPr>
  </w:style>
  <w:style w:type="paragraph" w:customStyle="1" w:styleId="xl69">
    <w:name w:val="xl69"/>
    <w:basedOn w:val="Normal"/>
    <w:rsid w:val="0021066E"/>
    <w:pPr>
      <w:spacing w:before="100" w:beforeAutospacing="1" w:after="100" w:afterAutospacing="1" w:line="240" w:lineRule="auto"/>
    </w:pPr>
    <w:rPr>
      <w:rFonts w:ascii="Times New Roman" w:eastAsia="Times New Roman" w:hAnsi="Times New Roman" w:cs="Times New Roman"/>
      <w:sz w:val="20"/>
      <w:szCs w:val="20"/>
      <w:lang w:eastAsia="en-CA"/>
    </w:rPr>
  </w:style>
  <w:style w:type="paragraph" w:customStyle="1" w:styleId="xl70">
    <w:name w:val="xl70"/>
    <w:basedOn w:val="Normal"/>
    <w:rsid w:val="0021066E"/>
    <w:pPr>
      <w:spacing w:before="100" w:beforeAutospacing="1" w:after="100" w:afterAutospacing="1" w:line="240" w:lineRule="auto"/>
    </w:pPr>
    <w:rPr>
      <w:rFonts w:ascii="Times New Roman" w:eastAsia="Times New Roman" w:hAnsi="Times New Roman" w:cs="Times New Roman"/>
      <w:sz w:val="20"/>
      <w:szCs w:val="20"/>
      <w:lang w:eastAsia="en-CA"/>
    </w:rPr>
  </w:style>
  <w:style w:type="paragraph" w:customStyle="1" w:styleId="xl71">
    <w:name w:val="xl71"/>
    <w:basedOn w:val="Normal"/>
    <w:rsid w:val="0021066E"/>
    <w:pPr>
      <w:spacing w:before="100" w:beforeAutospacing="1" w:after="100" w:afterAutospacing="1" w:line="240" w:lineRule="auto"/>
    </w:pPr>
    <w:rPr>
      <w:rFonts w:ascii="Times New Roman" w:eastAsia="Times New Roman" w:hAnsi="Times New Roman" w:cs="Times New Roman"/>
      <w:sz w:val="20"/>
      <w:szCs w:val="20"/>
      <w:lang w:eastAsia="en-CA"/>
    </w:rPr>
  </w:style>
  <w:style w:type="character" w:styleId="LineNumber">
    <w:name w:val="line number"/>
    <w:basedOn w:val="DefaultParagraphFont"/>
    <w:uiPriority w:val="99"/>
    <w:semiHidden/>
    <w:unhideWhenUsed/>
    <w:rsid w:val="009F0E6E"/>
  </w:style>
  <w:style w:type="paragraph" w:styleId="CommentSubject">
    <w:name w:val="annotation subject"/>
    <w:basedOn w:val="CommentText"/>
    <w:next w:val="CommentText"/>
    <w:link w:val="CommentSubjectChar"/>
    <w:uiPriority w:val="99"/>
    <w:semiHidden/>
    <w:unhideWhenUsed/>
    <w:rsid w:val="006061D0"/>
    <w:rPr>
      <w:rFonts w:asciiTheme="minorHAnsi" w:hAnsiTheme="minorHAnsi"/>
      <w:b/>
      <w:bCs/>
    </w:rPr>
  </w:style>
  <w:style w:type="character" w:customStyle="1" w:styleId="CommentSubjectChar">
    <w:name w:val="Comment Subject Char"/>
    <w:basedOn w:val="CommentTextChar"/>
    <w:link w:val="CommentSubject"/>
    <w:uiPriority w:val="99"/>
    <w:semiHidden/>
    <w:rsid w:val="006061D0"/>
    <w:rPr>
      <w:rFonts w:ascii="Times New Roman" w:hAnsi="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X7KBhpU1wbXHLTz5OLjyW45Tg==">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17C43F-7E30-5542-A42C-5D5914F5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2357</Words>
  <Characters>13440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Corrie Hyland</cp:lastModifiedBy>
  <cp:revision>2</cp:revision>
  <dcterms:created xsi:type="dcterms:W3CDTF">2021-08-02T16:23:00Z</dcterms:created>
  <dcterms:modified xsi:type="dcterms:W3CDTF">2021-08-02T16:23:00Z</dcterms:modified>
</cp:coreProperties>
</file>