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059999" w14:textId="77777777" w:rsidR="00FD5C31" w:rsidRDefault="00FD5C31" w:rsidP="00FD5C31">
      <w:pPr>
        <w:rPr>
          <w:rFonts w:ascii="Times New Roman" w:eastAsia="Times New Roman" w:hAnsi="Times New Roman" w:cs="Times New Roman"/>
          <w:sz w:val="20"/>
          <w:szCs w:val="20"/>
        </w:rPr>
      </w:pPr>
      <w:r w:rsidRPr="00B22262">
        <w:rPr>
          <w:rFonts w:ascii="Times New Roman" w:eastAsia="Times New Roman" w:hAnsi="Times New Roman" w:cs="Times New Roman"/>
          <w:b/>
          <w:bCs/>
          <w:sz w:val="20"/>
          <w:szCs w:val="20"/>
        </w:rPr>
        <w:t>Title</w:t>
      </w:r>
      <w:r>
        <w:rPr>
          <w:rFonts w:ascii="Times New Roman" w:eastAsia="Times New Roman" w:hAnsi="Times New Roman" w:cs="Times New Roman"/>
          <w:sz w:val="20"/>
          <w:szCs w:val="20"/>
        </w:rPr>
        <w:t xml:space="preserve">: Biocultural Taphonomies and Analysis of an Emerging Terminal Classic (AD 750-900) Maya </w:t>
      </w:r>
      <w:proofErr w:type="spellStart"/>
      <w:r>
        <w:rPr>
          <w:rFonts w:ascii="Times New Roman" w:eastAsia="Times New Roman" w:hAnsi="Times New Roman" w:cs="Times New Roman"/>
          <w:sz w:val="20"/>
          <w:szCs w:val="20"/>
        </w:rPr>
        <w:t>Deathway</w:t>
      </w:r>
      <w:proofErr w:type="spellEnd"/>
    </w:p>
    <w:p w14:paraId="0ED3918E" w14:textId="6929A88B" w:rsidR="00A5353F" w:rsidRPr="00B22262" w:rsidRDefault="00B22262" w:rsidP="00FD5C31">
      <w:pPr>
        <w:rPr>
          <w:rFonts w:ascii="Times New Roman" w:eastAsia="Times New Roman" w:hAnsi="Times New Roman" w:cs="Times New Roman"/>
          <w:i/>
          <w:iCs/>
          <w:sz w:val="20"/>
          <w:szCs w:val="20"/>
        </w:rPr>
      </w:pPr>
      <w:r w:rsidRPr="00B22262">
        <w:rPr>
          <w:rFonts w:ascii="Times New Roman" w:eastAsia="Times New Roman" w:hAnsi="Times New Roman" w:cs="Times New Roman"/>
          <w:b/>
          <w:bCs/>
          <w:sz w:val="20"/>
          <w:szCs w:val="20"/>
        </w:rPr>
        <w:t>Journal</w:t>
      </w:r>
      <w:r>
        <w:rPr>
          <w:rFonts w:ascii="Times New Roman" w:eastAsia="Times New Roman" w:hAnsi="Times New Roman" w:cs="Times New Roman"/>
          <w:sz w:val="20"/>
          <w:szCs w:val="20"/>
        </w:rPr>
        <w:t xml:space="preserve">: </w:t>
      </w:r>
      <w:r w:rsidR="00A5353F" w:rsidRPr="00B22262">
        <w:rPr>
          <w:rFonts w:ascii="Times New Roman" w:eastAsia="Times New Roman" w:hAnsi="Times New Roman" w:cs="Times New Roman"/>
          <w:i/>
          <w:iCs/>
          <w:sz w:val="20"/>
          <w:szCs w:val="20"/>
        </w:rPr>
        <w:t xml:space="preserve">Journal </w:t>
      </w:r>
      <w:r w:rsidRPr="00B22262">
        <w:rPr>
          <w:rFonts w:ascii="Times New Roman" w:eastAsia="Times New Roman" w:hAnsi="Times New Roman" w:cs="Times New Roman"/>
          <w:i/>
          <w:iCs/>
          <w:sz w:val="20"/>
          <w:szCs w:val="20"/>
        </w:rPr>
        <w:t>of Archaeological Method and Theory</w:t>
      </w:r>
    </w:p>
    <w:p w14:paraId="01E271EE" w14:textId="4AD301F0" w:rsidR="00FD5C31" w:rsidRDefault="00FD5C31" w:rsidP="00FD5C31">
      <w:pPr>
        <w:rPr>
          <w:rFonts w:ascii="Times New Roman" w:eastAsia="Times New Roman" w:hAnsi="Times New Roman" w:cs="Times New Roman"/>
          <w:sz w:val="20"/>
          <w:szCs w:val="20"/>
        </w:rPr>
      </w:pPr>
      <w:r w:rsidRPr="00B22262">
        <w:rPr>
          <w:rFonts w:ascii="Times New Roman" w:eastAsia="Times New Roman" w:hAnsi="Times New Roman" w:cs="Times New Roman"/>
          <w:b/>
          <w:bCs/>
          <w:sz w:val="20"/>
          <w:szCs w:val="20"/>
        </w:rPr>
        <w:t>Author Information</w:t>
      </w:r>
      <w:r>
        <w:rPr>
          <w:rFonts w:ascii="Times New Roman" w:eastAsia="Times New Roman" w:hAnsi="Times New Roman" w:cs="Times New Roman"/>
          <w:sz w:val="20"/>
          <w:szCs w:val="20"/>
        </w:rPr>
        <w:t>: Saige Kelmelis</w:t>
      </w:r>
      <w:r>
        <w:rPr>
          <w:rFonts w:ascii="Times New Roman" w:eastAsia="Times New Roman" w:hAnsi="Times New Roman" w:cs="Times New Roman"/>
          <w:sz w:val="20"/>
          <w:szCs w:val="20"/>
          <w:vertAlign w:val="superscript"/>
        </w:rPr>
        <w:t>1</w:t>
      </w:r>
      <w:r>
        <w:rPr>
          <w:rFonts w:ascii="Times New Roman" w:eastAsia="Times New Roman" w:hAnsi="Times New Roman" w:cs="Times New Roman"/>
          <w:sz w:val="20"/>
          <w:szCs w:val="20"/>
        </w:rPr>
        <w:t>, John P. Walden</w:t>
      </w:r>
      <w:r>
        <w:rPr>
          <w:rFonts w:ascii="Times New Roman" w:eastAsia="Times New Roman" w:hAnsi="Times New Roman" w:cs="Times New Roman"/>
          <w:sz w:val="20"/>
          <w:szCs w:val="20"/>
          <w:vertAlign w:val="superscript"/>
        </w:rPr>
        <w:t>2,3</w:t>
      </w:r>
      <w:r>
        <w:rPr>
          <w:rFonts w:ascii="Times New Roman" w:eastAsia="Times New Roman" w:hAnsi="Times New Roman" w:cs="Times New Roman"/>
          <w:sz w:val="20"/>
          <w:szCs w:val="20"/>
        </w:rPr>
        <w:t>, Kirsten Green Mink</w:t>
      </w:r>
      <w:r>
        <w:rPr>
          <w:rFonts w:ascii="Times New Roman" w:eastAsia="Times New Roman" w:hAnsi="Times New Roman" w:cs="Times New Roman"/>
          <w:sz w:val="20"/>
          <w:szCs w:val="20"/>
          <w:vertAlign w:val="superscript"/>
        </w:rPr>
        <w:t>4</w:t>
      </w:r>
      <w:r>
        <w:rPr>
          <w:rFonts w:ascii="Times New Roman" w:eastAsia="Times New Roman" w:hAnsi="Times New Roman" w:cs="Times New Roman"/>
          <w:sz w:val="20"/>
          <w:szCs w:val="20"/>
        </w:rPr>
        <w:t>, Julie A. Hoggarth</w:t>
      </w:r>
      <w:r>
        <w:rPr>
          <w:rFonts w:ascii="Times New Roman" w:eastAsia="Times New Roman" w:hAnsi="Times New Roman" w:cs="Times New Roman"/>
          <w:sz w:val="20"/>
          <w:szCs w:val="20"/>
          <w:vertAlign w:val="superscript"/>
        </w:rPr>
        <w:t>5</w:t>
      </w:r>
      <w:r>
        <w:rPr>
          <w:rFonts w:ascii="Times New Roman" w:eastAsia="Times New Roman" w:hAnsi="Times New Roman" w:cs="Times New Roman"/>
          <w:sz w:val="20"/>
          <w:szCs w:val="20"/>
        </w:rPr>
        <w:t>, Claire Ebert</w:t>
      </w:r>
      <w:r>
        <w:rPr>
          <w:rFonts w:ascii="Times New Roman" w:eastAsia="Times New Roman" w:hAnsi="Times New Roman" w:cs="Times New Roman"/>
          <w:sz w:val="20"/>
          <w:szCs w:val="20"/>
          <w:vertAlign w:val="superscript"/>
        </w:rPr>
        <w:t>6</w:t>
      </w:r>
      <w:r>
        <w:rPr>
          <w:rFonts w:ascii="Times New Roman" w:eastAsia="Times New Roman" w:hAnsi="Times New Roman" w:cs="Times New Roman"/>
          <w:sz w:val="20"/>
          <w:szCs w:val="20"/>
        </w:rPr>
        <w:t>, Carolyn Freiwald</w:t>
      </w:r>
      <w:r>
        <w:rPr>
          <w:rFonts w:ascii="Times New Roman" w:eastAsia="Times New Roman" w:hAnsi="Times New Roman" w:cs="Times New Roman"/>
          <w:sz w:val="20"/>
          <w:szCs w:val="20"/>
          <w:vertAlign w:val="superscript"/>
        </w:rPr>
        <w:t>7</w:t>
      </w:r>
      <w:r>
        <w:rPr>
          <w:rFonts w:ascii="Times New Roman" w:eastAsia="Times New Roman" w:hAnsi="Times New Roman" w:cs="Times New Roman"/>
          <w:sz w:val="20"/>
          <w:szCs w:val="20"/>
        </w:rPr>
        <w:t>, Tia B. Watkins</w:t>
      </w:r>
      <w:r>
        <w:rPr>
          <w:rFonts w:ascii="Times New Roman" w:eastAsia="Times New Roman" w:hAnsi="Times New Roman" w:cs="Times New Roman"/>
          <w:sz w:val="20"/>
          <w:szCs w:val="20"/>
          <w:vertAlign w:val="superscript"/>
        </w:rPr>
        <w:t>8</w:t>
      </w:r>
      <w:r>
        <w:rPr>
          <w:rFonts w:ascii="Times New Roman" w:eastAsia="Times New Roman" w:hAnsi="Times New Roman" w:cs="Times New Roman"/>
          <w:sz w:val="20"/>
          <w:szCs w:val="20"/>
        </w:rPr>
        <w:t>, Victoria S.R. Izzo</w:t>
      </w:r>
      <w:r>
        <w:rPr>
          <w:rFonts w:ascii="Times New Roman" w:eastAsia="Times New Roman" w:hAnsi="Times New Roman" w:cs="Times New Roman"/>
          <w:sz w:val="20"/>
          <w:szCs w:val="20"/>
          <w:vertAlign w:val="superscript"/>
        </w:rPr>
        <w:t>9</w:t>
      </w:r>
      <w:r>
        <w:rPr>
          <w:rFonts w:ascii="Times New Roman" w:eastAsia="Times New Roman" w:hAnsi="Times New Roman" w:cs="Times New Roman"/>
          <w:sz w:val="20"/>
          <w:szCs w:val="20"/>
        </w:rPr>
        <w:t>, Michael Biggie</w:t>
      </w:r>
      <w:r>
        <w:rPr>
          <w:rFonts w:ascii="Times New Roman" w:eastAsia="Times New Roman" w:hAnsi="Times New Roman" w:cs="Times New Roman"/>
          <w:sz w:val="20"/>
          <w:szCs w:val="20"/>
          <w:vertAlign w:val="superscript"/>
        </w:rPr>
        <w:t>10</w:t>
      </w:r>
      <w:r>
        <w:rPr>
          <w:rFonts w:ascii="Times New Roman" w:eastAsia="Times New Roman" w:hAnsi="Times New Roman" w:cs="Times New Roman"/>
          <w:sz w:val="20"/>
          <w:szCs w:val="20"/>
        </w:rPr>
        <w:t>, Amy E. Thompson</w:t>
      </w:r>
      <w:r>
        <w:rPr>
          <w:rFonts w:ascii="Times New Roman" w:eastAsia="Times New Roman" w:hAnsi="Times New Roman" w:cs="Times New Roman"/>
          <w:sz w:val="20"/>
          <w:szCs w:val="20"/>
          <w:vertAlign w:val="superscript"/>
        </w:rPr>
        <w:t>11</w:t>
      </w:r>
      <w:r>
        <w:rPr>
          <w:rFonts w:ascii="Times New Roman" w:eastAsia="Times New Roman" w:hAnsi="Times New Roman" w:cs="Times New Roman"/>
          <w:sz w:val="20"/>
          <w:szCs w:val="20"/>
        </w:rPr>
        <w:t>,</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Rafael A. Guerra</w:t>
      </w:r>
      <w:r>
        <w:rPr>
          <w:rFonts w:ascii="Times New Roman" w:eastAsia="Times New Roman" w:hAnsi="Times New Roman" w:cs="Times New Roman"/>
          <w:sz w:val="20"/>
          <w:szCs w:val="20"/>
          <w:vertAlign w:val="superscript"/>
        </w:rPr>
        <w:t>12</w:t>
      </w:r>
      <w:r>
        <w:rPr>
          <w:rFonts w:ascii="Times New Roman" w:eastAsia="Times New Roman" w:hAnsi="Times New Roman" w:cs="Times New Roman"/>
          <w:sz w:val="20"/>
          <w:szCs w:val="20"/>
        </w:rPr>
        <w:t>, Christina Warinner</w:t>
      </w:r>
      <w:r>
        <w:rPr>
          <w:rFonts w:ascii="Times New Roman" w:eastAsia="Times New Roman" w:hAnsi="Times New Roman" w:cs="Times New Roman"/>
          <w:sz w:val="20"/>
          <w:szCs w:val="20"/>
          <w:vertAlign w:val="superscript"/>
        </w:rPr>
        <w:t>2,3</w:t>
      </w:r>
      <w:r>
        <w:rPr>
          <w:rFonts w:ascii="Times New Roman" w:eastAsia="Times New Roman" w:hAnsi="Times New Roman" w:cs="Times New Roman"/>
          <w:sz w:val="20"/>
          <w:szCs w:val="20"/>
        </w:rPr>
        <w:t>, and Jaime J. Awe</w:t>
      </w:r>
      <w:r>
        <w:rPr>
          <w:rFonts w:ascii="Times New Roman" w:eastAsia="Times New Roman" w:hAnsi="Times New Roman" w:cs="Times New Roman"/>
          <w:sz w:val="20"/>
          <w:szCs w:val="20"/>
          <w:vertAlign w:val="superscript"/>
        </w:rPr>
        <w:t>13</w:t>
      </w:r>
    </w:p>
    <w:p w14:paraId="673967CA" w14:textId="77777777" w:rsidR="00FD5C31" w:rsidRDefault="00FD5C31" w:rsidP="00FD5C31">
      <w:pPr>
        <w:rPr>
          <w:rFonts w:ascii="Times New Roman" w:eastAsia="Times New Roman" w:hAnsi="Times New Roman" w:cs="Times New Roman"/>
          <w:sz w:val="20"/>
          <w:szCs w:val="20"/>
        </w:rPr>
      </w:pPr>
      <w:r w:rsidRPr="00B22262">
        <w:rPr>
          <w:rFonts w:ascii="Times New Roman" w:eastAsia="Times New Roman" w:hAnsi="Times New Roman" w:cs="Times New Roman"/>
          <w:b/>
          <w:bCs/>
          <w:sz w:val="20"/>
          <w:szCs w:val="20"/>
        </w:rPr>
        <w:t>Affiliations</w:t>
      </w:r>
      <w:r>
        <w:rPr>
          <w:rFonts w:ascii="Times New Roman" w:eastAsia="Times New Roman" w:hAnsi="Times New Roman" w:cs="Times New Roman"/>
          <w:sz w:val="20"/>
          <w:szCs w:val="20"/>
        </w:rPr>
        <w:t>:</w:t>
      </w:r>
    </w:p>
    <w:p w14:paraId="204F904C" w14:textId="77777777" w:rsidR="00FD5C31" w:rsidRDefault="00FD5C31" w:rsidP="00FD5C31">
      <w:pPr>
        <w:numPr>
          <w:ilvl w:val="0"/>
          <w:numId w:val="1"/>
        </w:num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Department of Anthropology and Sociology, University of South Dakota, Vermillion, SD 57069</w:t>
      </w:r>
    </w:p>
    <w:p w14:paraId="275F6AE9" w14:textId="77777777" w:rsidR="00FD5C31" w:rsidRDefault="00FD5C31" w:rsidP="00FD5C31">
      <w:pPr>
        <w:numPr>
          <w:ilvl w:val="0"/>
          <w:numId w:val="1"/>
        </w:num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Department of Anthropology, Harvard University, 21 Divinity Ave, Cambridge, MA 02138, USA</w:t>
      </w:r>
    </w:p>
    <w:p w14:paraId="12952212" w14:textId="77777777" w:rsidR="00FD5C31" w:rsidRDefault="00FD5C31" w:rsidP="00FD5C31">
      <w:pPr>
        <w:numPr>
          <w:ilvl w:val="0"/>
          <w:numId w:val="1"/>
        </w:num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Max Planck Institute for Evolutionary Anthropology, </w:t>
      </w:r>
      <w:proofErr w:type="spellStart"/>
      <w:r>
        <w:rPr>
          <w:rFonts w:ascii="Times New Roman" w:eastAsia="Times New Roman" w:hAnsi="Times New Roman" w:cs="Times New Roman"/>
          <w:sz w:val="20"/>
          <w:szCs w:val="20"/>
        </w:rPr>
        <w:t>Deutscher</w:t>
      </w:r>
      <w:proofErr w:type="spellEnd"/>
      <w:r>
        <w:rPr>
          <w:rFonts w:ascii="Times New Roman" w:eastAsia="Times New Roman" w:hAnsi="Times New Roman" w:cs="Times New Roman"/>
          <w:sz w:val="20"/>
          <w:szCs w:val="20"/>
        </w:rPr>
        <w:t xml:space="preserve"> Platz 6, Leipzig, 04103, Germany</w:t>
      </w:r>
    </w:p>
    <w:p w14:paraId="7E48D391" w14:textId="77777777" w:rsidR="00FD5C31" w:rsidRDefault="00FD5C31" w:rsidP="00FD5C31">
      <w:pPr>
        <w:numPr>
          <w:ilvl w:val="0"/>
          <w:numId w:val="1"/>
        </w:num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Department of Anthropology, Idaho State University, 921 S 8th Ave, Pocatello ID 83209</w:t>
      </w:r>
    </w:p>
    <w:p w14:paraId="4AE9695F" w14:textId="77777777" w:rsidR="00FD5C31" w:rsidRDefault="00FD5C31" w:rsidP="00FD5C31">
      <w:pPr>
        <w:numPr>
          <w:ilvl w:val="0"/>
          <w:numId w:val="1"/>
        </w:num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Department of Anthropology, Baylor University, One Bear Place #97173, Waco, TX 76798, USA</w:t>
      </w:r>
    </w:p>
    <w:p w14:paraId="777C398D" w14:textId="77777777" w:rsidR="00FD5C31" w:rsidRDefault="00FD5C31" w:rsidP="00FD5C31">
      <w:pPr>
        <w:numPr>
          <w:ilvl w:val="0"/>
          <w:numId w:val="1"/>
        </w:num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Department of Anthropology, University of Pittsburgh, 3302 WWPH, Pittsburgh, PA 15260, USA</w:t>
      </w:r>
    </w:p>
    <w:p w14:paraId="73B8C078" w14:textId="77777777" w:rsidR="00FD5C31" w:rsidRDefault="00FD5C31" w:rsidP="00FD5C31">
      <w:pPr>
        <w:numPr>
          <w:ilvl w:val="0"/>
          <w:numId w:val="1"/>
        </w:num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Department of Sociology and Anthropology, University of Mississippi, Oxford, MS 38677</w:t>
      </w:r>
    </w:p>
    <w:p w14:paraId="11BCAB51" w14:textId="77777777" w:rsidR="00FD5C31" w:rsidRDefault="00FD5C31" w:rsidP="00FD5C31">
      <w:pPr>
        <w:numPr>
          <w:ilvl w:val="0"/>
          <w:numId w:val="1"/>
        </w:num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Institute of Archaeology, University College London, 31–34 Gordon Square, London WC1H 0PY, UK</w:t>
      </w:r>
    </w:p>
    <w:p w14:paraId="0E04EF50" w14:textId="77777777" w:rsidR="00FD5C31" w:rsidRDefault="00FD5C31" w:rsidP="00FD5C31">
      <w:pPr>
        <w:numPr>
          <w:ilvl w:val="0"/>
          <w:numId w:val="1"/>
        </w:num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Department of Anthropology, Texas A&amp;M University, 340 Spence St, College Station, TX, 77840, USA </w:t>
      </w:r>
    </w:p>
    <w:p w14:paraId="6E5D7BF8" w14:textId="77777777" w:rsidR="00FD5C31" w:rsidRDefault="00FD5C31" w:rsidP="00FD5C31">
      <w:pPr>
        <w:numPr>
          <w:ilvl w:val="0"/>
          <w:numId w:val="1"/>
        </w:num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Los Angeles Maritime Institute, Berth 73, Suite 2, San Pedro, CA 90731, USA</w:t>
      </w:r>
    </w:p>
    <w:p w14:paraId="1369C3DF" w14:textId="77777777" w:rsidR="00FD5C31" w:rsidRDefault="00FD5C31" w:rsidP="00FD5C31">
      <w:pPr>
        <w:numPr>
          <w:ilvl w:val="0"/>
          <w:numId w:val="1"/>
        </w:num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Department of Geography and the Environment, The University of Texas at Austin, Austin, TX, USA</w:t>
      </w:r>
    </w:p>
    <w:p w14:paraId="5B8BEF58" w14:textId="77777777" w:rsidR="00FD5C31" w:rsidRDefault="00FD5C31" w:rsidP="00FD5C31">
      <w:pPr>
        <w:numPr>
          <w:ilvl w:val="0"/>
          <w:numId w:val="1"/>
        </w:num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Faculty of Arts, Science, and Technology, Galen University, Western Highway, Mile 62.5, San Ignacio, Belize</w:t>
      </w:r>
    </w:p>
    <w:p w14:paraId="2269D8B0" w14:textId="77777777" w:rsidR="00FD5C31" w:rsidRDefault="00FD5C31" w:rsidP="00FD5C31">
      <w:pPr>
        <w:numPr>
          <w:ilvl w:val="0"/>
          <w:numId w:val="1"/>
        </w:num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Department of Anthropology, Northern Arizona University, 5 E McConnell Drive, Flagstaff, AZ 86011, USA</w:t>
      </w:r>
    </w:p>
    <w:p w14:paraId="51AAA9FC" w14:textId="77777777" w:rsidR="00FD5C31" w:rsidRDefault="00FD5C31" w:rsidP="00FD5C31">
      <w:pPr>
        <w:spacing w:after="0" w:line="240" w:lineRule="auto"/>
        <w:jc w:val="both"/>
        <w:rPr>
          <w:rFonts w:ascii="Times New Roman" w:eastAsia="Times New Roman" w:hAnsi="Times New Roman" w:cs="Times New Roman"/>
          <w:sz w:val="20"/>
          <w:szCs w:val="20"/>
          <w:highlight w:val="yellow"/>
        </w:rPr>
      </w:pPr>
    </w:p>
    <w:p w14:paraId="1B47FE6B" w14:textId="77777777" w:rsidR="00FD5C31" w:rsidRDefault="00FD5C31" w:rsidP="00FD5C31">
      <w:pPr>
        <w:pBdr>
          <w:top w:val="nil"/>
          <w:left w:val="nil"/>
          <w:bottom w:val="nil"/>
          <w:right w:val="nil"/>
          <w:between w:val="nil"/>
        </w:pBdr>
        <w:spacing w:after="0" w:line="240" w:lineRule="auto"/>
        <w:ind w:left="720"/>
        <w:jc w:val="both"/>
        <w:rPr>
          <w:rFonts w:ascii="Times New Roman" w:eastAsia="Times New Roman" w:hAnsi="Times New Roman" w:cs="Times New Roman"/>
          <w:sz w:val="20"/>
          <w:szCs w:val="20"/>
        </w:rPr>
      </w:pPr>
    </w:p>
    <w:p w14:paraId="33F8087E" w14:textId="77777777" w:rsidR="00FD5C31" w:rsidRPr="00B22262" w:rsidRDefault="00FD5C31" w:rsidP="00FD5C31">
      <w:pPr>
        <w:rPr>
          <w:rFonts w:ascii="Times New Roman" w:eastAsia="Times New Roman" w:hAnsi="Times New Roman" w:cs="Times New Roman"/>
          <w:b/>
          <w:bCs/>
          <w:sz w:val="20"/>
          <w:szCs w:val="20"/>
        </w:rPr>
      </w:pPr>
      <w:r w:rsidRPr="00B22262">
        <w:rPr>
          <w:rFonts w:ascii="Times New Roman" w:eastAsia="Times New Roman" w:hAnsi="Times New Roman" w:cs="Times New Roman"/>
          <w:b/>
          <w:bCs/>
          <w:sz w:val="20"/>
          <w:szCs w:val="20"/>
        </w:rPr>
        <w:t>Corresponding Author Information:</w:t>
      </w:r>
    </w:p>
    <w:p w14:paraId="4D6A9766" w14:textId="77777777" w:rsidR="00FD5C31" w:rsidRDefault="00FD5C31" w:rsidP="00FD5C31">
      <w:pPr>
        <w:numPr>
          <w:ilvl w:val="0"/>
          <w:numId w:val="2"/>
        </w:numPr>
        <w:pBdr>
          <w:top w:val="nil"/>
          <w:left w:val="nil"/>
          <w:bottom w:val="nil"/>
          <w:right w:val="nil"/>
          <w:between w:val="nil"/>
        </w:pBdr>
        <w:spacing w:after="0"/>
        <w:rPr>
          <w:rFonts w:ascii="Times New Roman" w:eastAsia="Times New Roman" w:hAnsi="Times New Roman" w:cs="Times New Roman"/>
          <w:color w:val="000000"/>
          <w:sz w:val="20"/>
          <w:szCs w:val="20"/>
        </w:rPr>
      </w:pPr>
      <w:hyperlink r:id="rId5">
        <w:r>
          <w:rPr>
            <w:rFonts w:ascii="Times New Roman" w:eastAsia="Times New Roman" w:hAnsi="Times New Roman" w:cs="Times New Roman"/>
            <w:color w:val="0563C1"/>
            <w:sz w:val="20"/>
            <w:szCs w:val="20"/>
            <w:u w:val="single"/>
          </w:rPr>
          <w:t>Saige.kelmelis@usd.edu</w:t>
        </w:r>
      </w:hyperlink>
      <w:r>
        <w:rPr>
          <w:rFonts w:ascii="Times New Roman" w:eastAsia="Times New Roman" w:hAnsi="Times New Roman" w:cs="Times New Roman"/>
          <w:sz w:val="20"/>
          <w:szCs w:val="20"/>
        </w:rPr>
        <w:t>, ORCID: 0000-0002-4234-6697</w:t>
      </w:r>
    </w:p>
    <w:p w14:paraId="1E0D9E61" w14:textId="5C623F2E" w:rsidR="00005CF4" w:rsidRDefault="00005CF4"/>
    <w:p w14:paraId="4F3AEC1A" w14:textId="0ADEF40B" w:rsidR="00FD5C31" w:rsidRDefault="00FD5C31" w:rsidP="00FD5C31">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SUPPLEMENTAL</w:t>
      </w:r>
      <w:r w:rsidR="00B22262">
        <w:rPr>
          <w:rFonts w:ascii="Times New Roman" w:eastAsia="Times New Roman" w:hAnsi="Times New Roman" w:cs="Times New Roman"/>
          <w:b/>
          <w:sz w:val="20"/>
          <w:szCs w:val="20"/>
        </w:rPr>
        <w:t xml:space="preserve"> MATERIALS: </w:t>
      </w:r>
      <w:r>
        <w:rPr>
          <w:rFonts w:ascii="Times New Roman" w:eastAsia="Times New Roman" w:hAnsi="Times New Roman" w:cs="Times New Roman"/>
          <w:b/>
          <w:sz w:val="20"/>
          <w:szCs w:val="20"/>
        </w:rPr>
        <w:t>Burial Descriptions</w:t>
      </w:r>
    </w:p>
    <w:p w14:paraId="228070CC" w14:textId="4B04A194" w:rsidR="00FD5C31" w:rsidRDefault="00FD5C31" w:rsidP="00FD5C31">
      <w:pPr>
        <w:tabs>
          <w:tab w:val="left" w:pos="810"/>
        </w:tabs>
        <w:spacing w:after="0"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BR-82 Burial 1 - Late-Terminal Classic burial in a low-status commoner house platform</w:t>
      </w:r>
    </w:p>
    <w:p w14:paraId="3474034C" w14:textId="736123C3" w:rsidR="00FD5C31" w:rsidRDefault="00FD5C31" w:rsidP="00FD5C31">
      <w:pPr>
        <w:spacing w:after="0" w:line="240" w:lineRule="auto"/>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BR-82 Burial 1 was not available for analysis, so we relied on the original data presented by Willey and colleagues (1965: 202-203, 548). BR-82 is one of several small mounds in a dense cluster in the Island neighborhood of Barton Ramie. According to Willey and colleagues (1965: 201), BR-82 Burial 1 lay in an intrusive pit cut through Floor 1 of the house mound. This cut could have originated at the level of Floor 2 or even higher in the construction sequence. Regardless of the dating of the intrusive cut, the interment </w:t>
      </w:r>
      <w:r w:rsidR="00C45EC2">
        <w:rPr>
          <w:rFonts w:ascii="Times New Roman" w:eastAsia="Times New Roman" w:hAnsi="Times New Roman" w:cs="Times New Roman"/>
          <w:sz w:val="20"/>
          <w:szCs w:val="20"/>
        </w:rPr>
        <w:t>was Late</w:t>
      </w:r>
      <w:r>
        <w:rPr>
          <w:rFonts w:ascii="Times New Roman" w:eastAsia="Times New Roman" w:hAnsi="Times New Roman" w:cs="Times New Roman"/>
          <w:sz w:val="20"/>
          <w:szCs w:val="20"/>
        </w:rPr>
        <w:t xml:space="preserve">-Terminal Classic based on the Spanish Lookout I-II ceramic assemblage and the fact that the entire house mound dated to the Late Classic period. While unavailable for radiocarbon dating, the burial assemblage also points toward a Late-Terminal Classic date. No age or sex information was available for this individual. </w:t>
      </w:r>
    </w:p>
    <w:p w14:paraId="61AF557F" w14:textId="77777777" w:rsidR="00FD5C31" w:rsidRDefault="00FD5C31" w:rsidP="00FD5C31">
      <w:pPr>
        <w:spacing w:after="0" w:line="240" w:lineRule="auto"/>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This primary burial was a mostly complete (&gt;75% bones present), articulated, adult individual who was oriented with the head pointing to the south (in keeping with regional burial norms (Willey et al., 1965). The adult individual was lain prone, face down with the knees bent and lower legs flexed behind them in the VPLF position. Based on observations made during excavation, the hands of this individual had been positioned anteriorly and crossed below the pelvis. Despite placement in a small Late Classic low-status house platform, grave goods hinted at a degree of affluence. The individual was recovered with wealth and utilitarian items, including Belize Red and </w:t>
      </w:r>
      <w:proofErr w:type="spellStart"/>
      <w:r>
        <w:rPr>
          <w:rFonts w:ascii="Times New Roman" w:eastAsia="Times New Roman" w:hAnsi="Times New Roman" w:cs="Times New Roman"/>
          <w:sz w:val="20"/>
          <w:szCs w:val="20"/>
        </w:rPr>
        <w:t>Kaway</w:t>
      </w:r>
      <w:proofErr w:type="spellEnd"/>
      <w:r>
        <w:rPr>
          <w:rFonts w:ascii="Times New Roman" w:eastAsia="Times New Roman" w:hAnsi="Times New Roman" w:cs="Times New Roman"/>
          <w:sz w:val="20"/>
          <w:szCs w:val="20"/>
        </w:rPr>
        <w:t xml:space="preserve"> Impressed bowls (Spanish Lookout I-II), marine shell disc </w:t>
      </w:r>
      <w:proofErr w:type="spellStart"/>
      <w:r>
        <w:rPr>
          <w:rFonts w:ascii="Times New Roman" w:eastAsia="Times New Roman" w:hAnsi="Times New Roman" w:cs="Times New Roman"/>
          <w:i/>
          <w:sz w:val="20"/>
          <w:szCs w:val="20"/>
        </w:rPr>
        <w:t>adornos</w:t>
      </w:r>
      <w:proofErr w:type="spellEnd"/>
      <w:r>
        <w:rPr>
          <w:rFonts w:ascii="Times New Roman" w:eastAsia="Times New Roman" w:hAnsi="Times New Roman" w:cs="Times New Roman"/>
          <w:sz w:val="20"/>
          <w:szCs w:val="20"/>
        </w:rPr>
        <w:t xml:space="preserve">, and other shell material items.  </w:t>
      </w:r>
    </w:p>
    <w:p w14:paraId="1E6FCFA4" w14:textId="77777777" w:rsidR="00FD5C31" w:rsidRDefault="00FD5C31" w:rsidP="00FD5C31">
      <w:pPr>
        <w:spacing w:after="0" w:line="240" w:lineRule="auto"/>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overall condition of the remains was fragmentary, which likely interfered with initial age and sex estimation of the individual. The taphonomic assessment of this individual is, unfortunately, limited because of the absence of a post-excavation analysis; however, the soil quality and excavation description </w:t>
      </w:r>
      <w:proofErr w:type="gramStart"/>
      <w:r>
        <w:rPr>
          <w:rFonts w:ascii="Times New Roman" w:eastAsia="Times New Roman" w:hAnsi="Times New Roman" w:cs="Times New Roman"/>
          <w:sz w:val="20"/>
          <w:szCs w:val="20"/>
        </w:rPr>
        <w:t>suggests</w:t>
      </w:r>
      <w:proofErr w:type="gramEnd"/>
      <w:r>
        <w:rPr>
          <w:rFonts w:ascii="Times New Roman" w:eastAsia="Times New Roman" w:hAnsi="Times New Roman" w:cs="Times New Roman"/>
          <w:sz w:val="20"/>
          <w:szCs w:val="20"/>
        </w:rPr>
        <w:t xml:space="preserve"> the highly fragmentary nature of the remains - as well as all the burials - is likely a result of the wet, river clay fill used for burial fill. It is likely that this individual, much like others observed from Barton Ramie, was generally in poor condition and endured taphonomic changes consistent with postmortem breakage, soil adherence and invasion, and surface cracking. </w:t>
      </w:r>
    </w:p>
    <w:p w14:paraId="427D8CA3" w14:textId="77777777" w:rsidR="00FD5C31" w:rsidRDefault="00FD5C31" w:rsidP="00FD5C31">
      <w:pPr>
        <w:tabs>
          <w:tab w:val="left" w:pos="810"/>
        </w:tabs>
        <w:spacing w:after="0" w:line="240" w:lineRule="auto"/>
        <w:jc w:val="both"/>
        <w:rPr>
          <w:rFonts w:ascii="Times New Roman" w:eastAsia="Times New Roman" w:hAnsi="Times New Roman" w:cs="Times New Roman"/>
          <w:sz w:val="20"/>
          <w:szCs w:val="20"/>
        </w:rPr>
      </w:pPr>
    </w:p>
    <w:p w14:paraId="65891CAF" w14:textId="0BB785A8" w:rsidR="00FD5C31" w:rsidRDefault="00FD5C31" w:rsidP="00FD5C31">
      <w:pPr>
        <w:tabs>
          <w:tab w:val="left" w:pos="810"/>
        </w:tabs>
        <w:spacing w:after="0"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BR-123 Burial 7 - Late-Terminal Classic burial in a high-status commoner northeastern structure </w:t>
      </w:r>
    </w:p>
    <w:p w14:paraId="581E4CC0" w14:textId="77777777" w:rsidR="00FD5C31" w:rsidRDefault="00FD5C31" w:rsidP="00FD5C31">
      <w:pPr>
        <w:tabs>
          <w:tab w:val="left" w:pos="810"/>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t xml:space="preserve">BR-123 </w:t>
      </w:r>
      <w:proofErr w:type="gramStart"/>
      <w:r>
        <w:rPr>
          <w:rFonts w:ascii="Times New Roman" w:eastAsia="Times New Roman" w:hAnsi="Times New Roman" w:cs="Times New Roman"/>
          <w:sz w:val="20"/>
          <w:szCs w:val="20"/>
        </w:rPr>
        <w:t>was located in</w:t>
      </w:r>
      <w:proofErr w:type="gramEnd"/>
      <w:r>
        <w:rPr>
          <w:rFonts w:ascii="Times New Roman" w:eastAsia="Times New Roman" w:hAnsi="Times New Roman" w:cs="Times New Roman"/>
          <w:sz w:val="20"/>
          <w:szCs w:val="20"/>
        </w:rPr>
        <w:t xml:space="preserve"> the Middle River District of Barton Ramie. The remains of Burial 7 are currently curated at the PMAE and were analyzed by Kelmelis. While the original burial excavation recorded the individual as partially complete (60%) (Willey et al., 1965), the laboratory inventory describes the remains as fragmentary with less than 25% of the skeleton represented, including long bone fragments from the left and right humerus, ulna and radius, right femur, and right tibia. The curated burial did not include cranial fragments or teeth, which hindered age and sex estimation. This inventory roughly matches the field observations and plan map (Willey et al., 1965:114-116), which also showed missing skull, hands, feet, and left lower limb bones. Willey and colleagues (1965) described the remains as disturbed with several bones missing or scattered elsewhere, with the right arm, ribs, and right leg in situ, prone, and with the right tibia and fibula adjacent to the right femur, indicating they were laid in the VPLF position. Given the overall articulated and prone position of the remains, the grave is classified as a primary burial. Burial 7 </w:t>
      </w:r>
      <w:proofErr w:type="gramStart"/>
      <w:r>
        <w:rPr>
          <w:rFonts w:ascii="Times New Roman" w:eastAsia="Times New Roman" w:hAnsi="Times New Roman" w:cs="Times New Roman"/>
          <w:sz w:val="20"/>
          <w:szCs w:val="20"/>
        </w:rPr>
        <w:t>was located in</w:t>
      </w:r>
      <w:proofErr w:type="gramEnd"/>
      <w:r>
        <w:rPr>
          <w:rFonts w:ascii="Times New Roman" w:eastAsia="Times New Roman" w:hAnsi="Times New Roman" w:cs="Times New Roman"/>
          <w:sz w:val="20"/>
          <w:szCs w:val="20"/>
        </w:rPr>
        <w:t xml:space="preserve"> proximity to other burials in the mound, including Burial 9, which were likely interred intrusively at a later date in a manner which disturbed Burial 7. There were no directly associated materials with Burial 7, although a bone tube was recovered during the excavation. The burial was dated to the Late Classic based on surrounding fill which contained Spanish Lookout I-II ceramics. The soil consisted of alluvial clay with pebble fill. </w:t>
      </w:r>
    </w:p>
    <w:p w14:paraId="1D734029" w14:textId="77777777" w:rsidR="00FD5C31" w:rsidRDefault="00FD5C31" w:rsidP="00FD5C31">
      <w:pPr>
        <w:tabs>
          <w:tab w:val="left" w:pos="810"/>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t xml:space="preserve">There were very few osteological observations made during the excavation process, except for a note that the individual was likely an adult (Willey et al., 1965: 116, 549). Sex estimation was not possible based on the state of preservation of the remains (Willey et al., 1965). Closer inspection indicated that the individual was a young adult based on the observed remnant fusion line on the proximal right radius, which undergoes active fusion from 15-18 years in males and 12-17 years in females and is generally closed in all individuals over 16 years of age (Schaefer et al., 2009). Given the late stage of fusion, it is likely that this individual is in the upper end of the fusion period, if not older and simply retained the line. Paleopathological analysis of the remains indicated the individual showed minor periosteal infection on the right tibial diaphysis. There were no obvious signs of antemortem or perimortem trauma on the available elements. </w:t>
      </w:r>
    </w:p>
    <w:p w14:paraId="697139A3" w14:textId="77777777" w:rsidR="00FD5C31" w:rsidRDefault="00FD5C31" w:rsidP="00FD5C31">
      <w:pPr>
        <w:tabs>
          <w:tab w:val="left" w:pos="810"/>
        </w:tabs>
        <w:spacing w:after="0" w:line="240" w:lineRule="auto"/>
        <w:jc w:val="both"/>
        <w:rPr>
          <w:rFonts w:ascii="Times New Roman" w:eastAsia="Times New Roman" w:hAnsi="Times New Roman" w:cs="Times New Roman"/>
          <w:i/>
          <w:sz w:val="20"/>
          <w:szCs w:val="20"/>
        </w:rPr>
      </w:pPr>
    </w:p>
    <w:p w14:paraId="37BD0CC4" w14:textId="1A8F3E2C" w:rsidR="00FD5C31" w:rsidRDefault="00FD5C31" w:rsidP="00FD5C31">
      <w:pPr>
        <w:tabs>
          <w:tab w:val="left" w:pos="810"/>
        </w:tabs>
        <w:spacing w:after="0"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BR-123 Burial 9 - Late-Terminal Classic burial in high-status commoner northeastern structure </w:t>
      </w:r>
    </w:p>
    <w:p w14:paraId="6A9F79EA" w14:textId="77777777" w:rsidR="00FD5C31" w:rsidRDefault="00FD5C31" w:rsidP="00FD5C31">
      <w:pPr>
        <w:tabs>
          <w:tab w:val="left" w:pos="810"/>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t xml:space="preserve">Burial 9 was located adjacent to Burials 7 and 8 on Floor F of BR-123. Burial 9 contained the primary interment of an articulated adult individual placed in the VPLF position that was laid prone, face down and oriented with the head pointing to the south. According to the burial description and plan map (Willey et al., 1965:114, 116), the left hand was positioned below the lower left portion of the pelvis and the right arm laid extended beside the body with the palm up. Initial osteological analysis suggests the individual was a senescent female that was interred after Burial 7, thus likely resulting in the observed disturbances and missing elements of BR-123 Burial 7. Willey and colleagues (1965: 116) posited that Burial 9 may have been laid in this position to accommodate Burial 8, although this is unlikely as other instances of individuals placed in the VPLF position were not associated with adjacent burials. No associated materials were recovered from this burial. </w:t>
      </w:r>
    </w:p>
    <w:p w14:paraId="0315077D" w14:textId="77777777" w:rsidR="00FD5C31" w:rsidRDefault="00FD5C31" w:rsidP="00FD5C31">
      <w:pPr>
        <w:tabs>
          <w:tab w:val="left" w:pos="810"/>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t xml:space="preserve">Osteological observations at the time of excavation suggest Burial 9 was an elderly female, although no specific indicators supporting this age and sex estimation were provided in the report. The plan map and description in the report indicated that the individual was mostly complete (Willey et al., 1965: 116); however, the curated remains were fragmentary with approximately 25-50% of the skeleton represented, including cranial fragments, teeth, diaphyseal fragments of the left and right humerus, ulna, radius, and femur. Sex estimation using scoring criteria and estimation software by </w:t>
      </w:r>
      <w:proofErr w:type="spellStart"/>
      <w:proofErr w:type="gramStart"/>
      <w:r>
        <w:rPr>
          <w:rFonts w:ascii="Times New Roman" w:eastAsia="Times New Roman" w:hAnsi="Times New Roman" w:cs="Times New Roman"/>
          <w:sz w:val="20"/>
          <w:szCs w:val="20"/>
        </w:rPr>
        <w:t>Klales</w:t>
      </w:r>
      <w:proofErr w:type="spellEnd"/>
      <w:proofErr w:type="gramEnd"/>
      <w:r>
        <w:rPr>
          <w:rFonts w:ascii="Times New Roman" w:eastAsia="Times New Roman" w:hAnsi="Times New Roman" w:cs="Times New Roman"/>
          <w:sz w:val="20"/>
          <w:szCs w:val="20"/>
        </w:rPr>
        <w:t xml:space="preserve"> and colleagues (2020) support the original sex estimate provided by Willey and colleagues (1965) and indicate that this individual was likely female (</w:t>
      </w:r>
      <w:r>
        <w:rPr>
          <w:rFonts w:ascii="Times New Roman" w:eastAsia="Times New Roman" w:hAnsi="Times New Roman" w:cs="Times New Roman"/>
          <w:i/>
          <w:sz w:val="20"/>
          <w:szCs w:val="20"/>
        </w:rPr>
        <w:t>posterior probability of being female</w:t>
      </w:r>
      <w:r>
        <w:rPr>
          <w:rFonts w:ascii="Times New Roman" w:eastAsia="Times New Roman" w:hAnsi="Times New Roman" w:cs="Times New Roman"/>
          <w:sz w:val="20"/>
          <w:szCs w:val="20"/>
        </w:rPr>
        <w:t xml:space="preserve"> = 1). The highly fragmentary condition of the remains made it difficult to provide a precise age estimate based on available methods; future research will consider implementing tooth cementum annulation (TCA) to provide a more precise age estimate. Burial 9 did have extensive antemortem tooth loss, as well as excessive dental attrition, consistent with them being an older adult. Based on observations about dental loss and attrition, this individual was likely over 65 years of age; however, this general age estimate may be an overestimate since ancient Maya populations can exhibit antemortem tooth loss and dental pathologies at younger ages than reference populations, likely based on their diet. Paleopathological analysis revealed that Burial 9 had healed porotic hyperostosis on the occipital fragments and healed </w:t>
      </w:r>
      <w:proofErr w:type="spellStart"/>
      <w:r>
        <w:rPr>
          <w:rFonts w:ascii="Times New Roman" w:eastAsia="Times New Roman" w:hAnsi="Times New Roman" w:cs="Times New Roman"/>
          <w:sz w:val="20"/>
          <w:szCs w:val="20"/>
        </w:rPr>
        <w:t>cribra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orbitalia</w:t>
      </w:r>
      <w:proofErr w:type="spellEnd"/>
      <w:r>
        <w:rPr>
          <w:rFonts w:ascii="Times New Roman" w:eastAsia="Times New Roman" w:hAnsi="Times New Roman" w:cs="Times New Roman"/>
          <w:sz w:val="20"/>
          <w:szCs w:val="20"/>
        </w:rPr>
        <w:t xml:space="preserve"> on the orbital roofs of the frontal bone. Most of the posterior teeth had been lost antemortem and those that were retained had moderate occlusal wear and alveolar bone recession consistent with periodontal disease. Dental caries </w:t>
      </w:r>
      <w:proofErr w:type="gramStart"/>
      <w:r>
        <w:rPr>
          <w:rFonts w:ascii="Times New Roman" w:eastAsia="Times New Roman" w:hAnsi="Times New Roman" w:cs="Times New Roman"/>
          <w:sz w:val="20"/>
          <w:szCs w:val="20"/>
        </w:rPr>
        <w:t>were</w:t>
      </w:r>
      <w:proofErr w:type="gramEnd"/>
      <w:r>
        <w:rPr>
          <w:rFonts w:ascii="Times New Roman" w:eastAsia="Times New Roman" w:hAnsi="Times New Roman" w:cs="Times New Roman"/>
          <w:sz w:val="20"/>
          <w:szCs w:val="20"/>
        </w:rPr>
        <w:t xml:space="preserve"> observed at the cementum-enamel junction (CEJ) on the upper right M2. Linear enamel hypoplasia </w:t>
      </w:r>
      <w:proofErr w:type="gramStart"/>
      <w:r>
        <w:rPr>
          <w:rFonts w:ascii="Times New Roman" w:eastAsia="Times New Roman" w:hAnsi="Times New Roman" w:cs="Times New Roman"/>
          <w:sz w:val="20"/>
          <w:szCs w:val="20"/>
        </w:rPr>
        <w:t>were</w:t>
      </w:r>
      <w:proofErr w:type="gramEnd"/>
      <w:r>
        <w:rPr>
          <w:rFonts w:ascii="Times New Roman" w:eastAsia="Times New Roman" w:hAnsi="Times New Roman" w:cs="Times New Roman"/>
          <w:sz w:val="20"/>
          <w:szCs w:val="20"/>
        </w:rPr>
        <w:t xml:space="preserve"> recorded on the anterior surface of the maxillary left canine and, using criteria developed by Reid and Dean (Reid &amp; Dean, 2006), measurements of the LEH indicate they likely developed between 2-4 years, respectively (2.8-3.1 years based on the South African reference/3-3.8 years based on the northern European reference). The appearance of </w:t>
      </w:r>
      <w:r>
        <w:rPr>
          <w:rFonts w:ascii="Times New Roman" w:eastAsia="Times New Roman" w:hAnsi="Times New Roman" w:cs="Times New Roman"/>
          <w:sz w:val="20"/>
          <w:szCs w:val="20"/>
        </w:rPr>
        <w:lastRenderedPageBreak/>
        <w:t xml:space="preserve">enamel hypoplasia and porotic hyperostosis of the cranial bones collectively suggest </w:t>
      </w:r>
      <w:proofErr w:type="gramStart"/>
      <w:r>
        <w:rPr>
          <w:rFonts w:ascii="Times New Roman" w:eastAsia="Times New Roman" w:hAnsi="Times New Roman" w:cs="Times New Roman"/>
          <w:sz w:val="20"/>
          <w:szCs w:val="20"/>
        </w:rPr>
        <w:t>this individual endured metabolic stressors</w:t>
      </w:r>
      <w:proofErr w:type="gramEnd"/>
      <w:r>
        <w:rPr>
          <w:rFonts w:ascii="Times New Roman" w:eastAsia="Times New Roman" w:hAnsi="Times New Roman" w:cs="Times New Roman"/>
          <w:sz w:val="20"/>
          <w:szCs w:val="20"/>
        </w:rPr>
        <w:t xml:space="preserve"> in childhood, while the suite of dental pathologies support declining oral health as an artifact of an agricultural diet and advanced age. </w:t>
      </w:r>
    </w:p>
    <w:p w14:paraId="58CCF517" w14:textId="77777777" w:rsidR="00FD5C31" w:rsidRDefault="00FD5C31" w:rsidP="00FD5C31">
      <w:pPr>
        <w:tabs>
          <w:tab w:val="left" w:pos="810"/>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t xml:space="preserve">BR-123 Burial 9 is one of four individuals with dietary isotopic values (Table 6). The results show </w:t>
      </w:r>
      <w:r>
        <w:rPr>
          <w:rFonts w:ascii="Times New Roman" w:eastAsia="Times New Roman" w:hAnsi="Times New Roman" w:cs="Times New Roman"/>
          <w:i/>
          <w:sz w:val="20"/>
          <w:szCs w:val="20"/>
        </w:rPr>
        <w:t>δ</w:t>
      </w:r>
      <w:r>
        <w:rPr>
          <w:rFonts w:ascii="Times New Roman" w:eastAsia="Times New Roman" w:hAnsi="Times New Roman" w:cs="Times New Roman"/>
          <w:sz w:val="20"/>
          <w:szCs w:val="20"/>
          <w:vertAlign w:val="superscript"/>
        </w:rPr>
        <w:t>13</w:t>
      </w:r>
      <w:r>
        <w:rPr>
          <w:rFonts w:ascii="Times New Roman" w:eastAsia="Times New Roman" w:hAnsi="Times New Roman" w:cs="Times New Roman"/>
          <w:sz w:val="20"/>
          <w:szCs w:val="20"/>
        </w:rPr>
        <w:t>C</w:t>
      </w:r>
      <w:r>
        <w:rPr>
          <w:rFonts w:ascii="Times New Roman" w:eastAsia="Times New Roman" w:hAnsi="Times New Roman" w:cs="Times New Roman"/>
          <w:sz w:val="20"/>
          <w:szCs w:val="20"/>
          <w:vertAlign w:val="subscript"/>
        </w:rPr>
        <w:t>co</w:t>
      </w:r>
      <w:r>
        <w:rPr>
          <w:rFonts w:ascii="Times New Roman" w:eastAsia="Times New Roman" w:hAnsi="Times New Roman" w:cs="Times New Roman"/>
          <w:sz w:val="20"/>
          <w:szCs w:val="20"/>
        </w:rPr>
        <w:t xml:space="preserve"> (-13.3</w:t>
      </w:r>
      <w:r>
        <w:rPr>
          <w:rFonts w:ascii="Times New Roman" w:eastAsia="Times New Roman" w:hAnsi="Times New Roman" w:cs="Times New Roman"/>
          <w:color w:val="111111"/>
          <w:sz w:val="20"/>
          <w:szCs w:val="20"/>
          <w:highlight w:val="white"/>
        </w:rPr>
        <w:t>‰</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δ</w:t>
      </w:r>
      <w:r>
        <w:rPr>
          <w:rFonts w:ascii="Times New Roman" w:eastAsia="Times New Roman" w:hAnsi="Times New Roman" w:cs="Times New Roman"/>
          <w:sz w:val="20"/>
          <w:szCs w:val="20"/>
          <w:vertAlign w:val="superscript"/>
        </w:rPr>
        <w:t>13</w:t>
      </w:r>
      <w:r>
        <w:rPr>
          <w:rFonts w:ascii="Times New Roman" w:eastAsia="Times New Roman" w:hAnsi="Times New Roman" w:cs="Times New Roman"/>
          <w:sz w:val="20"/>
          <w:szCs w:val="20"/>
        </w:rPr>
        <w:t>C</w:t>
      </w:r>
      <w:r>
        <w:rPr>
          <w:rFonts w:ascii="Times New Roman" w:eastAsia="Times New Roman" w:hAnsi="Times New Roman" w:cs="Times New Roman"/>
          <w:sz w:val="20"/>
          <w:szCs w:val="20"/>
          <w:vertAlign w:val="subscript"/>
        </w:rPr>
        <w:t>ap</w:t>
      </w:r>
      <w:r>
        <w:rPr>
          <w:rFonts w:ascii="Times New Roman" w:eastAsia="Times New Roman" w:hAnsi="Times New Roman" w:cs="Times New Roman"/>
          <w:sz w:val="20"/>
          <w:szCs w:val="20"/>
        </w:rPr>
        <w:t xml:space="preserve"> (-7.9), and </w:t>
      </w:r>
      <w:r>
        <w:rPr>
          <w:rFonts w:ascii="Times New Roman" w:eastAsia="Times New Roman" w:hAnsi="Times New Roman" w:cs="Times New Roman"/>
          <w:i/>
          <w:sz w:val="20"/>
          <w:szCs w:val="20"/>
        </w:rPr>
        <w:t>δ</w:t>
      </w:r>
      <w:r>
        <w:rPr>
          <w:rFonts w:ascii="Times New Roman" w:eastAsia="Times New Roman" w:hAnsi="Times New Roman" w:cs="Times New Roman"/>
          <w:sz w:val="20"/>
          <w:szCs w:val="20"/>
          <w:vertAlign w:val="superscript"/>
        </w:rPr>
        <w:t>15</w:t>
      </w:r>
      <w:r>
        <w:rPr>
          <w:rFonts w:ascii="Times New Roman" w:eastAsia="Times New Roman" w:hAnsi="Times New Roman" w:cs="Times New Roman"/>
          <w:sz w:val="20"/>
          <w:szCs w:val="20"/>
        </w:rPr>
        <w:t>N</w:t>
      </w:r>
      <w:r>
        <w:rPr>
          <w:rFonts w:ascii="Times New Roman" w:eastAsia="Times New Roman" w:hAnsi="Times New Roman" w:cs="Times New Roman"/>
          <w:sz w:val="20"/>
          <w:szCs w:val="20"/>
          <w:vertAlign w:val="subscript"/>
        </w:rPr>
        <w:t>co</w:t>
      </w:r>
      <w:r>
        <w:rPr>
          <w:rFonts w:ascii="Times New Roman" w:eastAsia="Times New Roman" w:hAnsi="Times New Roman" w:cs="Times New Roman"/>
          <w:sz w:val="20"/>
          <w:szCs w:val="20"/>
        </w:rPr>
        <w:t xml:space="preserve"> isotope (+8.8</w:t>
      </w:r>
      <w:r>
        <w:rPr>
          <w:rFonts w:ascii="Times New Roman" w:eastAsia="Times New Roman" w:hAnsi="Times New Roman" w:cs="Times New Roman"/>
          <w:color w:val="111111"/>
          <w:sz w:val="20"/>
          <w:szCs w:val="20"/>
          <w:highlight w:val="white"/>
        </w:rPr>
        <w:t>‰</w:t>
      </w:r>
      <w:r>
        <w:rPr>
          <w:rFonts w:ascii="Times New Roman" w:eastAsia="Times New Roman" w:hAnsi="Times New Roman" w:cs="Times New Roman"/>
          <w:sz w:val="20"/>
          <w:szCs w:val="20"/>
        </w:rPr>
        <w:t>) values that fall within the expected ranges of individuals who lived in the Belize Valley consuming a maize-based diet (Gerry, 1993, 1997; Table 6). The collagen-apatite spacing suggests that C</w:t>
      </w:r>
      <w:r>
        <w:rPr>
          <w:rFonts w:ascii="Times New Roman" w:eastAsia="Times New Roman" w:hAnsi="Times New Roman" w:cs="Times New Roman"/>
          <w:sz w:val="20"/>
          <w:szCs w:val="20"/>
          <w:vertAlign w:val="subscript"/>
        </w:rPr>
        <w:t>4</w:t>
      </w:r>
      <w:r>
        <w:rPr>
          <w:rFonts w:ascii="Times New Roman" w:eastAsia="Times New Roman" w:hAnsi="Times New Roman" w:cs="Times New Roman"/>
          <w:sz w:val="20"/>
          <w:szCs w:val="20"/>
        </w:rPr>
        <w:t xml:space="preserve"> proteins contributed to the diet (</w:t>
      </w:r>
      <w:proofErr w:type="spellStart"/>
      <w:r>
        <w:rPr>
          <w:rFonts w:ascii="Times New Roman" w:eastAsia="Times New Roman" w:hAnsi="Times New Roman" w:cs="Times New Roman"/>
          <w:sz w:val="20"/>
          <w:szCs w:val="20"/>
        </w:rPr>
        <w:t>Hedman</w:t>
      </w:r>
      <w:proofErr w:type="spellEnd"/>
      <w:r>
        <w:rPr>
          <w:rFonts w:ascii="Times New Roman" w:eastAsia="Times New Roman" w:hAnsi="Times New Roman" w:cs="Times New Roman"/>
          <w:sz w:val="20"/>
          <w:szCs w:val="20"/>
        </w:rPr>
        <w:t xml:space="preserve"> et al., 2002). However, BR-123 Burial 9 had a non-local signature (</w:t>
      </w:r>
      <w:r>
        <w:rPr>
          <w:rFonts w:ascii="Times New Roman" w:eastAsia="Times New Roman" w:hAnsi="Times New Roman" w:cs="Times New Roman"/>
          <w:sz w:val="20"/>
          <w:szCs w:val="20"/>
          <w:vertAlign w:val="superscript"/>
        </w:rPr>
        <w:t>87</w:t>
      </w:r>
      <w:r>
        <w:rPr>
          <w:rFonts w:ascii="Times New Roman" w:eastAsia="Times New Roman" w:hAnsi="Times New Roman" w:cs="Times New Roman"/>
          <w:sz w:val="20"/>
          <w:szCs w:val="20"/>
        </w:rPr>
        <w:t>Sr/</w:t>
      </w:r>
      <w:r>
        <w:rPr>
          <w:rFonts w:ascii="Times New Roman" w:eastAsia="Times New Roman" w:hAnsi="Times New Roman" w:cs="Times New Roman"/>
          <w:sz w:val="20"/>
          <w:szCs w:val="20"/>
          <w:vertAlign w:val="superscript"/>
        </w:rPr>
        <w:t>86</w:t>
      </w:r>
      <w:r>
        <w:rPr>
          <w:rFonts w:ascii="Times New Roman" w:eastAsia="Times New Roman" w:hAnsi="Times New Roman" w:cs="Times New Roman"/>
          <w:sz w:val="20"/>
          <w:szCs w:val="20"/>
        </w:rPr>
        <w:t>Sr = 0.70959) representing a place of birth near the Maya Mountains, the only location with similar signatures (</w:t>
      </w:r>
      <w:proofErr w:type="spellStart"/>
      <w:r>
        <w:rPr>
          <w:rFonts w:ascii="Times New Roman" w:eastAsia="Times New Roman" w:hAnsi="Times New Roman" w:cs="Times New Roman"/>
          <w:sz w:val="20"/>
          <w:szCs w:val="20"/>
        </w:rPr>
        <w:t>Freiwald</w:t>
      </w:r>
      <w:proofErr w:type="spellEnd"/>
      <w:r>
        <w:rPr>
          <w:rFonts w:ascii="Times New Roman" w:eastAsia="Times New Roman" w:hAnsi="Times New Roman" w:cs="Times New Roman"/>
          <w:sz w:val="20"/>
          <w:szCs w:val="20"/>
        </w:rPr>
        <w:t xml:space="preserve">, 2021: 38). </w:t>
      </w:r>
    </w:p>
    <w:p w14:paraId="49E3536A" w14:textId="77777777" w:rsidR="00FD5C31" w:rsidRDefault="00FD5C31" w:rsidP="00FD5C31">
      <w:pPr>
        <w:tabs>
          <w:tab w:val="left" w:pos="810"/>
        </w:tabs>
        <w:spacing w:after="0" w:line="240" w:lineRule="auto"/>
        <w:jc w:val="both"/>
        <w:rPr>
          <w:rFonts w:ascii="Times New Roman" w:eastAsia="Times New Roman" w:hAnsi="Times New Roman" w:cs="Times New Roman"/>
          <w:i/>
          <w:sz w:val="20"/>
          <w:szCs w:val="20"/>
        </w:rPr>
      </w:pPr>
    </w:p>
    <w:p w14:paraId="3103F51B" w14:textId="0450E40C" w:rsidR="00FD5C31" w:rsidRDefault="00FD5C31" w:rsidP="00FD5C31">
      <w:pPr>
        <w:tabs>
          <w:tab w:val="left" w:pos="810"/>
        </w:tabs>
        <w:spacing w:after="0"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BR-123 Burial 17 - Late-Terminal Classic burial in high-status commoner northeastern structure</w:t>
      </w:r>
    </w:p>
    <w:p w14:paraId="7FDEE05A" w14:textId="77777777" w:rsidR="00FD5C31" w:rsidRDefault="00FD5C31" w:rsidP="00FD5C31">
      <w:pPr>
        <w:tabs>
          <w:tab w:val="left" w:pos="810"/>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t xml:space="preserve">Burial 17 was excavated with other burials in BR-123 at Barton Ramie and is currently curated at the PMAE. Based on the burial depth and stratigraphy, this burial may have been intrusive into both Floors F and G, which was in poor condition and consisted of clay soils. BR-123 Burial 17 has not been radiocarbon dated but was accompanied by a Rubber Camp Brown vessel, which dates firmly to the Spanish Lookout phase (Late-Terminal Classic). Willey and colleagues’ (1965:101, 119) description and plan map of BR-123 burials in Sections 7 and 9 shows that Burial 17 was largely incomplete (20%) but was found more or less in situ and consisted of a partial, fragmented cranium, three loose teeth, vertebrae, left humerus, right radius and ulna, and left femur and tibia with the left being in the flexed position and the arm bones being located roughly adjacent to where the thorax would have been. The burial was laid prone, face down in the VPLF position with the head oriented to the south - consistent with other VPLFs. According to excavation records, Burial 17 had a single tooth with dental modification, specifically dental filing in the A1 style (Willey et al., 1965:539-541) and was likely an adult male. </w:t>
      </w:r>
    </w:p>
    <w:p w14:paraId="2451CAD8" w14:textId="77777777" w:rsidR="00FD5C31" w:rsidRDefault="00FD5C31" w:rsidP="00FD5C31">
      <w:pPr>
        <w:tabs>
          <w:tab w:val="left" w:pos="810"/>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t xml:space="preserve">Osteological analysis by Kelmelis showed that the excavation inventory was </w:t>
      </w:r>
      <w:proofErr w:type="gramStart"/>
      <w:r>
        <w:rPr>
          <w:rFonts w:ascii="Times New Roman" w:eastAsia="Times New Roman" w:hAnsi="Times New Roman" w:cs="Times New Roman"/>
          <w:sz w:val="20"/>
          <w:szCs w:val="20"/>
        </w:rPr>
        <w:t>fairly consistent</w:t>
      </w:r>
      <w:proofErr w:type="gramEnd"/>
      <w:r>
        <w:rPr>
          <w:rFonts w:ascii="Times New Roman" w:eastAsia="Times New Roman" w:hAnsi="Times New Roman" w:cs="Times New Roman"/>
          <w:sz w:val="20"/>
          <w:szCs w:val="20"/>
        </w:rPr>
        <w:t xml:space="preserve"> with the fragmented, incomplete individual examined post-excavation, although there were missing elements from the lower limbs and the loose teeth (&lt;25% complete). Sex estimation of Burial 17 using criteria and software by </w:t>
      </w:r>
      <w:proofErr w:type="spellStart"/>
      <w:proofErr w:type="gramStart"/>
      <w:r>
        <w:rPr>
          <w:rFonts w:ascii="Times New Roman" w:eastAsia="Times New Roman" w:hAnsi="Times New Roman" w:cs="Times New Roman"/>
          <w:sz w:val="20"/>
          <w:szCs w:val="20"/>
        </w:rPr>
        <w:t>Klales</w:t>
      </w:r>
      <w:proofErr w:type="spellEnd"/>
      <w:proofErr w:type="gramEnd"/>
      <w:r>
        <w:rPr>
          <w:rFonts w:ascii="Times New Roman" w:eastAsia="Times New Roman" w:hAnsi="Times New Roman" w:cs="Times New Roman"/>
          <w:sz w:val="20"/>
          <w:szCs w:val="20"/>
        </w:rPr>
        <w:t xml:space="preserve"> and colleagues (2020) supports the original estimation based on the preserved cranial features of the mastoid processes and external occipital protuberance displaying robust characteristics consistent with a possible male estimation. Age estimation using transition analysis was not feasible based on missing and poorly preserved elements (for TA3 there should be a minimum of three indicators); however, this individual was likely a younger adult between 17-26 years old based on the retention of fusion line on the inferior aspect of the vertebral bodies (Schaefer et al., 2009). The cranial fragments from the parietal and occipital bones displayed signs of porotic hyperostosis on the ectocranial surface and in a state of mixed healing. The tibial fragments also displayed signs of periostitis in a state of healing. No dental observations were made based on the lack of available teeth. </w:t>
      </w:r>
    </w:p>
    <w:p w14:paraId="70DF748B" w14:textId="77777777" w:rsidR="00FD5C31" w:rsidRDefault="00FD5C31" w:rsidP="00FD5C31">
      <w:pPr>
        <w:tabs>
          <w:tab w:val="left" w:pos="810"/>
        </w:tabs>
        <w:spacing w:after="0" w:line="240" w:lineRule="auto"/>
        <w:jc w:val="both"/>
        <w:rPr>
          <w:rFonts w:ascii="Times New Roman" w:eastAsia="Times New Roman" w:hAnsi="Times New Roman" w:cs="Times New Roman"/>
          <w:sz w:val="20"/>
          <w:szCs w:val="20"/>
        </w:rPr>
      </w:pPr>
    </w:p>
    <w:p w14:paraId="4786DB8D" w14:textId="2E494D78" w:rsidR="00FD5C31" w:rsidRDefault="00FD5C31" w:rsidP="00FD5C31">
      <w:pPr>
        <w:tabs>
          <w:tab w:val="left" w:pos="810"/>
        </w:tabs>
        <w:spacing w:after="0"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BR-123 Burial 20 – Terminal Preclassic-Early Classic burial in high-status commoner northeastern structure </w:t>
      </w:r>
    </w:p>
    <w:p w14:paraId="1BA18F29" w14:textId="77777777" w:rsidR="00FD5C31" w:rsidRDefault="00FD5C31" w:rsidP="00FD5C31">
      <w:pPr>
        <w:tabs>
          <w:tab w:val="left" w:pos="810"/>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t xml:space="preserve">Burial 20 was excavated in Section 7 at roughly the same depth as adjacent Burial 19. Willey and colleagues’ (1965: 101, 120) description and plan map shows a primary individual laid prone, with the right arm bent at the elbow so the </w:t>
      </w:r>
      <w:proofErr w:type="gramStart"/>
      <w:r>
        <w:rPr>
          <w:rFonts w:ascii="Times New Roman" w:eastAsia="Times New Roman" w:hAnsi="Times New Roman" w:cs="Times New Roman"/>
          <w:sz w:val="20"/>
          <w:szCs w:val="20"/>
        </w:rPr>
        <w:t>right hand</w:t>
      </w:r>
      <w:proofErr w:type="gramEnd"/>
      <w:r>
        <w:rPr>
          <w:rFonts w:ascii="Times New Roman" w:eastAsia="Times New Roman" w:hAnsi="Times New Roman" w:cs="Times New Roman"/>
          <w:sz w:val="20"/>
          <w:szCs w:val="20"/>
        </w:rPr>
        <w:t xml:space="preserve"> lay palm up under the left humerus, which laid extended along the thorax, and the tibia and fibula of each leg flexed towards the femur, consistent with the VPLF position. The orientation of the burial was roughly west of north with the head oriented towards the south. The head was placed face down in an </w:t>
      </w:r>
      <w:proofErr w:type="spellStart"/>
      <w:r>
        <w:rPr>
          <w:rFonts w:ascii="Times New Roman" w:eastAsia="Times New Roman" w:hAnsi="Times New Roman" w:cs="Times New Roman"/>
          <w:sz w:val="20"/>
          <w:szCs w:val="20"/>
        </w:rPr>
        <w:t>Aguacate</w:t>
      </w:r>
      <w:proofErr w:type="spellEnd"/>
      <w:r>
        <w:rPr>
          <w:rFonts w:ascii="Times New Roman" w:eastAsia="Times New Roman" w:hAnsi="Times New Roman" w:cs="Times New Roman"/>
          <w:sz w:val="20"/>
          <w:szCs w:val="20"/>
        </w:rPr>
        <w:t xml:space="preserve"> Orange: </w:t>
      </w:r>
      <w:proofErr w:type="spellStart"/>
      <w:r>
        <w:rPr>
          <w:rFonts w:ascii="Times New Roman" w:eastAsia="Times New Roman" w:hAnsi="Times New Roman" w:cs="Times New Roman"/>
          <w:sz w:val="20"/>
          <w:szCs w:val="20"/>
        </w:rPr>
        <w:t>Privacción</w:t>
      </w:r>
      <w:proofErr w:type="spellEnd"/>
      <w:r>
        <w:rPr>
          <w:rFonts w:ascii="Times New Roman" w:eastAsia="Times New Roman" w:hAnsi="Times New Roman" w:cs="Times New Roman"/>
          <w:sz w:val="20"/>
          <w:szCs w:val="20"/>
        </w:rPr>
        <w:t xml:space="preserve"> Variety jar or bowl with an </w:t>
      </w:r>
      <w:proofErr w:type="spellStart"/>
      <w:r>
        <w:rPr>
          <w:rFonts w:ascii="Times New Roman" w:eastAsia="Times New Roman" w:hAnsi="Times New Roman" w:cs="Times New Roman"/>
          <w:sz w:val="20"/>
          <w:szCs w:val="20"/>
        </w:rPr>
        <w:t>Aguacate</w:t>
      </w:r>
      <w:proofErr w:type="spellEnd"/>
      <w:r>
        <w:rPr>
          <w:rFonts w:ascii="Times New Roman" w:eastAsia="Times New Roman" w:hAnsi="Times New Roman" w:cs="Times New Roman"/>
          <w:sz w:val="20"/>
          <w:szCs w:val="20"/>
        </w:rPr>
        <w:t xml:space="preserve"> Orange: </w:t>
      </w:r>
      <w:proofErr w:type="spellStart"/>
      <w:r>
        <w:rPr>
          <w:rFonts w:ascii="Times New Roman" w:eastAsia="Times New Roman" w:hAnsi="Times New Roman" w:cs="Times New Roman"/>
          <w:sz w:val="20"/>
          <w:szCs w:val="20"/>
        </w:rPr>
        <w:t>Holja</w:t>
      </w:r>
      <w:proofErr w:type="spellEnd"/>
      <w:r>
        <w:rPr>
          <w:rFonts w:ascii="Times New Roman" w:eastAsia="Times New Roman" w:hAnsi="Times New Roman" w:cs="Times New Roman"/>
          <w:sz w:val="20"/>
          <w:szCs w:val="20"/>
        </w:rPr>
        <w:t xml:space="preserve"> Variety jar on top of the broken back of the crania. Both vessels had been broken by the compression of the clay fill and plaster floor. This burial represents the earliest evidence of the VPLF tradition at Lower Dover. The close physical proximity of the ceramic vessels to the individual strongly suggests the interment was contemporaneous with the ceramic vessels. It is however, now recognized that </w:t>
      </w:r>
      <w:proofErr w:type="spellStart"/>
      <w:r>
        <w:rPr>
          <w:rFonts w:ascii="Times New Roman" w:eastAsia="Times New Roman" w:hAnsi="Times New Roman" w:cs="Times New Roman"/>
          <w:sz w:val="20"/>
          <w:szCs w:val="20"/>
        </w:rPr>
        <w:t>Aguacate</w:t>
      </w:r>
      <w:proofErr w:type="spellEnd"/>
      <w:r>
        <w:rPr>
          <w:rFonts w:ascii="Times New Roman" w:eastAsia="Times New Roman" w:hAnsi="Times New Roman" w:cs="Times New Roman"/>
          <w:sz w:val="20"/>
          <w:szCs w:val="20"/>
        </w:rPr>
        <w:t xml:space="preserve"> Orange persists from the Terminal Preclassic (Floral Park) phase into the Early Classic (Hermitage phase) at Barton Ramie (Lincoln, 1985; Walden, 2021). Subsequently, it is probable that this individual was dated to the Early Classic period. Skeletal observations were limited to describing the individual as a young adult male without a detailed basis for the estimations. At the time of excavation, the remains were recorded as being mostly complete (&gt;75%), including the skull, vertebrae, both upper arm bones, pelvis, and lower limb bones and nonintrusive. </w:t>
      </w:r>
    </w:p>
    <w:p w14:paraId="1FFDD0B1" w14:textId="77777777" w:rsidR="00FD5C31" w:rsidRDefault="00FD5C31" w:rsidP="00FD5C31">
      <w:pPr>
        <w:tabs>
          <w:tab w:val="left" w:pos="810"/>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t>Post-excavation analysis at the PMAE showed the remains were fragmentary and largely incomplete (&lt;25%), consisting of cranial fragments and teeth and postcranial fragments of the right humerus, left and right radius, and left femur. Sex estimation of this individual appeared to be consistent with a possible male based on cranial morphology, including the mental protuberance (</w:t>
      </w:r>
      <w:proofErr w:type="spellStart"/>
      <w:r>
        <w:rPr>
          <w:rFonts w:ascii="Times New Roman" w:eastAsia="Times New Roman" w:hAnsi="Times New Roman" w:cs="Times New Roman"/>
          <w:sz w:val="20"/>
          <w:szCs w:val="20"/>
        </w:rPr>
        <w:t>Klales</w:t>
      </w:r>
      <w:proofErr w:type="spellEnd"/>
      <w:r>
        <w:rPr>
          <w:rFonts w:ascii="Times New Roman" w:eastAsia="Times New Roman" w:hAnsi="Times New Roman" w:cs="Times New Roman"/>
          <w:sz w:val="20"/>
          <w:szCs w:val="20"/>
        </w:rPr>
        <w:t xml:space="preserve"> et al., 2020). Poor preservation of the remains impeded precise age estimation, although subjective analysis based on dental attrition and loss suggests this individual is consistent with a young adult (late teens-20s) based on minimal dental wear of the posterior teeth, which tend to endure wear earlier and more severely in this population, followed by antemortem dental loss. Future research using TCA may </w:t>
      </w:r>
      <w:r>
        <w:rPr>
          <w:rFonts w:ascii="Times New Roman" w:eastAsia="Times New Roman" w:hAnsi="Times New Roman" w:cs="Times New Roman"/>
          <w:sz w:val="20"/>
          <w:szCs w:val="20"/>
        </w:rPr>
        <w:lastRenderedPageBreak/>
        <w:t xml:space="preserve">provide additional information on the precise age for this individual. Paleopathological observations consisted of recorded dental calculus, minimal dental attrition, caries at the CEJ, and enamel </w:t>
      </w:r>
      <w:proofErr w:type="spellStart"/>
      <w:r>
        <w:rPr>
          <w:rFonts w:ascii="Times New Roman" w:eastAsia="Times New Roman" w:hAnsi="Times New Roman" w:cs="Times New Roman"/>
          <w:sz w:val="20"/>
          <w:szCs w:val="20"/>
        </w:rPr>
        <w:t>hypoplasias</w:t>
      </w:r>
      <w:proofErr w:type="spellEnd"/>
      <w:r>
        <w:rPr>
          <w:rFonts w:ascii="Times New Roman" w:eastAsia="Times New Roman" w:hAnsi="Times New Roman" w:cs="Times New Roman"/>
          <w:sz w:val="20"/>
          <w:szCs w:val="20"/>
        </w:rPr>
        <w:t xml:space="preserve">. LEH were recorded on the maxillary right canine and, using criteria by Reid and Dean (2006) and were scored and estimated to have occurred at approximately 3-4 years (3-3.8 years based on the South African reference/2.8-3.5 years based on the northern European reference). The timing of this enamel defect is consistent with childhood stress events, such as childhood infectious diseases and iron deficiency anemia </w:t>
      </w:r>
      <w:proofErr w:type="gramStart"/>
      <w:r>
        <w:rPr>
          <w:rFonts w:ascii="Times New Roman" w:eastAsia="Times New Roman" w:hAnsi="Times New Roman" w:cs="Times New Roman"/>
          <w:sz w:val="20"/>
          <w:szCs w:val="20"/>
        </w:rPr>
        <w:t>as a result of</w:t>
      </w:r>
      <w:proofErr w:type="gramEnd"/>
      <w:r>
        <w:rPr>
          <w:rFonts w:ascii="Times New Roman" w:eastAsia="Times New Roman" w:hAnsi="Times New Roman" w:cs="Times New Roman"/>
          <w:sz w:val="20"/>
          <w:szCs w:val="20"/>
        </w:rPr>
        <w:t xml:space="preserve"> severe malnutrition. </w:t>
      </w:r>
    </w:p>
    <w:p w14:paraId="673BE400" w14:textId="77777777" w:rsidR="00FD5C31" w:rsidRDefault="00FD5C31" w:rsidP="00FD5C31">
      <w:pPr>
        <w:tabs>
          <w:tab w:val="left" w:pos="810"/>
        </w:tabs>
        <w:spacing w:after="0" w:line="240" w:lineRule="auto"/>
        <w:jc w:val="both"/>
        <w:rPr>
          <w:rFonts w:ascii="Times New Roman" w:eastAsia="Times New Roman" w:hAnsi="Times New Roman" w:cs="Times New Roman"/>
          <w:sz w:val="20"/>
          <w:szCs w:val="20"/>
        </w:rPr>
      </w:pPr>
    </w:p>
    <w:p w14:paraId="7FA6BBB2" w14:textId="4D2DB568" w:rsidR="00FD5C31" w:rsidRDefault="00FD5C31" w:rsidP="00FD5C31">
      <w:pPr>
        <w:tabs>
          <w:tab w:val="left" w:pos="810"/>
        </w:tabs>
        <w:spacing w:after="0"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BR-123 Burial 23 - Late-Terminal Classic burial in a high-status commoner northeastern structure</w:t>
      </w:r>
    </w:p>
    <w:p w14:paraId="3A7BAADA" w14:textId="77777777" w:rsidR="00FD5C31" w:rsidRDefault="00FD5C31" w:rsidP="00FD5C31">
      <w:pPr>
        <w:tabs>
          <w:tab w:val="left" w:pos="810"/>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t xml:space="preserve">Willey and colleagues (1965:121) report described Burial 23 as being a mostly complete (&gt;75%), primary, intrusive burial in Sections 14 and 19 of BR-123 in clay fill. The dating of the burial was complicated by the architectural sequence. The burial was an Early or Late Classic intrusion into Late Preclassic fill depending on whether the individual was placed intrusively through one (Floor G) or two (Floor F) floors. It is generally thought this burial was consistent with the Spanish Lookout phase based on its position and relation to other burials (Burial 10); however, no associated materials recovered with the burial. The remains were placed prone, face down in the VPLF position with the head oriented towards the south and the left arm laid alongside the body and right hand was positioned palm up below the pelvis. The osteological observations for this burial were limited to a general assessment that this individual was likely a young adult male without detailing what elements were present or map of the burial. </w:t>
      </w:r>
    </w:p>
    <w:p w14:paraId="35564B88" w14:textId="77777777" w:rsidR="00FD5C31" w:rsidRDefault="00FD5C31" w:rsidP="00FD5C31">
      <w:pPr>
        <w:tabs>
          <w:tab w:val="left" w:pos="810"/>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t xml:space="preserve">The osteological inventory at the PMAE consisted of an incomplete skeleton (&lt;25%) with cranial fragments and dentition and fragments from the right humerus, left radius, left ulna, left and right femur, and left and right tibia. Age was estimated to be approximately 15 (+/- 3 years) based on dental formation and eruption using criteria from </w:t>
      </w:r>
      <w:proofErr w:type="spellStart"/>
      <w:r>
        <w:rPr>
          <w:rFonts w:ascii="Times New Roman" w:eastAsia="Times New Roman" w:hAnsi="Times New Roman" w:cs="Times New Roman"/>
          <w:sz w:val="20"/>
          <w:szCs w:val="20"/>
        </w:rPr>
        <w:t>Ubelaker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Buikstra</w:t>
      </w:r>
      <w:proofErr w:type="spellEnd"/>
      <w:r>
        <w:rPr>
          <w:rFonts w:ascii="Times New Roman" w:eastAsia="Times New Roman" w:hAnsi="Times New Roman" w:cs="Times New Roman"/>
          <w:sz w:val="20"/>
          <w:szCs w:val="20"/>
        </w:rPr>
        <w:t xml:space="preserve"> &amp; </w:t>
      </w:r>
      <w:proofErr w:type="spellStart"/>
      <w:r>
        <w:rPr>
          <w:rFonts w:ascii="Times New Roman" w:eastAsia="Times New Roman" w:hAnsi="Times New Roman" w:cs="Times New Roman"/>
          <w:sz w:val="20"/>
          <w:szCs w:val="20"/>
        </w:rPr>
        <w:t>Ubelaker</w:t>
      </w:r>
      <w:proofErr w:type="spellEnd"/>
      <w:r>
        <w:rPr>
          <w:rFonts w:ascii="Times New Roman" w:eastAsia="Times New Roman" w:hAnsi="Times New Roman" w:cs="Times New Roman"/>
          <w:sz w:val="20"/>
          <w:szCs w:val="20"/>
        </w:rPr>
        <w:t xml:space="preserve">, 1994); additional analyses using criteria by </w:t>
      </w:r>
      <w:proofErr w:type="spellStart"/>
      <w:proofErr w:type="gramStart"/>
      <w:r>
        <w:rPr>
          <w:rFonts w:ascii="Times New Roman" w:eastAsia="Times New Roman" w:hAnsi="Times New Roman" w:cs="Times New Roman"/>
          <w:sz w:val="20"/>
          <w:szCs w:val="20"/>
        </w:rPr>
        <w:t>AlQahtani</w:t>
      </w:r>
      <w:proofErr w:type="spellEnd"/>
      <w:proofErr w:type="gramEnd"/>
      <w:r>
        <w:rPr>
          <w:rFonts w:ascii="Times New Roman" w:eastAsia="Times New Roman" w:hAnsi="Times New Roman" w:cs="Times New Roman"/>
          <w:sz w:val="20"/>
          <w:szCs w:val="20"/>
        </w:rPr>
        <w:t xml:space="preserve"> and colleagues (2010) estimated them to be approximately 16.5 years. The young age of this individual is also supported by the lack of observed dental wear, which is </w:t>
      </w:r>
      <w:proofErr w:type="gramStart"/>
      <w:r>
        <w:rPr>
          <w:rFonts w:ascii="Times New Roman" w:eastAsia="Times New Roman" w:hAnsi="Times New Roman" w:cs="Times New Roman"/>
          <w:sz w:val="20"/>
          <w:szCs w:val="20"/>
        </w:rPr>
        <w:t>fairly common</w:t>
      </w:r>
      <w:proofErr w:type="gramEnd"/>
      <w:r>
        <w:rPr>
          <w:rFonts w:ascii="Times New Roman" w:eastAsia="Times New Roman" w:hAnsi="Times New Roman" w:cs="Times New Roman"/>
          <w:sz w:val="20"/>
          <w:szCs w:val="20"/>
        </w:rPr>
        <w:t xml:space="preserve"> in paleopathological analyses of burials from this region. Sex could not be confidently estimated as male or female based on the lack of pelvic bones and indeterminate features of the cranium, leading to an estimate of this individual being indeterminate based on their age. There was considerable postmortem damage to the available skeletal and dental tissues, which impeded paleopathological analysis. Preserved teeth showed signs of dental calculus, but no signs of dental caries and enamel </w:t>
      </w:r>
      <w:proofErr w:type="spellStart"/>
      <w:r>
        <w:rPr>
          <w:rFonts w:ascii="Times New Roman" w:eastAsia="Times New Roman" w:hAnsi="Times New Roman" w:cs="Times New Roman"/>
          <w:sz w:val="20"/>
          <w:szCs w:val="20"/>
        </w:rPr>
        <w:t>hypoplasias</w:t>
      </w:r>
      <w:proofErr w:type="spellEnd"/>
      <w:r>
        <w:rPr>
          <w:rFonts w:ascii="Times New Roman" w:eastAsia="Times New Roman" w:hAnsi="Times New Roman" w:cs="Times New Roman"/>
          <w:sz w:val="20"/>
          <w:szCs w:val="20"/>
        </w:rPr>
        <w:t xml:space="preserve">. </w:t>
      </w:r>
    </w:p>
    <w:p w14:paraId="4A9C6E2E" w14:textId="70A5E566" w:rsidR="00FD5C31" w:rsidRDefault="00FD5C31" w:rsidP="00FD5C31">
      <w:pPr>
        <w:tabs>
          <w:tab w:val="left" w:pos="810"/>
        </w:tabs>
        <w:spacing w:after="0"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ab/>
        <w:t xml:space="preserve">BR-123 Burial 23 results show </w:t>
      </w:r>
      <w:r>
        <w:rPr>
          <w:rFonts w:ascii="Times New Roman" w:eastAsia="Times New Roman" w:hAnsi="Times New Roman" w:cs="Times New Roman"/>
          <w:i/>
          <w:sz w:val="20"/>
          <w:szCs w:val="20"/>
        </w:rPr>
        <w:t>δ</w:t>
      </w:r>
      <w:r>
        <w:rPr>
          <w:rFonts w:ascii="Times New Roman" w:eastAsia="Times New Roman" w:hAnsi="Times New Roman" w:cs="Times New Roman"/>
          <w:sz w:val="20"/>
          <w:szCs w:val="20"/>
          <w:vertAlign w:val="superscript"/>
        </w:rPr>
        <w:t>13</w:t>
      </w:r>
      <w:r>
        <w:rPr>
          <w:rFonts w:ascii="Times New Roman" w:eastAsia="Times New Roman" w:hAnsi="Times New Roman" w:cs="Times New Roman"/>
          <w:sz w:val="20"/>
          <w:szCs w:val="20"/>
        </w:rPr>
        <w:t>C</w:t>
      </w:r>
      <w:r>
        <w:rPr>
          <w:rFonts w:ascii="Times New Roman" w:eastAsia="Times New Roman" w:hAnsi="Times New Roman" w:cs="Times New Roman"/>
          <w:sz w:val="20"/>
          <w:szCs w:val="20"/>
          <w:vertAlign w:val="subscript"/>
        </w:rPr>
        <w:t>co</w:t>
      </w:r>
      <w:r>
        <w:rPr>
          <w:rFonts w:ascii="Times New Roman" w:eastAsia="Times New Roman" w:hAnsi="Times New Roman" w:cs="Times New Roman"/>
          <w:sz w:val="20"/>
          <w:szCs w:val="20"/>
        </w:rPr>
        <w:t xml:space="preserve"> (-10.6</w:t>
      </w:r>
      <w:r>
        <w:rPr>
          <w:rFonts w:ascii="Times New Roman" w:eastAsia="Times New Roman" w:hAnsi="Times New Roman" w:cs="Times New Roman"/>
          <w:color w:val="111111"/>
          <w:sz w:val="20"/>
          <w:szCs w:val="20"/>
          <w:highlight w:val="white"/>
        </w:rPr>
        <w:t>‰</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δ</w:t>
      </w:r>
      <w:r>
        <w:rPr>
          <w:rFonts w:ascii="Times New Roman" w:eastAsia="Times New Roman" w:hAnsi="Times New Roman" w:cs="Times New Roman"/>
          <w:sz w:val="20"/>
          <w:szCs w:val="20"/>
          <w:vertAlign w:val="superscript"/>
        </w:rPr>
        <w:t>13</w:t>
      </w:r>
      <w:r>
        <w:rPr>
          <w:rFonts w:ascii="Times New Roman" w:eastAsia="Times New Roman" w:hAnsi="Times New Roman" w:cs="Times New Roman"/>
          <w:sz w:val="20"/>
          <w:szCs w:val="20"/>
        </w:rPr>
        <w:t>C</w:t>
      </w:r>
      <w:r>
        <w:rPr>
          <w:rFonts w:ascii="Times New Roman" w:eastAsia="Times New Roman" w:hAnsi="Times New Roman" w:cs="Times New Roman"/>
          <w:sz w:val="20"/>
          <w:szCs w:val="20"/>
          <w:vertAlign w:val="subscript"/>
        </w:rPr>
        <w:t>ap</w:t>
      </w:r>
      <w:r>
        <w:rPr>
          <w:rFonts w:ascii="Times New Roman" w:eastAsia="Times New Roman" w:hAnsi="Times New Roman" w:cs="Times New Roman"/>
          <w:sz w:val="20"/>
          <w:szCs w:val="20"/>
        </w:rPr>
        <w:t xml:space="preserve"> (-6.5), and </w:t>
      </w:r>
      <w:r>
        <w:rPr>
          <w:rFonts w:ascii="Times New Roman" w:eastAsia="Times New Roman" w:hAnsi="Times New Roman" w:cs="Times New Roman"/>
          <w:i/>
          <w:sz w:val="20"/>
          <w:szCs w:val="20"/>
        </w:rPr>
        <w:t>δ</w:t>
      </w:r>
      <w:r>
        <w:rPr>
          <w:rFonts w:ascii="Times New Roman" w:eastAsia="Times New Roman" w:hAnsi="Times New Roman" w:cs="Times New Roman"/>
          <w:sz w:val="20"/>
          <w:szCs w:val="20"/>
          <w:vertAlign w:val="superscript"/>
        </w:rPr>
        <w:t>15</w:t>
      </w:r>
      <w:r>
        <w:rPr>
          <w:rFonts w:ascii="Times New Roman" w:eastAsia="Times New Roman" w:hAnsi="Times New Roman" w:cs="Times New Roman"/>
          <w:sz w:val="20"/>
          <w:szCs w:val="20"/>
        </w:rPr>
        <w:t>N</w:t>
      </w:r>
      <w:r>
        <w:rPr>
          <w:rFonts w:ascii="Times New Roman" w:eastAsia="Times New Roman" w:hAnsi="Times New Roman" w:cs="Times New Roman"/>
          <w:sz w:val="20"/>
          <w:szCs w:val="20"/>
          <w:vertAlign w:val="subscript"/>
        </w:rPr>
        <w:t>co</w:t>
      </w:r>
      <w:r>
        <w:rPr>
          <w:rFonts w:ascii="Times New Roman" w:eastAsia="Times New Roman" w:hAnsi="Times New Roman" w:cs="Times New Roman"/>
          <w:sz w:val="20"/>
          <w:szCs w:val="20"/>
        </w:rPr>
        <w:t xml:space="preserve"> isotope (+9.2</w:t>
      </w:r>
      <w:r>
        <w:rPr>
          <w:rFonts w:ascii="Times New Roman" w:eastAsia="Times New Roman" w:hAnsi="Times New Roman" w:cs="Times New Roman"/>
          <w:color w:val="111111"/>
          <w:sz w:val="20"/>
          <w:szCs w:val="20"/>
          <w:highlight w:val="white"/>
        </w:rPr>
        <w:t>‰</w:t>
      </w:r>
      <w:r>
        <w:rPr>
          <w:rFonts w:ascii="Times New Roman" w:eastAsia="Times New Roman" w:hAnsi="Times New Roman" w:cs="Times New Roman"/>
          <w:sz w:val="20"/>
          <w:szCs w:val="20"/>
        </w:rPr>
        <w:t>)</w:t>
      </w:r>
      <w:r w:rsidR="00C45EC2">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carbon and nitrogen values show a diet that falls within the expected ranges of individuals who lived in the region (Gerry, 1993, 1997; Table 6), with collagen-apatite spacing that suggest C</w:t>
      </w:r>
      <w:r>
        <w:rPr>
          <w:rFonts w:ascii="Times New Roman" w:eastAsia="Times New Roman" w:hAnsi="Times New Roman" w:cs="Times New Roman"/>
          <w:sz w:val="20"/>
          <w:szCs w:val="20"/>
          <w:vertAlign w:val="subscript"/>
        </w:rPr>
        <w:t>4</w:t>
      </w:r>
      <w:r>
        <w:rPr>
          <w:rFonts w:ascii="Times New Roman" w:eastAsia="Times New Roman" w:hAnsi="Times New Roman" w:cs="Times New Roman"/>
          <w:sz w:val="20"/>
          <w:szCs w:val="20"/>
        </w:rPr>
        <w:t xml:space="preserve"> input came more from total diet than its protein component (Table 6) (</w:t>
      </w:r>
      <w:proofErr w:type="spellStart"/>
      <w:r>
        <w:rPr>
          <w:rFonts w:ascii="Times New Roman" w:eastAsia="Times New Roman" w:hAnsi="Times New Roman" w:cs="Times New Roman"/>
          <w:sz w:val="20"/>
          <w:szCs w:val="20"/>
        </w:rPr>
        <w:t>Hedman</w:t>
      </w:r>
      <w:proofErr w:type="spellEnd"/>
      <w:r>
        <w:rPr>
          <w:rFonts w:ascii="Times New Roman" w:eastAsia="Times New Roman" w:hAnsi="Times New Roman" w:cs="Times New Roman"/>
          <w:sz w:val="20"/>
          <w:szCs w:val="20"/>
        </w:rPr>
        <w:t xml:space="preserve"> et al., 2002). The </w:t>
      </w:r>
      <w:r>
        <w:rPr>
          <w:rFonts w:ascii="Times New Roman" w:eastAsia="Times New Roman" w:hAnsi="Times New Roman" w:cs="Times New Roman"/>
          <w:sz w:val="20"/>
          <w:szCs w:val="20"/>
          <w:vertAlign w:val="superscript"/>
        </w:rPr>
        <w:t>87</w:t>
      </w:r>
      <w:r>
        <w:rPr>
          <w:rFonts w:ascii="Times New Roman" w:eastAsia="Times New Roman" w:hAnsi="Times New Roman" w:cs="Times New Roman"/>
          <w:sz w:val="20"/>
          <w:szCs w:val="20"/>
        </w:rPr>
        <w:t>Sr/</w:t>
      </w:r>
      <w:r>
        <w:rPr>
          <w:rFonts w:ascii="Times New Roman" w:eastAsia="Times New Roman" w:hAnsi="Times New Roman" w:cs="Times New Roman"/>
          <w:sz w:val="20"/>
          <w:szCs w:val="20"/>
          <w:vertAlign w:val="superscript"/>
        </w:rPr>
        <w:t>86</w:t>
      </w:r>
      <w:r>
        <w:rPr>
          <w:rFonts w:ascii="Times New Roman" w:eastAsia="Times New Roman" w:hAnsi="Times New Roman" w:cs="Times New Roman"/>
          <w:sz w:val="20"/>
          <w:szCs w:val="20"/>
        </w:rPr>
        <w:t>Sr value (0.708560) indicates an origin local to the upper Belize River Valley region or a palace with a similar isotopic signature.</w:t>
      </w:r>
    </w:p>
    <w:p w14:paraId="6E3BC961" w14:textId="77777777" w:rsidR="00FD5C31" w:rsidRDefault="00FD5C31" w:rsidP="00FD5C31">
      <w:pPr>
        <w:tabs>
          <w:tab w:val="left" w:pos="810"/>
        </w:tabs>
        <w:spacing w:after="0" w:line="240" w:lineRule="auto"/>
        <w:jc w:val="both"/>
        <w:rPr>
          <w:rFonts w:ascii="Times New Roman" w:eastAsia="Times New Roman" w:hAnsi="Times New Roman" w:cs="Times New Roman"/>
          <w:i/>
          <w:sz w:val="20"/>
          <w:szCs w:val="20"/>
        </w:rPr>
      </w:pPr>
    </w:p>
    <w:p w14:paraId="06A972F2" w14:textId="6D953530" w:rsidR="00FD5C31" w:rsidRDefault="00FD5C31" w:rsidP="00FD5C31">
      <w:pPr>
        <w:tabs>
          <w:tab w:val="left" w:pos="810"/>
        </w:tabs>
        <w:spacing w:after="0"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BR-135 Burial 1 - Late-Terminal Classic burial in a low status commoner house platform </w:t>
      </w:r>
    </w:p>
    <w:p w14:paraId="2DAB6630" w14:textId="77777777" w:rsidR="00FD5C31" w:rsidRDefault="00FD5C31" w:rsidP="00FD5C31">
      <w:pPr>
        <w:tabs>
          <w:tab w:val="left" w:pos="810"/>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t>BR-135 was a small circular mound located in the Middle North group in Barton Ramie and included two primary burials (BR-135 Burial 1 and Burial 2) interred in clay fill below a gravel and plaster floor (Willey et al., 1965:230). The stratigraphic assessment of the mound indicates that the burials were placed in the lower, first plaster floor before construction of the structures above, showing the mound was active from the Hermitage to New Town Phase. Of these, BR-135 Burial 1 was laid prone, face down in the VPLF position oriented with the head to south and was an indeterminate young adult, although the basis for this assessment is not described. The remains were poorly preserved but represented most of the skeleton (&gt;75%) at the time of excavation. BR-135 Burial 1 was a simple burial potentially placed intrusively in Early Classic phase architecture during the Late Classic period, with no accompanying grave goods (Willey et al., 1965: 230-231).</w:t>
      </w:r>
    </w:p>
    <w:p w14:paraId="237C02BA" w14:textId="77777777" w:rsidR="00FD5C31" w:rsidRDefault="00FD5C31" w:rsidP="00FD5C31">
      <w:pPr>
        <w:tabs>
          <w:tab w:val="left" w:pos="810"/>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t xml:space="preserve">During the post-excavation skeletal analysis, the remains were largely incomplete and poorly preserved, consisting of cranial fragments and loose teeth and a long bone fragment, likely from the upper arm. The overall development of the skeletal and dental remains indicated that this individual was a nonadult. Age estimation was based on the dental formation of the preserved loose deciduous and adult teeth that were consistent as being from the same individual (Burial 2 was recorded as an adult, see </w:t>
      </w:r>
      <w:proofErr w:type="spellStart"/>
      <w:r>
        <w:rPr>
          <w:rFonts w:ascii="Times New Roman" w:eastAsia="Times New Roman" w:hAnsi="Times New Roman" w:cs="Times New Roman"/>
          <w:sz w:val="20"/>
          <w:szCs w:val="20"/>
        </w:rPr>
        <w:t>Bachy</w:t>
      </w:r>
      <w:proofErr w:type="spellEnd"/>
      <w:r>
        <w:rPr>
          <w:rFonts w:ascii="Times New Roman" w:eastAsia="Times New Roman" w:hAnsi="Times New Roman" w:cs="Times New Roman"/>
          <w:sz w:val="20"/>
          <w:szCs w:val="20"/>
        </w:rPr>
        <w:t xml:space="preserve"> 2021). Based on the dental formation and eruption of adult and deciduous teeth, this individual was likely 8 (+/- 2 years) based on criteria from </w:t>
      </w:r>
      <w:proofErr w:type="spellStart"/>
      <w:r>
        <w:rPr>
          <w:rFonts w:ascii="Times New Roman" w:eastAsia="Times New Roman" w:hAnsi="Times New Roman" w:cs="Times New Roman"/>
          <w:sz w:val="20"/>
          <w:szCs w:val="20"/>
        </w:rPr>
        <w:t>Ubelaker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Buikstra</w:t>
      </w:r>
      <w:proofErr w:type="spellEnd"/>
      <w:r>
        <w:rPr>
          <w:rFonts w:ascii="Times New Roman" w:eastAsia="Times New Roman" w:hAnsi="Times New Roman" w:cs="Times New Roman"/>
          <w:sz w:val="20"/>
          <w:szCs w:val="20"/>
        </w:rPr>
        <w:t xml:space="preserve"> &amp; </w:t>
      </w:r>
      <w:proofErr w:type="spellStart"/>
      <w:r>
        <w:rPr>
          <w:rFonts w:ascii="Times New Roman" w:eastAsia="Times New Roman" w:hAnsi="Times New Roman" w:cs="Times New Roman"/>
          <w:sz w:val="20"/>
          <w:szCs w:val="20"/>
        </w:rPr>
        <w:t>Ubelaker</w:t>
      </w:r>
      <w:proofErr w:type="spellEnd"/>
      <w:r>
        <w:rPr>
          <w:rFonts w:ascii="Times New Roman" w:eastAsia="Times New Roman" w:hAnsi="Times New Roman" w:cs="Times New Roman"/>
          <w:sz w:val="20"/>
          <w:szCs w:val="20"/>
        </w:rPr>
        <w:t xml:space="preserve">, 1994); additional analyses using criteria by </w:t>
      </w:r>
      <w:proofErr w:type="spellStart"/>
      <w:proofErr w:type="gramStart"/>
      <w:r>
        <w:rPr>
          <w:rFonts w:ascii="Times New Roman" w:eastAsia="Times New Roman" w:hAnsi="Times New Roman" w:cs="Times New Roman"/>
          <w:sz w:val="20"/>
          <w:szCs w:val="20"/>
        </w:rPr>
        <w:t>AlQahtani</w:t>
      </w:r>
      <w:proofErr w:type="spellEnd"/>
      <w:proofErr w:type="gramEnd"/>
      <w:r>
        <w:rPr>
          <w:rFonts w:ascii="Times New Roman" w:eastAsia="Times New Roman" w:hAnsi="Times New Roman" w:cs="Times New Roman"/>
          <w:sz w:val="20"/>
          <w:szCs w:val="20"/>
        </w:rPr>
        <w:t xml:space="preserve"> and colleagues (2010) estimated them to be approximately 8.5 years. Sex was not estimated for this individual based on their age. Paleopathological analysis was hindered by the fragile and limited representation of the remains. No cranial bones were well preserved for analyses of porotic hyperostosis and </w:t>
      </w:r>
      <w:proofErr w:type="spellStart"/>
      <w:r>
        <w:rPr>
          <w:rFonts w:ascii="Times New Roman" w:eastAsia="Times New Roman" w:hAnsi="Times New Roman" w:cs="Times New Roman"/>
          <w:sz w:val="20"/>
          <w:szCs w:val="20"/>
        </w:rPr>
        <w:t>cribra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orbitalia</w:t>
      </w:r>
      <w:proofErr w:type="spellEnd"/>
      <w:r>
        <w:rPr>
          <w:rFonts w:ascii="Times New Roman" w:eastAsia="Times New Roman" w:hAnsi="Times New Roman" w:cs="Times New Roman"/>
          <w:sz w:val="20"/>
          <w:szCs w:val="20"/>
        </w:rPr>
        <w:t xml:space="preserve">. LEH was visible on the adult maxillary left canine, whose crown was fully formed, and was estimated to have occurred at approximately 3.5-4.5 years (3.5-4 years based on the South African reference/3.8-4.3 years based on the northern European reference) (Reid &amp; Dean, 2006). </w:t>
      </w:r>
    </w:p>
    <w:p w14:paraId="67815164" w14:textId="77777777" w:rsidR="00FD5C31" w:rsidRDefault="00FD5C31" w:rsidP="00FD5C31">
      <w:pPr>
        <w:tabs>
          <w:tab w:val="left" w:pos="810"/>
        </w:tabs>
        <w:spacing w:after="0" w:line="240" w:lineRule="auto"/>
        <w:jc w:val="both"/>
        <w:rPr>
          <w:rFonts w:ascii="Times New Roman" w:eastAsia="Times New Roman" w:hAnsi="Times New Roman" w:cs="Times New Roman"/>
          <w:sz w:val="20"/>
          <w:szCs w:val="20"/>
        </w:rPr>
      </w:pPr>
    </w:p>
    <w:p w14:paraId="671C4F87" w14:textId="10266D8C" w:rsidR="00FD5C31" w:rsidRDefault="00FD5C31" w:rsidP="00FD5C31">
      <w:pPr>
        <w:tabs>
          <w:tab w:val="left" w:pos="810"/>
        </w:tabs>
        <w:spacing w:after="0"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lastRenderedPageBreak/>
        <w:t>BR-167 Burial 2 and Burial 4 - Late-Terminal Classic burials in a low status commoner eastern structure</w:t>
      </w:r>
    </w:p>
    <w:p w14:paraId="4423E4F4" w14:textId="77777777" w:rsidR="00FD5C31" w:rsidRDefault="00FD5C31" w:rsidP="00FD5C31">
      <w:pPr>
        <w:tabs>
          <w:tab w:val="left" w:pos="810"/>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t xml:space="preserve">Burials 2 and 4 from the BR-167 excavation were not available for reanalysis. As such, much like BR-82 Burial 1, our analysis relied on documented observations during the initial study. Both individuals were recovered from BR-167 located within the Oxbow District (Willey et al., 1965:241-242). Excavations revealed four individuals buried in </w:t>
      </w:r>
      <w:proofErr w:type="gramStart"/>
      <w:r>
        <w:rPr>
          <w:rFonts w:ascii="Times New Roman" w:eastAsia="Times New Roman" w:hAnsi="Times New Roman" w:cs="Times New Roman"/>
          <w:sz w:val="20"/>
          <w:szCs w:val="20"/>
        </w:rPr>
        <w:t>close proximity</w:t>
      </w:r>
      <w:proofErr w:type="gramEnd"/>
      <w:r>
        <w:rPr>
          <w:rFonts w:ascii="Times New Roman" w:eastAsia="Times New Roman" w:hAnsi="Times New Roman" w:cs="Times New Roman"/>
          <w:sz w:val="20"/>
          <w:szCs w:val="20"/>
        </w:rPr>
        <w:t xml:space="preserve"> (Burials 1-4) and another two adjacent (Burials 5 and 6) were shallowly interred into clay architectural fill and were not accompanied by burial offerings. The uppermost individual in Burial 1 was a nonadult approximately two years of age based on dentition interred roughly 1.30-1.45 meters below the surface and seemingly unaffiliated with the earlier burials. Burials 2, 3, and 4 were recovered at a depth of 1.95-2.15 meters, approximately, and all were laid prone, face down, and heads pointing towards the south. Burials 2 and 4 were laid in the VPLF position with their faces down and arms laid at their sides towards their hips. Specifically, Burial 2’s left arm was flexed back and overlaid the thorax of Burial 3, indicating that these individuals were likely interred around the same time. Both arms of Burial 4 were positioned on either side of their hips. According to the original assessment, Burial 2 was a possible male and Burial 4 a female, although the osteological observations underlying these conclusions are not clear (Willey et al., 1965: 242). Willey and colleagues’ (1965) described these individuals, as well as Burial 3, as adults with considerable dental wear, which can generally attest to the age of these individuals as likely being in their middle age period (post-20s) as well as the overall dental health and diet. The remains were described as fragile, which suggests that they were taphonomically impacted by burial in clay fill and endured substantial postmortem breakage. Based on the level of deposition, </w:t>
      </w:r>
      <w:proofErr w:type="gramStart"/>
      <w:r>
        <w:rPr>
          <w:rFonts w:ascii="Times New Roman" w:eastAsia="Times New Roman" w:hAnsi="Times New Roman" w:cs="Times New Roman"/>
          <w:sz w:val="20"/>
          <w:szCs w:val="20"/>
        </w:rPr>
        <w:t>Willey</w:t>
      </w:r>
      <w:proofErr w:type="gramEnd"/>
      <w:r>
        <w:rPr>
          <w:rFonts w:ascii="Times New Roman" w:eastAsia="Times New Roman" w:hAnsi="Times New Roman" w:cs="Times New Roman"/>
          <w:sz w:val="20"/>
          <w:szCs w:val="20"/>
        </w:rPr>
        <w:t xml:space="preserve"> and colleagues’ (1965) suggest this may have been a group burial and that vessels associated with Burial 5 may have been collective offerings for the group. Given the similar depth of deposition, it is curious that Burials 2 and 4 were the only ones laid in VPLF position, whereas Burials 3 and 5 were prone and extended (Burial 6 was left in situ). BR-167 Burials 2 and 4 were two individuals placed in the VPLF position either side of Burial 3, an extended individual. None of these individuals were accompanied with grave goods. However, they were associated with fill containing Spanish Lookout phase ceramics (Table 1). These three individuals were likely placed intrusively in the house platform in the Late Classic period along with Burials 5 and 6 (Willey et al., 1965:141-243).</w:t>
      </w:r>
    </w:p>
    <w:p w14:paraId="30134899" w14:textId="77777777" w:rsidR="00FD5C31" w:rsidRDefault="00FD5C31" w:rsidP="00FD5C31">
      <w:pPr>
        <w:tabs>
          <w:tab w:val="left" w:pos="810"/>
        </w:tabs>
        <w:spacing w:after="0" w:line="240" w:lineRule="auto"/>
        <w:jc w:val="both"/>
        <w:rPr>
          <w:rFonts w:ascii="Times New Roman" w:eastAsia="Times New Roman" w:hAnsi="Times New Roman" w:cs="Times New Roman"/>
          <w:i/>
          <w:sz w:val="20"/>
          <w:szCs w:val="20"/>
        </w:rPr>
      </w:pPr>
    </w:p>
    <w:p w14:paraId="6ED4D4E5" w14:textId="2D45581F" w:rsidR="00FD5C31" w:rsidRDefault="00FD5C31" w:rsidP="00FD5C31">
      <w:pPr>
        <w:tabs>
          <w:tab w:val="left" w:pos="810"/>
        </w:tabs>
        <w:spacing w:after="0" w:line="240" w:lineRule="auto"/>
        <w:jc w:val="both"/>
        <w:rPr>
          <w:rFonts w:ascii="Times New Roman" w:eastAsia="Times New Roman" w:hAnsi="Times New Roman" w:cs="Times New Roman"/>
          <w:i/>
          <w:sz w:val="20"/>
          <w:szCs w:val="20"/>
          <w:highlight w:val="yellow"/>
        </w:rPr>
      </w:pPr>
      <w:r>
        <w:rPr>
          <w:rFonts w:ascii="Times New Roman" w:eastAsia="Times New Roman" w:hAnsi="Times New Roman" w:cs="Times New Roman"/>
          <w:i/>
          <w:sz w:val="20"/>
          <w:szCs w:val="20"/>
        </w:rPr>
        <w:t>CT 2 Burial 1 - Late-Terminal Classic burial in Courtyard 2 of the apical elite palace</w:t>
      </w:r>
    </w:p>
    <w:p w14:paraId="75F841AF" w14:textId="77777777" w:rsidR="00FD5C31" w:rsidRDefault="00FD5C31" w:rsidP="00FD5C31">
      <w:pPr>
        <w:tabs>
          <w:tab w:val="left" w:pos="810"/>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t xml:space="preserve">Excavation of the apical palace courtyard (Courtyard 2) at Lower Dover was conducted in 2016 to determine the functionality of the courtyard within the broader palace complex (Watkins et al., 2017). Excavations revealed a sizable peri-abandonment deposit consisting almost entirely of Spanish Lookout I and II ceramics. These large ritualistic deposits are likely associated with termination processes during abandonment in the Terminal Classic period although there remain questions about who conducted these ceremonies and why (Awe et al., 2020; </w:t>
      </w:r>
      <w:proofErr w:type="spellStart"/>
      <w:r>
        <w:rPr>
          <w:rFonts w:ascii="Times New Roman" w:eastAsia="Times New Roman" w:hAnsi="Times New Roman" w:cs="Times New Roman"/>
          <w:sz w:val="20"/>
          <w:szCs w:val="20"/>
        </w:rPr>
        <w:t>Hoggarth</w:t>
      </w:r>
      <w:proofErr w:type="spellEnd"/>
      <w:r>
        <w:rPr>
          <w:rFonts w:ascii="Times New Roman" w:eastAsia="Times New Roman" w:hAnsi="Times New Roman" w:cs="Times New Roman"/>
          <w:sz w:val="20"/>
          <w:szCs w:val="20"/>
        </w:rPr>
        <w:t xml:space="preserve"> et al., 2020). During the 2016 field season, Green Mink and Bongiovanni excavated CT2 Burial 1 that was interred into the Courtyard 2 peri-abandonment deposit and conducted the post-excavation osteological analysis (Watkins et al., 2017). The burial was laid prone, face down in the VPLF position with the head oriented to the south and the arms laid at the sides. Taphonomic observations on the skeleton during excavation included root disturbance and infiltration of the left arm bones, structural collapse around the burial in the peri-abandonment deposit, as well as the burial being placed directly on the plaza floor. The excavation revealed a poorly preserved, mostly complete skeleton (25-75%) that consisted of cranial fragments, teeth present in the alveolar bone and loose associated with the skull, fragmented cervical vertebrae, right clavicle, fragmented left and right scapula, rib fragments, fragmented left and right humerus, radius, and ulna, fragmented left and right femur, tibia, fibula, and limited hand bones. </w:t>
      </w:r>
    </w:p>
    <w:p w14:paraId="4FFCD760" w14:textId="77777777" w:rsidR="00FD5C31" w:rsidRDefault="00FD5C31" w:rsidP="00FD5C31">
      <w:pPr>
        <w:tabs>
          <w:tab w:val="left" w:pos="810"/>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t xml:space="preserve">Osteological analysis by Bongiovanni and Green Mink suggests this individual was an older adult based on dental attrition and alveolar bone resorption; further analysis using the transition analysis version 3 indicated that this individual had a maximum likelihood age of 46.4 years, although dental pathologies may indicate this individual is older. Sex estimation was based on sexually dimorphic features of the cranium and pelvic fragments, which suggested possible male although some features were indeterminate. Most teeth that were present had preserved dental calculus and caries, particularly on the posterior teeth. It is noted that tooth 14 had evidence of </w:t>
      </w:r>
      <w:proofErr w:type="spellStart"/>
      <w:r>
        <w:rPr>
          <w:rFonts w:ascii="Times New Roman" w:eastAsia="Times New Roman" w:hAnsi="Times New Roman" w:cs="Times New Roman"/>
          <w:sz w:val="20"/>
          <w:szCs w:val="20"/>
        </w:rPr>
        <w:t>cementosis</w:t>
      </w:r>
      <w:proofErr w:type="spellEnd"/>
      <w:r>
        <w:rPr>
          <w:rFonts w:ascii="Times New Roman" w:eastAsia="Times New Roman" w:hAnsi="Times New Roman" w:cs="Times New Roman"/>
          <w:sz w:val="20"/>
          <w:szCs w:val="20"/>
        </w:rPr>
        <w:t>, and that observable LEH on both mandibular canines occurred at approximately 4-5 years (3.7-4.2 years based on the South African reference/4.2-4.9 years based on the northern European reference) (Reid &amp; Dean, 2006). Significant occlusal wear on all teeth is consistent with the age and diet of this individual. Antemortem tooth loss of the right mandibular molars with complete resorption and partial resorption of the left mandibular molars coincides with the presence of periodontal disease. Dental modifications were observed on the maxillary central incisors (type B4; (Romero, 1951, 1970).</w:t>
      </w:r>
    </w:p>
    <w:p w14:paraId="31DF6102" w14:textId="77777777" w:rsidR="00FD5C31" w:rsidRDefault="00FD5C31" w:rsidP="00FD5C31">
      <w:pPr>
        <w:tabs>
          <w:tab w:val="left" w:pos="810"/>
        </w:tabs>
        <w:spacing w:after="0" w:line="240" w:lineRule="auto"/>
        <w:jc w:val="both"/>
        <w:rPr>
          <w:rFonts w:ascii="Times New Roman" w:eastAsia="Times New Roman" w:hAnsi="Times New Roman" w:cs="Times New Roman"/>
          <w:i/>
          <w:sz w:val="20"/>
          <w:szCs w:val="20"/>
          <w:highlight w:val="yellow"/>
        </w:rPr>
      </w:pPr>
    </w:p>
    <w:p w14:paraId="6199491D" w14:textId="585262F2" w:rsidR="00FD5C31" w:rsidRDefault="00FD5C31" w:rsidP="00FD5C31">
      <w:pPr>
        <w:tabs>
          <w:tab w:val="left" w:pos="810"/>
        </w:tabs>
        <w:spacing w:after="0"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Tutu </w:t>
      </w:r>
      <w:proofErr w:type="spellStart"/>
      <w:r>
        <w:rPr>
          <w:rFonts w:ascii="Times New Roman" w:eastAsia="Times New Roman" w:hAnsi="Times New Roman" w:cs="Times New Roman"/>
          <w:i/>
          <w:sz w:val="20"/>
          <w:szCs w:val="20"/>
        </w:rPr>
        <w:t>Uitz</w:t>
      </w:r>
      <w:proofErr w:type="spellEnd"/>
      <w:r>
        <w:rPr>
          <w:rFonts w:ascii="Times New Roman" w:eastAsia="Times New Roman" w:hAnsi="Times New Roman" w:cs="Times New Roman"/>
          <w:i/>
          <w:sz w:val="20"/>
          <w:szCs w:val="20"/>
        </w:rPr>
        <w:t xml:space="preserve"> Na SG 1 Burial 2 Individual 1 - Late-Terminal Classic burial in the intermediate elite eastern triadic structure (Str. E2)</w:t>
      </w:r>
    </w:p>
    <w:p w14:paraId="5096D100" w14:textId="77777777" w:rsidR="00FD5C31" w:rsidRDefault="00FD5C31" w:rsidP="00FD5C31">
      <w:pPr>
        <w:spacing w:after="0" w:line="240" w:lineRule="auto"/>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highlight w:val="white"/>
        </w:rPr>
        <w:lastRenderedPageBreak/>
        <w:t xml:space="preserve">Two individuals placed in the VPLF position were found at Tutu </w:t>
      </w:r>
      <w:proofErr w:type="spellStart"/>
      <w:r>
        <w:rPr>
          <w:rFonts w:ascii="Times New Roman" w:eastAsia="Times New Roman" w:hAnsi="Times New Roman" w:cs="Times New Roman"/>
          <w:sz w:val="20"/>
          <w:szCs w:val="20"/>
          <w:highlight w:val="white"/>
        </w:rPr>
        <w:t>Uitz</w:t>
      </w:r>
      <w:proofErr w:type="spellEnd"/>
      <w:r>
        <w:rPr>
          <w:rFonts w:ascii="Times New Roman" w:eastAsia="Times New Roman" w:hAnsi="Times New Roman" w:cs="Times New Roman"/>
          <w:sz w:val="20"/>
          <w:szCs w:val="20"/>
          <w:highlight w:val="white"/>
        </w:rPr>
        <w:t xml:space="preserve"> Na</w:t>
      </w:r>
      <w:r>
        <w:rPr>
          <w:rFonts w:ascii="Times New Roman" w:eastAsia="Times New Roman" w:hAnsi="Times New Roman" w:cs="Times New Roman"/>
          <w:sz w:val="20"/>
          <w:szCs w:val="20"/>
        </w:rPr>
        <w:t xml:space="preserve"> or Settlement Group 1 (SG 1)</w:t>
      </w:r>
      <w:r>
        <w:rPr>
          <w:rFonts w:ascii="Times New Roman" w:eastAsia="Times New Roman" w:hAnsi="Times New Roman" w:cs="Times New Roman"/>
          <w:sz w:val="20"/>
          <w:szCs w:val="20"/>
          <w:highlight w:val="white"/>
        </w:rPr>
        <w:t xml:space="preserve">, a minor center located just 700 meters south of the Lower Dover center (Walden, 2021). </w:t>
      </w:r>
      <w:r>
        <w:rPr>
          <w:rFonts w:ascii="Times New Roman" w:eastAsia="Times New Roman" w:hAnsi="Times New Roman" w:cs="Times New Roman"/>
          <w:sz w:val="20"/>
          <w:szCs w:val="20"/>
        </w:rPr>
        <w:t xml:space="preserve">Excavations at the Eastern Triadic Structure (Str. E2) at Tutu </w:t>
      </w:r>
      <w:proofErr w:type="spellStart"/>
      <w:r>
        <w:rPr>
          <w:rFonts w:ascii="Times New Roman" w:eastAsia="Times New Roman" w:hAnsi="Times New Roman" w:cs="Times New Roman"/>
          <w:sz w:val="20"/>
          <w:szCs w:val="20"/>
        </w:rPr>
        <w:t>Uitz</w:t>
      </w:r>
      <w:proofErr w:type="spellEnd"/>
      <w:r>
        <w:rPr>
          <w:rFonts w:ascii="Times New Roman" w:eastAsia="Times New Roman" w:hAnsi="Times New Roman" w:cs="Times New Roman"/>
          <w:sz w:val="20"/>
          <w:szCs w:val="20"/>
        </w:rPr>
        <w:t xml:space="preserve"> Na, were conducted between 2017 and 2018 (Biggie et al., 2019; Walden et al., 2018; for eastern triadic structures see Awe et al., 2017). Walden (2021:333) suggests Tutu </w:t>
      </w:r>
      <w:proofErr w:type="spellStart"/>
      <w:r>
        <w:rPr>
          <w:rFonts w:ascii="Times New Roman" w:eastAsia="Times New Roman" w:hAnsi="Times New Roman" w:cs="Times New Roman"/>
          <w:sz w:val="20"/>
          <w:szCs w:val="20"/>
        </w:rPr>
        <w:t>Uitz</w:t>
      </w:r>
      <w:proofErr w:type="spellEnd"/>
      <w:r>
        <w:rPr>
          <w:rFonts w:ascii="Times New Roman" w:eastAsia="Times New Roman" w:hAnsi="Times New Roman" w:cs="Times New Roman"/>
          <w:sz w:val="20"/>
          <w:szCs w:val="20"/>
        </w:rPr>
        <w:t xml:space="preserve"> Na was likely abandoned by the Terminal Classic period as architectural maintenance and construction ceases around </w:t>
      </w:r>
      <w:proofErr w:type="spellStart"/>
      <w:r>
        <w:rPr>
          <w:rFonts w:ascii="Times New Roman" w:eastAsia="Times New Roman" w:hAnsi="Times New Roman" w:cs="Times New Roman"/>
          <w:sz w:val="20"/>
          <w:szCs w:val="20"/>
        </w:rPr>
        <w:t>cal</w:t>
      </w:r>
      <w:proofErr w:type="spellEnd"/>
      <w:r>
        <w:rPr>
          <w:rFonts w:ascii="Times New Roman" w:eastAsia="Times New Roman" w:hAnsi="Times New Roman" w:cs="Times New Roman"/>
          <w:sz w:val="20"/>
          <w:szCs w:val="20"/>
        </w:rPr>
        <w:t xml:space="preserve"> CE 770-88. During the excavation of the Eastern Triadic Structure, two intrusive, primary VPLF burials (SG 1 Burial 2 Individual 1 and SG 1 Burial 3 Individual 1) were uncovered in the uppermost steps </w:t>
      </w:r>
      <w:r>
        <w:rPr>
          <w:rFonts w:ascii="Times New Roman" w:eastAsia="Times New Roman" w:hAnsi="Times New Roman" w:cs="Times New Roman"/>
          <w:sz w:val="20"/>
          <w:szCs w:val="20"/>
          <w:highlight w:val="white"/>
        </w:rPr>
        <w:t xml:space="preserve">atop the central staircase of the, a mortuary shrine structure which had housed the ancestral remains of the intermediate elite lineage at Tutu </w:t>
      </w:r>
      <w:proofErr w:type="spellStart"/>
      <w:r>
        <w:rPr>
          <w:rFonts w:ascii="Times New Roman" w:eastAsia="Times New Roman" w:hAnsi="Times New Roman" w:cs="Times New Roman"/>
          <w:sz w:val="20"/>
          <w:szCs w:val="20"/>
          <w:highlight w:val="white"/>
        </w:rPr>
        <w:t>Uitz</w:t>
      </w:r>
      <w:proofErr w:type="spellEnd"/>
      <w:r>
        <w:rPr>
          <w:rFonts w:ascii="Times New Roman" w:eastAsia="Times New Roman" w:hAnsi="Times New Roman" w:cs="Times New Roman"/>
          <w:sz w:val="20"/>
          <w:szCs w:val="20"/>
          <w:highlight w:val="white"/>
        </w:rPr>
        <w:t xml:space="preserve"> Na (Walden 2021:319). Importantly, the deposition of the two individuals placed in the VPLF position at Tutu </w:t>
      </w:r>
      <w:proofErr w:type="spellStart"/>
      <w:r>
        <w:rPr>
          <w:rFonts w:ascii="Times New Roman" w:eastAsia="Times New Roman" w:hAnsi="Times New Roman" w:cs="Times New Roman"/>
          <w:sz w:val="20"/>
          <w:szCs w:val="20"/>
          <w:highlight w:val="white"/>
        </w:rPr>
        <w:t>Uitz</w:t>
      </w:r>
      <w:proofErr w:type="spellEnd"/>
      <w:r>
        <w:rPr>
          <w:rFonts w:ascii="Times New Roman" w:eastAsia="Times New Roman" w:hAnsi="Times New Roman" w:cs="Times New Roman"/>
          <w:sz w:val="20"/>
          <w:szCs w:val="20"/>
          <w:highlight w:val="white"/>
        </w:rPr>
        <w:t xml:space="preserve"> Na likely marked the final termination of the group (Biggie et al. 2023). </w:t>
      </w:r>
      <w:r>
        <w:rPr>
          <w:rFonts w:ascii="Times New Roman" w:eastAsia="Times New Roman" w:hAnsi="Times New Roman" w:cs="Times New Roman"/>
          <w:sz w:val="20"/>
          <w:szCs w:val="20"/>
        </w:rPr>
        <w:t xml:space="preserve">The two individuals dated to </w:t>
      </w:r>
      <w:proofErr w:type="spellStart"/>
      <w:r>
        <w:rPr>
          <w:rFonts w:ascii="Times New Roman" w:eastAsia="Times New Roman" w:hAnsi="Times New Roman" w:cs="Times New Roman"/>
          <w:sz w:val="20"/>
          <w:szCs w:val="20"/>
        </w:rPr>
        <w:t>cal</w:t>
      </w:r>
      <w:proofErr w:type="spellEnd"/>
      <w:r>
        <w:rPr>
          <w:rFonts w:ascii="Times New Roman" w:eastAsia="Times New Roman" w:hAnsi="Times New Roman" w:cs="Times New Roman"/>
          <w:sz w:val="20"/>
          <w:szCs w:val="20"/>
        </w:rPr>
        <w:t xml:space="preserve"> CE 775-885 and their placement in shallow pits at the top of the structure supports the notion that Tutu </w:t>
      </w:r>
      <w:proofErr w:type="spellStart"/>
      <w:r>
        <w:rPr>
          <w:rFonts w:ascii="Times New Roman" w:eastAsia="Times New Roman" w:hAnsi="Times New Roman" w:cs="Times New Roman"/>
          <w:sz w:val="20"/>
          <w:szCs w:val="20"/>
        </w:rPr>
        <w:t>Uitz</w:t>
      </w:r>
      <w:proofErr w:type="spellEnd"/>
      <w:r>
        <w:rPr>
          <w:rFonts w:ascii="Times New Roman" w:eastAsia="Times New Roman" w:hAnsi="Times New Roman" w:cs="Times New Roman"/>
          <w:sz w:val="20"/>
          <w:szCs w:val="20"/>
        </w:rPr>
        <w:t xml:space="preserve"> Na was not occupied long after their internment. SG 1 Burial 2 was excavated by Biggie and Thompson and osteological analysis was conducted by Green Mink (Green Mink &amp; Bye, 2020). SG 1 Burial 2 Individual 1 was laid prone in the VPLF position, head to the south and with their hands placed beneath the pelvis, palms towards the body. This burial was partially complete (25-75%), consisting of the mandible, cervical vertebrae, hand, feet, pelvic girdle fragments and fragmented long bone fragments from the left and right radius, ulna, femur, tibia, and fibula; the upper body was missing due to it being truncated by a looters’ trench (Biggie et al., 2019; Walden et al., 2018). </w:t>
      </w:r>
    </w:p>
    <w:p w14:paraId="44DCC351" w14:textId="77777777" w:rsidR="00FD5C31" w:rsidRDefault="00FD5C31" w:rsidP="00FD5C31">
      <w:pPr>
        <w:spacing w:after="0" w:line="240" w:lineRule="auto"/>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Green Mink and Bye’s (2020) analysis indicate that this individual is likely a young adult female based on the sexually dimorphic characteristics of the left pelvic fragments indicating a preauricular sulcus, thin ischiopubic ramus, and a ventral arc (</w:t>
      </w:r>
      <w:proofErr w:type="spellStart"/>
      <w:r>
        <w:rPr>
          <w:rFonts w:ascii="Times New Roman" w:eastAsia="Times New Roman" w:hAnsi="Times New Roman" w:cs="Times New Roman"/>
          <w:sz w:val="20"/>
          <w:szCs w:val="20"/>
        </w:rPr>
        <w:t>Buikstra</w:t>
      </w:r>
      <w:proofErr w:type="spellEnd"/>
      <w:r>
        <w:rPr>
          <w:rFonts w:ascii="Times New Roman" w:eastAsia="Times New Roman" w:hAnsi="Times New Roman" w:cs="Times New Roman"/>
          <w:sz w:val="20"/>
          <w:szCs w:val="20"/>
        </w:rPr>
        <w:t xml:space="preserve"> &amp; </w:t>
      </w:r>
      <w:proofErr w:type="spellStart"/>
      <w:r>
        <w:rPr>
          <w:rFonts w:ascii="Times New Roman" w:eastAsia="Times New Roman" w:hAnsi="Times New Roman" w:cs="Times New Roman"/>
          <w:sz w:val="20"/>
          <w:szCs w:val="20"/>
        </w:rPr>
        <w:t>Ubelaker</w:t>
      </w:r>
      <w:proofErr w:type="spellEnd"/>
      <w:r>
        <w:rPr>
          <w:rFonts w:ascii="Times New Roman" w:eastAsia="Times New Roman" w:hAnsi="Times New Roman" w:cs="Times New Roman"/>
          <w:sz w:val="20"/>
          <w:szCs w:val="20"/>
        </w:rPr>
        <w:t xml:space="preserve"> 1994; </w:t>
      </w:r>
      <w:proofErr w:type="spellStart"/>
      <w:r>
        <w:rPr>
          <w:rFonts w:ascii="Times New Roman" w:eastAsia="Times New Roman" w:hAnsi="Times New Roman" w:cs="Times New Roman"/>
          <w:sz w:val="20"/>
          <w:szCs w:val="20"/>
        </w:rPr>
        <w:t>Klales</w:t>
      </w:r>
      <w:proofErr w:type="spellEnd"/>
      <w:r>
        <w:rPr>
          <w:rFonts w:ascii="Times New Roman" w:eastAsia="Times New Roman" w:hAnsi="Times New Roman" w:cs="Times New Roman"/>
          <w:sz w:val="20"/>
          <w:szCs w:val="20"/>
        </w:rPr>
        <w:t xml:space="preserve"> et al., 2020). Age was estimated using the </w:t>
      </w:r>
      <w:proofErr w:type="spellStart"/>
      <w:r>
        <w:rPr>
          <w:rFonts w:ascii="Times New Roman" w:eastAsia="Times New Roman" w:hAnsi="Times New Roman" w:cs="Times New Roman"/>
          <w:sz w:val="20"/>
          <w:szCs w:val="20"/>
        </w:rPr>
        <w:t>Suchey</w:t>
      </w:r>
      <w:proofErr w:type="spellEnd"/>
      <w:r>
        <w:rPr>
          <w:rFonts w:ascii="Times New Roman" w:eastAsia="Times New Roman" w:hAnsi="Times New Roman" w:cs="Times New Roman"/>
          <w:sz w:val="20"/>
          <w:szCs w:val="20"/>
        </w:rPr>
        <w:t>-Brooks (1990) method on the left pubic symphysis (Phase I: 15-24 years) and the Lovejoy and colleagues (1985) method on the right auricular surface (Phase I: 20-24 years, Phase II: 25-29 years). This age estimate was further verified by transition analysis (version 2), which indicated this individual had a maximum likelihood age of 22.1 years (17-28) (</w:t>
      </w:r>
      <w:proofErr w:type="spellStart"/>
      <w:r>
        <w:rPr>
          <w:rFonts w:ascii="Times New Roman" w:eastAsia="Times New Roman" w:hAnsi="Times New Roman" w:cs="Times New Roman"/>
          <w:sz w:val="20"/>
          <w:szCs w:val="20"/>
        </w:rPr>
        <w:t>Boldsen</w:t>
      </w:r>
      <w:proofErr w:type="spellEnd"/>
      <w:r>
        <w:rPr>
          <w:rFonts w:ascii="Times New Roman" w:eastAsia="Times New Roman" w:hAnsi="Times New Roman" w:cs="Times New Roman"/>
          <w:sz w:val="20"/>
          <w:szCs w:val="20"/>
        </w:rPr>
        <w:t xml:space="preserve"> et al., 2002). SG1 Burial 2 Individual 1 was one of four individuals analyzed for dietary stable isotopes (Table 6). The results show an isotopic diet (</w:t>
      </w:r>
      <w:r>
        <w:rPr>
          <w:rFonts w:ascii="Times New Roman" w:eastAsia="Times New Roman" w:hAnsi="Times New Roman" w:cs="Times New Roman"/>
          <w:i/>
          <w:sz w:val="20"/>
          <w:szCs w:val="20"/>
        </w:rPr>
        <w:t>δ</w:t>
      </w:r>
      <w:r>
        <w:rPr>
          <w:rFonts w:ascii="Times New Roman" w:eastAsia="Times New Roman" w:hAnsi="Times New Roman" w:cs="Times New Roman"/>
          <w:sz w:val="20"/>
          <w:szCs w:val="20"/>
          <w:vertAlign w:val="superscript"/>
        </w:rPr>
        <w:t>13</w:t>
      </w:r>
      <w:r>
        <w:rPr>
          <w:rFonts w:ascii="Times New Roman" w:eastAsia="Times New Roman" w:hAnsi="Times New Roman" w:cs="Times New Roman"/>
          <w:sz w:val="20"/>
          <w:szCs w:val="20"/>
        </w:rPr>
        <w:t>C</w:t>
      </w:r>
      <w:r>
        <w:rPr>
          <w:rFonts w:ascii="Times New Roman" w:eastAsia="Times New Roman" w:hAnsi="Times New Roman" w:cs="Times New Roman"/>
          <w:sz w:val="20"/>
          <w:szCs w:val="20"/>
          <w:vertAlign w:val="subscript"/>
        </w:rPr>
        <w:t>co</w:t>
      </w:r>
      <w:r>
        <w:rPr>
          <w:rFonts w:ascii="Times New Roman" w:eastAsia="Times New Roman" w:hAnsi="Times New Roman" w:cs="Times New Roman"/>
          <w:sz w:val="20"/>
          <w:szCs w:val="20"/>
        </w:rPr>
        <w:t xml:space="preserve"> = -9.2</w:t>
      </w:r>
      <w:r>
        <w:rPr>
          <w:rFonts w:ascii="Times New Roman" w:eastAsia="Times New Roman" w:hAnsi="Times New Roman" w:cs="Times New Roman"/>
          <w:color w:val="111111"/>
          <w:sz w:val="20"/>
          <w:szCs w:val="20"/>
          <w:highlight w:val="white"/>
        </w:rPr>
        <w:t>‰</w:t>
      </w:r>
      <w:r>
        <w:rPr>
          <w:rFonts w:ascii="Times New Roman" w:eastAsia="Times New Roman" w:hAnsi="Times New Roman" w:cs="Times New Roman"/>
          <w:sz w:val="20"/>
          <w:szCs w:val="20"/>
        </w:rPr>
        <w:t xml:space="preserve"> and </w:t>
      </w:r>
      <w:r>
        <w:rPr>
          <w:rFonts w:ascii="Times New Roman" w:eastAsia="Times New Roman" w:hAnsi="Times New Roman" w:cs="Times New Roman"/>
          <w:i/>
          <w:sz w:val="20"/>
          <w:szCs w:val="20"/>
        </w:rPr>
        <w:t>δ</w:t>
      </w:r>
      <w:r>
        <w:rPr>
          <w:rFonts w:ascii="Times New Roman" w:eastAsia="Times New Roman" w:hAnsi="Times New Roman" w:cs="Times New Roman"/>
          <w:sz w:val="20"/>
          <w:szCs w:val="20"/>
          <w:vertAlign w:val="superscript"/>
        </w:rPr>
        <w:t>15</w:t>
      </w:r>
      <w:r>
        <w:rPr>
          <w:rFonts w:ascii="Times New Roman" w:eastAsia="Times New Roman" w:hAnsi="Times New Roman" w:cs="Times New Roman"/>
          <w:sz w:val="20"/>
          <w:szCs w:val="20"/>
        </w:rPr>
        <w:t>N</w:t>
      </w:r>
      <w:r>
        <w:rPr>
          <w:rFonts w:ascii="Times New Roman" w:eastAsia="Times New Roman" w:hAnsi="Times New Roman" w:cs="Times New Roman"/>
          <w:sz w:val="20"/>
          <w:szCs w:val="20"/>
          <w:vertAlign w:val="subscript"/>
        </w:rPr>
        <w:t>co</w:t>
      </w:r>
      <w:r>
        <w:rPr>
          <w:rFonts w:ascii="Times New Roman" w:eastAsia="Times New Roman" w:hAnsi="Times New Roman" w:cs="Times New Roman"/>
          <w:sz w:val="20"/>
          <w:szCs w:val="20"/>
        </w:rPr>
        <w:t xml:space="preserve"> = +8.7</w:t>
      </w:r>
      <w:r>
        <w:rPr>
          <w:rFonts w:ascii="Times New Roman" w:eastAsia="Times New Roman" w:hAnsi="Times New Roman" w:cs="Times New Roman"/>
          <w:color w:val="111111"/>
          <w:sz w:val="20"/>
          <w:szCs w:val="20"/>
          <w:highlight w:val="white"/>
        </w:rPr>
        <w:t>‰</w:t>
      </w:r>
      <w:r>
        <w:rPr>
          <w:rFonts w:ascii="Times New Roman" w:eastAsia="Times New Roman" w:hAnsi="Times New Roman" w:cs="Times New Roman"/>
          <w:sz w:val="20"/>
          <w:szCs w:val="20"/>
        </w:rPr>
        <w:t>) more enriched in maize (C</w:t>
      </w:r>
      <w:r>
        <w:rPr>
          <w:rFonts w:ascii="Times New Roman" w:eastAsia="Times New Roman" w:hAnsi="Times New Roman" w:cs="Times New Roman"/>
          <w:sz w:val="20"/>
          <w:szCs w:val="20"/>
          <w:vertAlign w:val="subscript"/>
        </w:rPr>
        <w:t>4</w:t>
      </w:r>
      <w:r>
        <w:rPr>
          <w:rFonts w:ascii="Times New Roman" w:eastAsia="Times New Roman" w:hAnsi="Times New Roman" w:cs="Times New Roman"/>
          <w:sz w:val="20"/>
          <w:szCs w:val="20"/>
        </w:rPr>
        <w:t xml:space="preserve">) proteins than the average Belize Valley individual (Gerry, 1997; Walden, 2021; Table 6), with similar protein consumption. </w:t>
      </w:r>
    </w:p>
    <w:p w14:paraId="643DDDDB" w14:textId="77777777" w:rsidR="00FD5C31" w:rsidRDefault="00FD5C31" w:rsidP="00FD5C31">
      <w:pPr>
        <w:spacing w:after="0" w:line="240" w:lineRule="auto"/>
        <w:jc w:val="both"/>
        <w:rPr>
          <w:rFonts w:ascii="Times New Roman" w:eastAsia="Times New Roman" w:hAnsi="Times New Roman" w:cs="Times New Roman"/>
          <w:i/>
          <w:sz w:val="20"/>
          <w:szCs w:val="20"/>
          <w:highlight w:val="yellow"/>
        </w:rPr>
      </w:pPr>
    </w:p>
    <w:p w14:paraId="3474F5D3" w14:textId="6BAAB4E7" w:rsidR="00FD5C31" w:rsidRDefault="00FD5C31" w:rsidP="00FD5C31">
      <w:pPr>
        <w:tabs>
          <w:tab w:val="left" w:pos="810"/>
        </w:tabs>
        <w:spacing w:after="0"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Tutu </w:t>
      </w:r>
      <w:proofErr w:type="spellStart"/>
      <w:r>
        <w:rPr>
          <w:rFonts w:ascii="Times New Roman" w:eastAsia="Times New Roman" w:hAnsi="Times New Roman" w:cs="Times New Roman"/>
          <w:i/>
          <w:sz w:val="20"/>
          <w:szCs w:val="20"/>
        </w:rPr>
        <w:t>Uitz</w:t>
      </w:r>
      <w:proofErr w:type="spellEnd"/>
      <w:r>
        <w:rPr>
          <w:rFonts w:ascii="Times New Roman" w:eastAsia="Times New Roman" w:hAnsi="Times New Roman" w:cs="Times New Roman"/>
          <w:i/>
          <w:sz w:val="20"/>
          <w:szCs w:val="20"/>
        </w:rPr>
        <w:t xml:space="preserve"> Na SG 1 Burial 3 - Late-Terminal Classic burial in the intermediate elite eastern triadic structure (Str. E2)</w:t>
      </w:r>
    </w:p>
    <w:p w14:paraId="06075C46" w14:textId="77777777" w:rsidR="00FD5C31" w:rsidRDefault="00FD5C31" w:rsidP="00FD5C31">
      <w:pPr>
        <w:tabs>
          <w:tab w:val="left" w:pos="810"/>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t xml:space="preserve">SG 1 Burial 3 was also recovered during the 2017 excavation of the eastern triadic structure at Tutu </w:t>
      </w:r>
      <w:proofErr w:type="spellStart"/>
      <w:r>
        <w:rPr>
          <w:rFonts w:ascii="Times New Roman" w:eastAsia="Times New Roman" w:hAnsi="Times New Roman" w:cs="Times New Roman"/>
          <w:sz w:val="20"/>
          <w:szCs w:val="20"/>
        </w:rPr>
        <w:t>Uitz</w:t>
      </w:r>
      <w:proofErr w:type="spellEnd"/>
      <w:r>
        <w:rPr>
          <w:rFonts w:ascii="Times New Roman" w:eastAsia="Times New Roman" w:hAnsi="Times New Roman" w:cs="Times New Roman"/>
          <w:sz w:val="20"/>
          <w:szCs w:val="20"/>
        </w:rPr>
        <w:t xml:space="preserve"> Na (Biggie et al., 2019; Walden et al., 2018) and was analyzed by Green Mink and Bye (2020) and then again for this study. This individual was laid prone, face down and articulated, in VPLF position with the arms laid along the side of the body with the right hand close to the right leg, palm inward. Radiocarbon dating of the individual indicates they were buried in a similar period as SG 1 Burial 2 individual 1 (</w:t>
      </w:r>
      <w:proofErr w:type="spellStart"/>
      <w:r>
        <w:rPr>
          <w:rFonts w:ascii="Times New Roman" w:eastAsia="Times New Roman" w:hAnsi="Times New Roman" w:cs="Times New Roman"/>
          <w:sz w:val="20"/>
          <w:szCs w:val="20"/>
        </w:rPr>
        <w:t>cal</w:t>
      </w:r>
      <w:proofErr w:type="spellEnd"/>
      <w:r>
        <w:rPr>
          <w:rFonts w:ascii="Times New Roman" w:eastAsia="Times New Roman" w:hAnsi="Times New Roman" w:cs="Times New Roman"/>
          <w:sz w:val="20"/>
          <w:szCs w:val="20"/>
        </w:rPr>
        <w:t xml:space="preserve"> CE 770-890). SG 1 Burial 3 consisted of a partially complete skeleton (25-75%), missing most of the ribs and mandible. However, the fragility of the remains due to taphonomic alteration from the burial context meant they were in overall poor condition and could not be removed intact. They were not directly associated with burial accompaniments. Age estimation was conducted using the new transition analysis (version 3) indicated this individual had a maximum likelihood age of 30 (16-42.3), which is generally supported by the minimal dental attrition. Sex was estimated to be indeterminant based on the morphological features of the cranium and pelvis exhibiting largely indeterminant features, minus the supraorbital margin which presented as robust and the glabella which presented as gracile. However, given the observation that this individual endured cranial modification and the unknown effects of cranial binding on the sexual dimorphism of the frontal bone in this population, both observers conservatively estimated this individual to be indeterminate. They showed evidence of dental pathologies indicative of diet and oral health, including dental caries, periodontal disease, and dental calculus. Linear enamel hypoplasia visible on the maxillary and mandibular canines representing two events likely occurred between 3 and 5 years of age (3.2-4.2 years based on the South African reference/3.6-4.9 years based on the northern European reference) (Reid &amp; Dean, 2006). </w:t>
      </w:r>
    </w:p>
    <w:p w14:paraId="636B9AE1" w14:textId="02D2242A" w:rsidR="00FD5C31" w:rsidRDefault="00FD5C31" w:rsidP="00FD5C31">
      <w:pPr>
        <w:tabs>
          <w:tab w:val="left" w:pos="810"/>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t>This individual appeared to have cranial modification, involving the flattening of the frontal bone (</w:t>
      </w:r>
      <w:proofErr w:type="spellStart"/>
      <w:r>
        <w:rPr>
          <w:rFonts w:ascii="Times New Roman" w:eastAsia="Times New Roman" w:hAnsi="Times New Roman" w:cs="Times New Roman"/>
          <w:sz w:val="20"/>
          <w:szCs w:val="20"/>
        </w:rPr>
        <w:t>Palomo</w:t>
      </w:r>
      <w:proofErr w:type="spellEnd"/>
      <w:r>
        <w:rPr>
          <w:rFonts w:ascii="Times New Roman" w:eastAsia="Times New Roman" w:hAnsi="Times New Roman" w:cs="Times New Roman"/>
          <w:sz w:val="20"/>
          <w:szCs w:val="20"/>
        </w:rPr>
        <w:t xml:space="preserve"> et al., 2017; </w:t>
      </w:r>
      <w:proofErr w:type="spellStart"/>
      <w:r>
        <w:rPr>
          <w:rFonts w:ascii="Times New Roman" w:eastAsia="Times New Roman" w:hAnsi="Times New Roman" w:cs="Times New Roman"/>
          <w:sz w:val="20"/>
          <w:szCs w:val="20"/>
        </w:rPr>
        <w:t>Tiesler</w:t>
      </w:r>
      <w:proofErr w:type="spellEnd"/>
      <w:r>
        <w:rPr>
          <w:rFonts w:ascii="Times New Roman" w:eastAsia="Times New Roman" w:hAnsi="Times New Roman" w:cs="Times New Roman"/>
          <w:sz w:val="20"/>
          <w:szCs w:val="20"/>
        </w:rPr>
        <w:t xml:space="preserve">, 2014), and dental modifications on fourteen anterior teeth (Romero, 1951, 1970) (Table 4). Among them, maxillary and mandibular first molars had alterations consistent with the </w:t>
      </w:r>
      <w:proofErr w:type="spellStart"/>
      <w:r>
        <w:rPr>
          <w:rFonts w:ascii="Times New Roman" w:eastAsia="Times New Roman" w:hAnsi="Times New Roman" w:cs="Times New Roman"/>
          <w:i/>
          <w:sz w:val="20"/>
          <w:szCs w:val="20"/>
        </w:rPr>
        <w:t>Ik</w:t>
      </w:r>
      <w:proofErr w:type="spellEnd"/>
      <w:r>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 xml:space="preserve">style, which is typically observed on the incisors but was not in this </w:t>
      </w:r>
      <w:r w:rsidR="00D02B62">
        <w:rPr>
          <w:rFonts w:ascii="Times New Roman" w:eastAsia="Times New Roman" w:hAnsi="Times New Roman" w:cs="Times New Roman"/>
          <w:sz w:val="20"/>
          <w:szCs w:val="20"/>
        </w:rPr>
        <w:t>individual (</w:t>
      </w:r>
      <w:r>
        <w:rPr>
          <w:rFonts w:ascii="Times New Roman" w:eastAsia="Times New Roman" w:hAnsi="Times New Roman" w:cs="Times New Roman"/>
          <w:sz w:val="20"/>
          <w:szCs w:val="20"/>
        </w:rPr>
        <w:t xml:space="preserve">Scherer, 2015: 35) (Table 4). In total, five different styles that are paired by tooth class and number (e.g., </w:t>
      </w:r>
      <w:proofErr w:type="gramStart"/>
      <w:r>
        <w:rPr>
          <w:rFonts w:ascii="Times New Roman" w:eastAsia="Times New Roman" w:hAnsi="Times New Roman" w:cs="Times New Roman"/>
          <w:sz w:val="20"/>
          <w:szCs w:val="20"/>
        </w:rPr>
        <w:t>left</w:t>
      </w:r>
      <w:proofErr w:type="gramEnd"/>
      <w:r>
        <w:rPr>
          <w:rFonts w:ascii="Times New Roman" w:eastAsia="Times New Roman" w:hAnsi="Times New Roman" w:cs="Times New Roman"/>
          <w:sz w:val="20"/>
          <w:szCs w:val="20"/>
        </w:rPr>
        <w:t xml:space="preserve"> and right central maxillary incisors had the same style, whereas the lateral incisors had a different style, and so on).</w:t>
      </w:r>
      <w:r>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Dietary stable isotopes (</w:t>
      </w:r>
      <w:r>
        <w:rPr>
          <w:rFonts w:ascii="Times New Roman" w:eastAsia="Times New Roman" w:hAnsi="Times New Roman" w:cs="Times New Roman"/>
          <w:i/>
          <w:sz w:val="20"/>
          <w:szCs w:val="20"/>
        </w:rPr>
        <w:t>δ</w:t>
      </w:r>
      <w:r>
        <w:rPr>
          <w:rFonts w:ascii="Times New Roman" w:eastAsia="Times New Roman" w:hAnsi="Times New Roman" w:cs="Times New Roman"/>
          <w:sz w:val="20"/>
          <w:szCs w:val="20"/>
          <w:vertAlign w:val="superscript"/>
        </w:rPr>
        <w:t>13</w:t>
      </w:r>
      <w:r>
        <w:rPr>
          <w:rFonts w:ascii="Times New Roman" w:eastAsia="Times New Roman" w:hAnsi="Times New Roman" w:cs="Times New Roman"/>
          <w:sz w:val="20"/>
          <w:szCs w:val="20"/>
        </w:rPr>
        <w:t>C</w:t>
      </w:r>
      <w:r>
        <w:rPr>
          <w:rFonts w:ascii="Times New Roman" w:eastAsia="Times New Roman" w:hAnsi="Times New Roman" w:cs="Times New Roman"/>
          <w:sz w:val="20"/>
          <w:szCs w:val="20"/>
          <w:vertAlign w:val="subscript"/>
        </w:rPr>
        <w:t>co</w:t>
      </w:r>
      <w:r>
        <w:rPr>
          <w:rFonts w:ascii="Times New Roman" w:eastAsia="Times New Roman" w:hAnsi="Times New Roman" w:cs="Times New Roman"/>
          <w:sz w:val="20"/>
          <w:szCs w:val="20"/>
        </w:rPr>
        <w:t xml:space="preserve"> = -11.2</w:t>
      </w:r>
      <w:r>
        <w:rPr>
          <w:rFonts w:ascii="Times New Roman" w:eastAsia="Times New Roman" w:hAnsi="Times New Roman" w:cs="Times New Roman"/>
          <w:color w:val="111111"/>
          <w:sz w:val="20"/>
          <w:szCs w:val="20"/>
          <w:highlight w:val="white"/>
        </w:rPr>
        <w:t>‰</w:t>
      </w:r>
      <w:r>
        <w:rPr>
          <w:rFonts w:ascii="Times New Roman" w:eastAsia="Times New Roman" w:hAnsi="Times New Roman" w:cs="Times New Roman"/>
          <w:sz w:val="20"/>
          <w:szCs w:val="20"/>
        </w:rPr>
        <w:t xml:space="preserve"> and </w:t>
      </w:r>
      <w:r>
        <w:rPr>
          <w:rFonts w:ascii="Times New Roman" w:eastAsia="Times New Roman" w:hAnsi="Times New Roman" w:cs="Times New Roman"/>
          <w:i/>
          <w:sz w:val="20"/>
          <w:szCs w:val="20"/>
        </w:rPr>
        <w:t>δ</w:t>
      </w:r>
      <w:r>
        <w:rPr>
          <w:rFonts w:ascii="Times New Roman" w:eastAsia="Times New Roman" w:hAnsi="Times New Roman" w:cs="Times New Roman"/>
          <w:sz w:val="20"/>
          <w:szCs w:val="20"/>
          <w:vertAlign w:val="superscript"/>
        </w:rPr>
        <w:t>15</w:t>
      </w:r>
      <w:r>
        <w:rPr>
          <w:rFonts w:ascii="Times New Roman" w:eastAsia="Times New Roman" w:hAnsi="Times New Roman" w:cs="Times New Roman"/>
          <w:sz w:val="20"/>
          <w:szCs w:val="20"/>
        </w:rPr>
        <w:t>N</w:t>
      </w:r>
      <w:r>
        <w:rPr>
          <w:rFonts w:ascii="Times New Roman" w:eastAsia="Times New Roman" w:hAnsi="Times New Roman" w:cs="Times New Roman"/>
          <w:sz w:val="20"/>
          <w:szCs w:val="20"/>
          <w:vertAlign w:val="subscript"/>
        </w:rPr>
        <w:t>co</w:t>
      </w:r>
      <w:r>
        <w:rPr>
          <w:rFonts w:ascii="Times New Roman" w:eastAsia="Times New Roman" w:hAnsi="Times New Roman" w:cs="Times New Roman"/>
          <w:sz w:val="20"/>
          <w:szCs w:val="20"/>
        </w:rPr>
        <w:t xml:space="preserve"> = +7.7</w:t>
      </w:r>
      <w:r>
        <w:rPr>
          <w:rFonts w:ascii="Times New Roman" w:eastAsia="Times New Roman" w:hAnsi="Times New Roman" w:cs="Times New Roman"/>
          <w:color w:val="111111"/>
          <w:sz w:val="20"/>
          <w:szCs w:val="20"/>
          <w:highlight w:val="white"/>
        </w:rPr>
        <w:t>‰</w:t>
      </w:r>
      <w:r>
        <w:rPr>
          <w:rFonts w:ascii="Times New Roman" w:eastAsia="Times New Roman" w:hAnsi="Times New Roman" w:cs="Times New Roman"/>
          <w:sz w:val="20"/>
          <w:szCs w:val="20"/>
        </w:rPr>
        <w:t>) suggest a diet typical of Belize Valley individuals, with somewhat lower proteins that still fall within the range of reported values (Gerry, 1997; Walden, 2021; Table 6).</w:t>
      </w:r>
    </w:p>
    <w:p w14:paraId="401EA96B" w14:textId="77777777" w:rsidR="00FD5C31" w:rsidRDefault="00FD5C31"/>
    <w:sectPr w:rsidR="00FD5C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FA59C8"/>
    <w:multiLevelType w:val="multilevel"/>
    <w:tmpl w:val="399A21CA"/>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8E2383B"/>
    <w:multiLevelType w:val="multilevel"/>
    <w:tmpl w:val="DB60B5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22184870">
    <w:abstractNumId w:val="0"/>
  </w:num>
  <w:num w:numId="2" w16cid:durableId="11726023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C31"/>
    <w:rsid w:val="00005CF4"/>
    <w:rsid w:val="00331E29"/>
    <w:rsid w:val="00685293"/>
    <w:rsid w:val="00A5353F"/>
    <w:rsid w:val="00AC2CF8"/>
    <w:rsid w:val="00B22262"/>
    <w:rsid w:val="00C45EC2"/>
    <w:rsid w:val="00D02B62"/>
    <w:rsid w:val="00FD5C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FAA51"/>
  <w15:chartTrackingRefBased/>
  <w15:docId w15:val="{0279EE02-1D1F-4476-8E3C-DBF6AAB78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5C31"/>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aige.kelmelis@usd.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5056</Words>
  <Characters>28825</Characters>
  <Application>Microsoft Office Word</Application>
  <DocSecurity>0</DocSecurity>
  <Lines>240</Lines>
  <Paragraphs>67</Paragraphs>
  <ScaleCrop>false</ScaleCrop>
  <Company>University of South Dakota</Company>
  <LinksUpToDate>false</LinksUpToDate>
  <CharactersWithSpaces>33814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Kelmelis, Saige S</dc:creator>
  <cp:keywords/>
  <dc:description/>
  <cp:lastModifiedBy>Kelmelis, Saige S</cp:lastModifiedBy>
  <cp:revision>6</cp:revision>
  <dcterms:created xsi:type="dcterms:W3CDTF">2024-05-09T15:58:00Z</dcterms:created>
  <dcterms:modified xsi:type="dcterms:W3CDTF">2024-05-09T17:16:00Z</dcterms:modified>
</cp:coreProperties>
</file>