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7D011" w14:textId="77777777" w:rsidR="00B8295B" w:rsidRDefault="00B52B92">
      <w:pPr>
        <w:spacing w:line="480" w:lineRule="auto"/>
        <w:rPr>
          <w:i/>
          <w:iCs/>
          <w:sz w:val="30"/>
          <w:szCs w:val="30"/>
        </w:rPr>
      </w:pPr>
      <w:bookmarkStart w:id="0" w:name="_GoBack"/>
      <w:bookmarkEnd w:id="0"/>
      <w:r>
        <w:rPr>
          <w:sz w:val="30"/>
          <w:szCs w:val="30"/>
        </w:rPr>
        <w:t xml:space="preserve">Supplementary Materials 1: Detailed methods statement for Eriksen et al. </w:t>
      </w:r>
      <w:r>
        <w:rPr>
          <w:i/>
          <w:iCs/>
          <w:sz w:val="30"/>
          <w:szCs w:val="30"/>
        </w:rPr>
        <w:t>Broken bodies in domestic spaces: Evidence of violence and trauma in an atypical mortuary dataset from Iron and Viking Age Scandinavia</w:t>
      </w:r>
    </w:p>
    <w:p w14:paraId="596602D4" w14:textId="77777777" w:rsidR="00B8295B" w:rsidRDefault="00B8295B">
      <w:pPr>
        <w:spacing w:line="480" w:lineRule="auto"/>
        <w:rPr>
          <w:i/>
          <w:iCs/>
          <w:sz w:val="30"/>
          <w:szCs w:val="30"/>
        </w:rPr>
      </w:pPr>
    </w:p>
    <w:p w14:paraId="39875303" w14:textId="77777777" w:rsidR="00B8295B" w:rsidRDefault="00B52B92">
      <w:pPr>
        <w:pStyle w:val="Heading3"/>
        <w:rPr>
          <w:sz w:val="30"/>
          <w:szCs w:val="30"/>
        </w:rPr>
      </w:pPr>
      <w:bookmarkStart w:id="1" w:name="_fruzlyh1s0w7" w:colFirst="0" w:colLast="0"/>
      <w:bookmarkEnd w:id="1"/>
      <w:r>
        <w:t>SM1.1. Osteological methods</w:t>
      </w:r>
    </w:p>
    <w:p w14:paraId="17886552" w14:textId="77777777" w:rsidR="00B8295B" w:rsidRDefault="00B52B92">
      <w:pPr>
        <w:spacing w:after="0" w:line="480" w:lineRule="auto"/>
        <w:jc w:val="both"/>
      </w:pPr>
      <w:r>
        <w:t xml:space="preserve">The BODY-POLITICS </w:t>
      </w:r>
      <w:r>
        <w:t>project conducted standard osteological and biomolecular analyses in collections across Scandinavia wherever possible. For the present article, eight out of 12 individuals</w:t>
      </w:r>
      <w:r>
        <w:rPr>
          <w:sz w:val="24"/>
          <w:szCs w:val="24"/>
        </w:rPr>
        <w:t xml:space="preserve"> </w:t>
      </w:r>
      <w:r>
        <w:t>were available for analysis while information on the remaining four was collated fro</w:t>
      </w:r>
      <w:r>
        <w:t xml:space="preserve">m previous reports and publications, due to museum closures. Most of the remains presented here are fragmentary and incomplete, often exhibiting extensive taphonomic damage due to complex mortuary processes. </w:t>
      </w:r>
    </w:p>
    <w:p w14:paraId="66A3BC59" w14:textId="77777777" w:rsidR="00B8295B" w:rsidRDefault="00B52B92">
      <w:pPr>
        <w:pStyle w:val="Heading4"/>
        <w:spacing w:before="280" w:after="80"/>
        <w:rPr>
          <w:color w:val="666666"/>
        </w:rPr>
      </w:pPr>
      <w:bookmarkStart w:id="2" w:name="_2akwzy8rjvl9" w:colFirst="0" w:colLast="0"/>
      <w:bookmarkEnd w:id="2"/>
      <w:r>
        <w:rPr>
          <w:color w:val="666666"/>
        </w:rPr>
        <w:t>Age, sex, and palaeopathology</w:t>
      </w:r>
    </w:p>
    <w:p w14:paraId="327DA010" w14:textId="36A8B2E6" w:rsidR="00B8295B" w:rsidRDefault="00B52B92">
      <w:pPr>
        <w:spacing w:after="0" w:line="480" w:lineRule="auto"/>
        <w:jc w:val="both"/>
      </w:pPr>
      <w:r>
        <w:t>Age estimation wa</w:t>
      </w:r>
      <w:r>
        <w:t>s based on standard methods including dental eruption and epiphyseal fusion for non-adults, the assessment of dental wear, and the degenerative changes of the auricular surface and pubic symphysis for adults [</w:t>
      </w:r>
      <w:hyperlink w:anchor="ref1" w:history="1">
        <w:r w:rsidRPr="002D18BA">
          <w:rPr>
            <w:rStyle w:val="Hyperlink"/>
          </w:rPr>
          <w:t>1</w:t>
        </w:r>
      </w:hyperlink>
      <w:r w:rsidR="002D18BA">
        <w:t xml:space="preserve">, </w:t>
      </w:r>
      <w:hyperlink w:anchor="ref2" w:history="1">
        <w:r w:rsidR="002D18BA" w:rsidRPr="002D18BA">
          <w:rPr>
            <w:rStyle w:val="Hyperlink"/>
          </w:rPr>
          <w:t>2</w:t>
        </w:r>
      </w:hyperlink>
      <w:r w:rsidR="002D18BA">
        <w:t xml:space="preserve">, </w:t>
      </w:r>
      <w:bookmarkStart w:id="3" w:name="ref3"/>
      <w:r w:rsidR="002D18BA">
        <w:fldChar w:fldCharType="begin"/>
      </w:r>
      <w:r w:rsidR="002D18BA">
        <w:instrText>HYPERLINK  \l "ref3"</w:instrText>
      </w:r>
      <w:r w:rsidR="002D18BA">
        <w:fldChar w:fldCharType="separate"/>
      </w:r>
      <w:r w:rsidR="002D18BA" w:rsidRPr="002D18BA">
        <w:rPr>
          <w:rStyle w:val="Hyperlink"/>
        </w:rPr>
        <w:t>3</w:t>
      </w:r>
      <w:bookmarkEnd w:id="3"/>
      <w:r w:rsidR="002D18BA">
        <w:fldChar w:fldCharType="end"/>
      </w:r>
      <w:r w:rsidR="002D18BA">
        <w:t xml:space="preserve">, </w:t>
      </w:r>
      <w:hyperlink w:anchor="ref4" w:history="1">
        <w:r w:rsidR="002D18BA" w:rsidRPr="002D18BA">
          <w:rPr>
            <w:rStyle w:val="Hyperlink"/>
          </w:rPr>
          <w:t>4</w:t>
        </w:r>
      </w:hyperlink>
      <w:r w:rsidR="002D18BA">
        <w:t xml:space="preserve">, </w:t>
      </w:r>
      <w:hyperlink w:anchor="ref5" w:history="1">
        <w:r w:rsidR="002D18BA" w:rsidRPr="00FA45F1">
          <w:rPr>
            <w:rStyle w:val="Hyperlink"/>
          </w:rPr>
          <w:t>5</w:t>
        </w:r>
      </w:hyperlink>
      <w:r w:rsidR="002D18BA">
        <w:t xml:space="preserve">, </w:t>
      </w:r>
      <w:hyperlink w:anchor="ref6" w:history="1">
        <w:r w:rsidRPr="00FA45F1">
          <w:rPr>
            <w:rStyle w:val="Hyperlink"/>
          </w:rPr>
          <w:t>6</w:t>
        </w:r>
      </w:hyperlink>
      <w:r>
        <w:t>]. Sex determination methods included macroscopic assessment of pelvic morphology and cranial traits [</w:t>
      </w:r>
      <w:hyperlink w:anchor="ref4" w:history="1">
        <w:r w:rsidRPr="00FA45F1">
          <w:rPr>
            <w:rStyle w:val="Hyperlink"/>
          </w:rPr>
          <w:t>4</w:t>
        </w:r>
      </w:hyperlink>
      <w:r>
        <w:t xml:space="preserve">, </w:t>
      </w:r>
      <w:hyperlink w:anchor="ref7" w:history="1">
        <w:r w:rsidRPr="00FA45F1">
          <w:rPr>
            <w:rStyle w:val="Hyperlink"/>
          </w:rPr>
          <w:t>7</w:t>
        </w:r>
      </w:hyperlink>
      <w:r>
        <w:t xml:space="preserve">, </w:t>
      </w:r>
      <w:hyperlink w:anchor="ref8" w:history="1">
        <w:r w:rsidRPr="00FA45F1">
          <w:rPr>
            <w:rStyle w:val="Hyperlink"/>
          </w:rPr>
          <w:t>8</w:t>
        </w:r>
      </w:hyperlink>
      <w:r>
        <w:t>]. In addition to macroscopic methods, biological sex was confirmed with aDNA analysis for five individuals (see SM 1.2).</w:t>
      </w:r>
    </w:p>
    <w:p w14:paraId="187257B6" w14:textId="77777777" w:rsidR="00B8295B" w:rsidRDefault="00B8295B">
      <w:pPr>
        <w:spacing w:after="0" w:line="480" w:lineRule="auto"/>
        <w:jc w:val="both"/>
      </w:pPr>
    </w:p>
    <w:p w14:paraId="759BA90C" w14:textId="51DFF034" w:rsidR="00B8295B" w:rsidRDefault="00B52B92">
      <w:pPr>
        <w:spacing w:after="0" w:line="480" w:lineRule="auto"/>
        <w:jc w:val="both"/>
      </w:pPr>
      <w:r>
        <w:t xml:space="preserve">Indicators of dental health (e.g., periodontitis, caries, etc.), degenerative </w:t>
      </w:r>
      <w:r w:rsidR="000B4536">
        <w:t>conditions (</w:t>
      </w:r>
      <w:r>
        <w:t>e.g., o</w:t>
      </w:r>
      <w:r>
        <w:t xml:space="preserve">steoarthritis), infectious, metabolic, and neoplastic diseases, as well as the presence of non-specific stress markers [e.g., cribra orbitalia, periosteal reaction, porotic hyperostosis, and enamel </w:t>
      </w:r>
      <w:r w:rsidR="000B4536">
        <w:t>hypoplasia,</w:t>
      </w:r>
      <w:r>
        <w:t xml:space="preserve"> e.g., </w:t>
      </w:r>
      <w:hyperlink w:anchor="ref9" w:history="1">
        <w:r w:rsidRPr="00FA45F1">
          <w:rPr>
            <w:rStyle w:val="Hyperlink"/>
          </w:rPr>
          <w:t>9</w:t>
        </w:r>
      </w:hyperlink>
      <w:r>
        <w:t xml:space="preserve">, </w:t>
      </w:r>
      <w:hyperlink w:anchor="ref10" w:history="1">
        <w:r w:rsidRPr="00FA45F1">
          <w:rPr>
            <w:rStyle w:val="Hyperlink"/>
          </w:rPr>
          <w:t>10</w:t>
        </w:r>
      </w:hyperlink>
      <w:r>
        <w:t xml:space="preserve">] were </w:t>
      </w:r>
      <w:r>
        <w:lastRenderedPageBreak/>
        <w:t>assessed with standard paleopathological methods</w:t>
      </w:r>
      <w:r w:rsidR="00B82E3F">
        <w:t xml:space="preserve"> [e.g., </w:t>
      </w:r>
      <w:hyperlink w:anchor="ref19" w:history="1">
        <w:r w:rsidR="00B82E3F" w:rsidRPr="003B78DE">
          <w:rPr>
            <w:rStyle w:val="Hyperlink"/>
          </w:rPr>
          <w:t>19</w:t>
        </w:r>
      </w:hyperlink>
      <w:r w:rsidR="00B82E3F">
        <w:t>]</w:t>
      </w:r>
      <w:r>
        <w:t xml:space="preserve">. The presence/absence of mechanical stress markers such as Schmorl’s nodes was also recorded [e.g., </w:t>
      </w:r>
      <w:hyperlink w:anchor="ref11" w:history="1">
        <w:r w:rsidRPr="00FA45F1">
          <w:rPr>
            <w:rStyle w:val="Hyperlink"/>
          </w:rPr>
          <w:t>11</w:t>
        </w:r>
      </w:hyperlink>
      <w:r>
        <w:t>].</w:t>
      </w:r>
    </w:p>
    <w:p w14:paraId="6FB11995" w14:textId="77777777" w:rsidR="00B8295B" w:rsidRDefault="00B52B92">
      <w:pPr>
        <w:pStyle w:val="Heading4"/>
        <w:spacing w:before="280" w:after="80"/>
        <w:rPr>
          <w:color w:val="666666"/>
        </w:rPr>
      </w:pPr>
      <w:bookmarkStart w:id="4" w:name="_6xvm0p3gi8q8" w:colFirst="0" w:colLast="0"/>
      <w:bookmarkEnd w:id="4"/>
      <w:r>
        <w:rPr>
          <w:color w:val="666666"/>
        </w:rPr>
        <w:t xml:space="preserve">Analysis </w:t>
      </w:r>
      <w:r>
        <w:rPr>
          <w:color w:val="666666"/>
        </w:rPr>
        <w:t xml:space="preserve">and identification of direct skeletal trauma  </w:t>
      </w:r>
    </w:p>
    <w:p w14:paraId="782F5C71" w14:textId="667C66C5" w:rsidR="00B8295B" w:rsidRDefault="00B52B92">
      <w:pPr>
        <w:pStyle w:val="Heading4"/>
        <w:spacing w:before="280" w:after="80"/>
        <w:rPr>
          <w:i w:val="0"/>
          <w:iCs w:val="0"/>
          <w:sz w:val="22"/>
          <w:szCs w:val="22"/>
        </w:rPr>
      </w:pPr>
      <w:bookmarkStart w:id="5" w:name="_1f1vx7u75ewf" w:colFirst="0" w:colLast="0"/>
      <w:bookmarkEnd w:id="5"/>
      <w:r>
        <w:rPr>
          <w:i w:val="0"/>
          <w:iCs w:val="0"/>
          <w:sz w:val="22"/>
          <w:szCs w:val="22"/>
        </w:rPr>
        <w:t xml:space="preserve">Skeletal trauma was visually evaluated by the presence of fracture (i.e., the partial or complete break in the continuity of a bone), dislocation (i.e., the displacement of skeletal segments at the joint) and </w:t>
      </w:r>
      <w:r>
        <w:rPr>
          <w:i w:val="0"/>
          <w:iCs w:val="0"/>
          <w:sz w:val="22"/>
          <w:szCs w:val="22"/>
        </w:rPr>
        <w:t>signs of healing [</w:t>
      </w:r>
      <w:hyperlink w:anchor="ref12" w:history="1">
        <w:r w:rsidRPr="00FA45F1">
          <w:rPr>
            <w:rStyle w:val="Hyperlink"/>
            <w:i w:val="0"/>
            <w:iCs w:val="0"/>
            <w:sz w:val="22"/>
            <w:szCs w:val="22"/>
          </w:rPr>
          <w:t>12</w:t>
        </w:r>
      </w:hyperlink>
      <w:r w:rsidR="00FA45F1">
        <w:rPr>
          <w:i w:val="0"/>
          <w:iCs w:val="0"/>
          <w:sz w:val="22"/>
          <w:szCs w:val="22"/>
        </w:rPr>
        <w:t xml:space="preserve">, </w:t>
      </w:r>
      <w:hyperlink w:anchor="ref13" w:history="1">
        <w:r w:rsidR="00FA45F1" w:rsidRPr="00FA45F1">
          <w:rPr>
            <w:rStyle w:val="Hyperlink"/>
            <w:i w:val="0"/>
            <w:iCs w:val="0"/>
            <w:sz w:val="22"/>
            <w:szCs w:val="22"/>
          </w:rPr>
          <w:t>13</w:t>
        </w:r>
      </w:hyperlink>
      <w:r w:rsidR="00FA45F1">
        <w:rPr>
          <w:i w:val="0"/>
          <w:iCs w:val="0"/>
          <w:sz w:val="22"/>
          <w:szCs w:val="22"/>
        </w:rPr>
        <w:t xml:space="preserve">, </w:t>
      </w:r>
      <w:hyperlink w:anchor="ref14" w:history="1">
        <w:r w:rsidR="00FA45F1" w:rsidRPr="00FA45F1">
          <w:rPr>
            <w:rStyle w:val="Hyperlink"/>
            <w:i w:val="0"/>
            <w:iCs w:val="0"/>
            <w:sz w:val="22"/>
            <w:szCs w:val="22"/>
          </w:rPr>
          <w:t>14</w:t>
        </w:r>
      </w:hyperlink>
      <w:r w:rsidR="00FA45F1">
        <w:rPr>
          <w:i w:val="0"/>
          <w:iCs w:val="0"/>
          <w:sz w:val="22"/>
          <w:szCs w:val="22"/>
        </w:rPr>
        <w:t xml:space="preserve">, </w:t>
      </w:r>
      <w:hyperlink w:anchor="ref15" w:history="1">
        <w:r w:rsidRPr="00FA45F1">
          <w:rPr>
            <w:rStyle w:val="Hyperlink"/>
            <w:i w:val="0"/>
            <w:iCs w:val="0"/>
            <w:sz w:val="22"/>
            <w:szCs w:val="22"/>
          </w:rPr>
          <w:t>15</w:t>
        </w:r>
      </w:hyperlink>
      <w:r>
        <w:rPr>
          <w:i w:val="0"/>
          <w:iCs w:val="0"/>
          <w:sz w:val="22"/>
          <w:szCs w:val="22"/>
        </w:rPr>
        <w:t xml:space="preserve">]. By assessing the timing of </w:t>
      </w:r>
      <w:r w:rsidR="000B4536">
        <w:rPr>
          <w:i w:val="0"/>
          <w:iCs w:val="0"/>
          <w:sz w:val="22"/>
          <w:szCs w:val="22"/>
        </w:rPr>
        <w:t>injuries,</w:t>
      </w:r>
      <w:r>
        <w:rPr>
          <w:i w:val="0"/>
          <w:iCs w:val="0"/>
          <w:sz w:val="22"/>
          <w:szCs w:val="22"/>
        </w:rPr>
        <w:t xml:space="preserve"> we distinguished lesions as antemortem and perimortem (e.g., evidence of healing inc</w:t>
      </w:r>
      <w:r>
        <w:rPr>
          <w:i w:val="0"/>
          <w:iCs w:val="0"/>
          <w:sz w:val="22"/>
          <w:szCs w:val="22"/>
        </w:rPr>
        <w:t xml:space="preserve">luding bone </w:t>
      </w:r>
      <w:r w:rsidR="000B4536">
        <w:rPr>
          <w:i w:val="0"/>
          <w:iCs w:val="0"/>
          <w:sz w:val="22"/>
          <w:szCs w:val="22"/>
        </w:rPr>
        <w:t>remodeling</w:t>
      </w:r>
      <w:r>
        <w:rPr>
          <w:i w:val="0"/>
          <w:iCs w:val="0"/>
          <w:sz w:val="22"/>
          <w:szCs w:val="22"/>
        </w:rPr>
        <w:t>, callus formation) [</w:t>
      </w:r>
      <w:hyperlink w:anchor="ref15" w:history="1">
        <w:r w:rsidRPr="00FA45F1">
          <w:rPr>
            <w:rStyle w:val="Hyperlink"/>
            <w:i w:val="0"/>
            <w:iCs w:val="0"/>
            <w:sz w:val="22"/>
            <w:szCs w:val="22"/>
          </w:rPr>
          <w:t>15</w:t>
        </w:r>
      </w:hyperlink>
      <w:r w:rsidR="00FA45F1">
        <w:rPr>
          <w:i w:val="0"/>
          <w:iCs w:val="0"/>
          <w:sz w:val="22"/>
          <w:szCs w:val="22"/>
        </w:rPr>
        <w:t xml:space="preserve">, </w:t>
      </w:r>
      <w:hyperlink w:anchor="ref16" w:history="1">
        <w:r w:rsidR="00FA45F1" w:rsidRPr="00FA45F1">
          <w:rPr>
            <w:rStyle w:val="Hyperlink"/>
            <w:i w:val="0"/>
            <w:iCs w:val="0"/>
            <w:sz w:val="22"/>
            <w:szCs w:val="22"/>
          </w:rPr>
          <w:t>16</w:t>
        </w:r>
      </w:hyperlink>
      <w:r w:rsidR="00FA45F1">
        <w:rPr>
          <w:i w:val="0"/>
          <w:iCs w:val="0"/>
          <w:sz w:val="22"/>
          <w:szCs w:val="22"/>
        </w:rPr>
        <w:t xml:space="preserve">, </w:t>
      </w:r>
      <w:r>
        <w:rPr>
          <w:i w:val="0"/>
          <w:iCs w:val="0"/>
          <w:sz w:val="22"/>
          <w:szCs w:val="22"/>
        </w:rPr>
        <w:t>17]. Fracture displacement and formation of pseudoarthrosis were also documented [</w:t>
      </w:r>
      <w:hyperlink w:anchor="ref18" w:history="1">
        <w:r w:rsidRPr="003B78DE">
          <w:rPr>
            <w:rStyle w:val="Hyperlink"/>
            <w:i w:val="0"/>
            <w:iCs w:val="0"/>
            <w:sz w:val="22"/>
            <w:szCs w:val="22"/>
          </w:rPr>
          <w:t>18</w:t>
        </w:r>
      </w:hyperlink>
      <w:r>
        <w:rPr>
          <w:i w:val="0"/>
          <w:iCs w:val="0"/>
          <w:sz w:val="22"/>
          <w:szCs w:val="22"/>
        </w:rPr>
        <w:t xml:space="preserve">, </w:t>
      </w:r>
      <w:hyperlink w:anchor="ref19" w:history="1">
        <w:r w:rsidRPr="003B78DE">
          <w:rPr>
            <w:rStyle w:val="Hyperlink"/>
            <w:i w:val="0"/>
            <w:iCs w:val="0"/>
            <w:sz w:val="22"/>
            <w:szCs w:val="22"/>
          </w:rPr>
          <w:t>19</w:t>
        </w:r>
      </w:hyperlink>
      <w:r>
        <w:rPr>
          <w:i w:val="0"/>
          <w:iCs w:val="0"/>
          <w:sz w:val="22"/>
          <w:szCs w:val="22"/>
        </w:rPr>
        <w:t>].</w:t>
      </w:r>
    </w:p>
    <w:p w14:paraId="4BFA49DF" w14:textId="77777777" w:rsidR="00B8295B" w:rsidRDefault="00B8295B">
      <w:pPr>
        <w:spacing w:after="0" w:line="480" w:lineRule="auto"/>
        <w:jc w:val="both"/>
      </w:pPr>
    </w:p>
    <w:p w14:paraId="5BF0BC5D" w14:textId="50C331D4" w:rsidR="00B8295B" w:rsidRDefault="00B52B92">
      <w:pPr>
        <w:spacing w:after="0" w:line="480" w:lineRule="auto"/>
        <w:jc w:val="both"/>
      </w:pPr>
      <w:r>
        <w:t xml:space="preserve">Skeletal </w:t>
      </w:r>
      <w:r>
        <w:t>injuries were differentiated based on their class characteristics into blunt-force and sharp-force</w:t>
      </w:r>
      <w:r>
        <w:rPr>
          <w:i/>
          <w:iCs/>
        </w:rPr>
        <w:t xml:space="preserve"> </w:t>
      </w:r>
      <w:r>
        <w:t>trauma [</w:t>
      </w:r>
      <w:hyperlink w:anchor="ref15" w:history="1">
        <w:r w:rsidRPr="00FA45F1">
          <w:rPr>
            <w:rStyle w:val="Hyperlink"/>
          </w:rPr>
          <w:t>15</w:t>
        </w:r>
      </w:hyperlink>
      <w:r>
        <w:t xml:space="preserve">, </w:t>
      </w:r>
      <w:hyperlink w:anchor="ref20" w:history="1">
        <w:r w:rsidRPr="00FA45F1">
          <w:rPr>
            <w:rStyle w:val="Hyperlink"/>
          </w:rPr>
          <w:t>20</w:t>
        </w:r>
      </w:hyperlink>
      <w:r>
        <w:t xml:space="preserve">, </w:t>
      </w:r>
      <w:hyperlink w:anchor="ref21" w:history="1">
        <w:r w:rsidRPr="00FA45F1">
          <w:rPr>
            <w:rStyle w:val="Hyperlink"/>
          </w:rPr>
          <w:t>21</w:t>
        </w:r>
      </w:hyperlink>
      <w:r>
        <w:t xml:space="preserve">]. Blunt-force trauma is caused by slow-load application on the </w:t>
      </w:r>
      <w:r>
        <w:t>body by a blunt object or surface, or by the slow-loaded impact of the body itself onto a blunt object or surface [</w:t>
      </w:r>
      <w:hyperlink w:anchor="ref15" w:history="1">
        <w:r w:rsidRPr="00FA45F1">
          <w:rPr>
            <w:rStyle w:val="Hyperlink"/>
          </w:rPr>
          <w:t>15</w:t>
        </w:r>
      </w:hyperlink>
      <w:r>
        <w:t xml:space="preserve">, </w:t>
      </w:r>
      <w:hyperlink w:anchor="ref21" w:history="1">
        <w:r w:rsidRPr="00FA45F1">
          <w:rPr>
            <w:rStyle w:val="Hyperlink"/>
          </w:rPr>
          <w:t>21</w:t>
        </w:r>
      </w:hyperlink>
      <w:r>
        <w:t xml:space="preserve">, </w:t>
      </w:r>
      <w:hyperlink w:anchor="ref22" w:history="1">
        <w:r w:rsidRPr="00FA45F1">
          <w:rPr>
            <w:rStyle w:val="Hyperlink"/>
          </w:rPr>
          <w:t>22</w:t>
        </w:r>
      </w:hyperlink>
      <w:r>
        <w:t>]. Such impact can be direct or indirect and can produce</w:t>
      </w:r>
      <w:r>
        <w:t xml:space="preserve"> a variety of fracture types [</w:t>
      </w:r>
      <w:hyperlink w:anchor="ref15" w:history="1">
        <w:r w:rsidRPr="00FA45F1">
          <w:rPr>
            <w:rStyle w:val="Hyperlink"/>
          </w:rPr>
          <w:t>15</w:t>
        </w:r>
      </w:hyperlink>
      <w:r>
        <w:t>]. For direct impacts, there is a focal area where force disperses. For indirect impacts, fractures are usually the result of compression, tension, torsion, and/or shearing [</w:t>
      </w:r>
      <w:hyperlink w:anchor="ref16" w:history="1">
        <w:r w:rsidRPr="00FA45F1">
          <w:rPr>
            <w:rStyle w:val="Hyperlink"/>
          </w:rPr>
          <w:t>16</w:t>
        </w:r>
      </w:hyperlink>
      <w:r>
        <w:t>].</w:t>
      </w:r>
    </w:p>
    <w:p w14:paraId="3D771925" w14:textId="77777777" w:rsidR="00B8295B" w:rsidRDefault="00B8295B">
      <w:pPr>
        <w:spacing w:after="0" w:line="480" w:lineRule="auto"/>
        <w:jc w:val="both"/>
      </w:pPr>
    </w:p>
    <w:p w14:paraId="1D0C86B9" w14:textId="471DA4F8" w:rsidR="00B8295B" w:rsidRDefault="00B52B92">
      <w:pPr>
        <w:spacing w:after="0" w:line="480" w:lineRule="auto"/>
        <w:jc w:val="both"/>
      </w:pPr>
      <w:r>
        <w:t>Sharp-force trauma is caused by a bladed or pointed object that has at least one sharp edge and can produce clean incisions with well-defined margins and a smooth surface. When involving bone, an irregular margin opposite the cut can also be observed</w:t>
      </w:r>
      <w:r>
        <w:t xml:space="preserve">, with the </w:t>
      </w:r>
      <w:r w:rsidR="000B4536">
        <w:t>concurrent presence</w:t>
      </w:r>
      <w:r>
        <w:t xml:space="preserve"> of flaking and a rough or jagged appearance [</w:t>
      </w:r>
      <w:hyperlink w:anchor="ref15" w:history="1">
        <w:r w:rsidRPr="00FA45F1">
          <w:rPr>
            <w:rStyle w:val="Hyperlink"/>
          </w:rPr>
          <w:t>15</w:t>
        </w:r>
      </w:hyperlink>
      <w:r>
        <w:t>]. Observations on the width, depth, and texture of kerfs – the cut or groove incised in the bone by sharp implements – can inform on the type of instrum</w:t>
      </w:r>
      <w:r>
        <w:t>ent used to inflict the injuries [</w:t>
      </w:r>
      <w:hyperlink w:anchor="ref20" w:history="1">
        <w:r w:rsidRPr="00FA45F1">
          <w:rPr>
            <w:rStyle w:val="Hyperlink"/>
          </w:rPr>
          <w:t>20</w:t>
        </w:r>
      </w:hyperlink>
      <w:r>
        <w:t>]. The presence of perforating and/or penetrating trauma due to the use of pointed instruments or projectiles (e.g., spears, arrows) was also documented [</w:t>
      </w:r>
      <w:hyperlink w:anchor="ref15" w:history="1">
        <w:r w:rsidRPr="00FA45F1">
          <w:rPr>
            <w:rStyle w:val="Hyperlink"/>
          </w:rPr>
          <w:t>15</w:t>
        </w:r>
      </w:hyperlink>
      <w:r>
        <w:t>].</w:t>
      </w:r>
    </w:p>
    <w:p w14:paraId="00486142" w14:textId="6B47EE2D" w:rsidR="00B8295B" w:rsidRDefault="00B52B92">
      <w:pPr>
        <w:spacing w:after="0" w:line="480" w:lineRule="auto"/>
        <w:jc w:val="both"/>
      </w:pPr>
      <w:r>
        <w:lastRenderedPageBreak/>
        <w:t xml:space="preserve">The </w:t>
      </w:r>
      <w:r>
        <w:t>presence of recurring and multiple injuries was also assessed, as this can offer insights into the circumstances under which trauma occurred and the likelihood of exposure to injuries or violence during the life course [</w:t>
      </w:r>
      <w:hyperlink w:anchor="ref23" w:history="1">
        <w:r w:rsidRPr="00E26548">
          <w:rPr>
            <w:rStyle w:val="Hyperlink"/>
          </w:rPr>
          <w:t>23</w:t>
        </w:r>
      </w:hyperlink>
      <w:r w:rsidR="00FA45F1">
        <w:t xml:space="preserve">, </w:t>
      </w:r>
      <w:hyperlink w:anchor="ref24" w:history="1">
        <w:r w:rsidR="00FA45F1" w:rsidRPr="00E26548">
          <w:rPr>
            <w:rStyle w:val="Hyperlink"/>
          </w:rPr>
          <w:t>24</w:t>
        </w:r>
      </w:hyperlink>
      <w:r w:rsidR="00FA45F1">
        <w:t xml:space="preserve">, </w:t>
      </w:r>
      <w:hyperlink w:anchor="ref25" w:history="1">
        <w:r w:rsidRPr="00E26548">
          <w:rPr>
            <w:rStyle w:val="Hyperlink"/>
          </w:rPr>
          <w:t>25</w:t>
        </w:r>
      </w:hyperlink>
      <w:r>
        <w:t>]. This phenomenon has been likened to a ‘chronic disease closely related to social and economic background, thus linking trauma with individual experience’ [</w:t>
      </w:r>
      <w:hyperlink w:anchor="ref26" w:history="1">
        <w:r w:rsidRPr="00E26548">
          <w:rPr>
            <w:rStyle w:val="Hyperlink"/>
          </w:rPr>
          <w:t>26</w:t>
        </w:r>
      </w:hyperlink>
      <w:r>
        <w:t xml:space="preserve">; see also </w:t>
      </w:r>
      <w:hyperlink w:anchor="ref24" w:history="1">
        <w:r w:rsidRPr="00E26548">
          <w:rPr>
            <w:rStyle w:val="Hyperlink"/>
          </w:rPr>
          <w:t>24</w:t>
        </w:r>
      </w:hyperlink>
      <w:r>
        <w:t xml:space="preserve">]. In this study, we classify injury recidivism as the co-occurrence of </w:t>
      </w:r>
      <w:r>
        <w:rPr>
          <w:i/>
          <w:iCs/>
        </w:rPr>
        <w:t>both</w:t>
      </w:r>
      <w:r>
        <w:t xml:space="preserve"> ante- and perimortem lesions (healed or healing) in the same individual [</w:t>
      </w:r>
      <w:hyperlink w:anchor="ref24" w:history="1">
        <w:r w:rsidRPr="00E26548">
          <w:rPr>
            <w:rStyle w:val="Hyperlink"/>
          </w:rPr>
          <w:t>24</w:t>
        </w:r>
      </w:hyperlink>
      <w:r>
        <w:t>]; we also refer to multiple traumatic injuries to indicate the</w:t>
      </w:r>
      <w:r>
        <w:t xml:space="preserve"> presence of more than one antemortem lesion in the same individual deriving from a single event or several events [</w:t>
      </w:r>
      <w:hyperlink w:anchor="ref24" w:history="1">
        <w:r w:rsidRPr="00E26548">
          <w:rPr>
            <w:rStyle w:val="Hyperlink"/>
          </w:rPr>
          <w:t>24</w:t>
        </w:r>
      </w:hyperlink>
      <w:r>
        <w:t xml:space="preserve">, </w:t>
      </w:r>
      <w:hyperlink w:anchor="ref25" w:history="1">
        <w:r w:rsidRPr="00E26548">
          <w:rPr>
            <w:rStyle w:val="Hyperlink"/>
          </w:rPr>
          <w:t>25</w:t>
        </w:r>
      </w:hyperlink>
      <w:r>
        <w:t>].</w:t>
      </w:r>
    </w:p>
    <w:p w14:paraId="42F57A71" w14:textId="77777777" w:rsidR="00B8295B" w:rsidRDefault="00B8295B">
      <w:pPr>
        <w:spacing w:after="0" w:line="480" w:lineRule="auto"/>
        <w:jc w:val="both"/>
      </w:pPr>
    </w:p>
    <w:p w14:paraId="5E671A37" w14:textId="77777777" w:rsidR="00B8295B" w:rsidRDefault="00B52B92">
      <w:pPr>
        <w:pStyle w:val="Heading3"/>
      </w:pPr>
      <w:bookmarkStart w:id="6" w:name="_kwhelis368h3" w:colFirst="0" w:colLast="0"/>
      <w:bookmarkEnd w:id="6"/>
      <w:r>
        <w:t xml:space="preserve">SM1.2. </w:t>
      </w:r>
      <w:r>
        <w:rPr>
          <w:color w:val="000000"/>
        </w:rPr>
        <w:t>Radiocarbon dating</w:t>
      </w:r>
    </w:p>
    <w:p w14:paraId="34658FAA" w14:textId="7C51E1A6" w:rsidR="00B8295B" w:rsidRDefault="00B52B92">
      <w:pPr>
        <w:spacing w:after="0" w:line="480" w:lineRule="auto"/>
        <w:jc w:val="both"/>
      </w:pPr>
      <w:r>
        <w:t xml:space="preserve">Samples for AMS dating were taken from Individuals 1, </w:t>
      </w:r>
      <w:r>
        <w:t>2, 3, 5, 6 and 11 at the Aalborg Magasin (DK) and the Moesgaard Museum (DK) by Dr Marie Louise Jorkøv and Dr Emma Tollefsen, then processed at the SUERC Radiocarbon Laboratory, Glasgow, UK. Detailed descriptions of the methods employed by the SUERC Radioca</w:t>
      </w:r>
      <w:r>
        <w:t>rbon Laboratory can be found in [</w:t>
      </w:r>
      <w:hyperlink w:anchor="ref27" w:history="1">
        <w:r w:rsidRPr="00E26548">
          <w:rPr>
            <w:rStyle w:val="Hyperlink"/>
          </w:rPr>
          <w:t>27</w:t>
        </w:r>
      </w:hyperlink>
      <w:r>
        <w:t>]. Additional radiocarbon dates for Individuals 7, 9, 10, and 12 were taken from the literature [</w:t>
      </w:r>
      <w:hyperlink w:anchor="ref28" w:history="1">
        <w:r w:rsidRPr="00E26548">
          <w:rPr>
            <w:rStyle w:val="Hyperlink"/>
          </w:rPr>
          <w:t>28</w:t>
        </w:r>
      </w:hyperlink>
      <w:r w:rsidR="00E26548">
        <w:t xml:space="preserve">, </w:t>
      </w:r>
      <w:hyperlink w:anchor="ref29" w:history="1">
        <w:r w:rsidR="00E26548" w:rsidRPr="00E26548">
          <w:rPr>
            <w:rStyle w:val="Hyperlink"/>
          </w:rPr>
          <w:t>29</w:t>
        </w:r>
      </w:hyperlink>
      <w:r w:rsidR="00E26548">
        <w:t xml:space="preserve">, </w:t>
      </w:r>
      <w:hyperlink w:anchor="ref30" w:history="1">
        <w:r w:rsidR="00E26548" w:rsidRPr="00E26548">
          <w:rPr>
            <w:rStyle w:val="Hyperlink"/>
          </w:rPr>
          <w:t>30</w:t>
        </w:r>
      </w:hyperlink>
      <w:r w:rsidR="00E26548">
        <w:t xml:space="preserve">, </w:t>
      </w:r>
      <w:hyperlink w:anchor="ref31" w:history="1">
        <w:r w:rsidRPr="00E26548">
          <w:rPr>
            <w:rStyle w:val="Hyperlink"/>
          </w:rPr>
          <w:t>31</w:t>
        </w:r>
      </w:hyperlink>
      <w:r>
        <w:t>, Ola Magnell, personal communication, 2025].</w:t>
      </w:r>
    </w:p>
    <w:p w14:paraId="374544E0" w14:textId="77777777" w:rsidR="00B8295B" w:rsidRDefault="00B8295B">
      <w:pPr>
        <w:spacing w:after="0" w:line="480" w:lineRule="auto"/>
        <w:jc w:val="both"/>
      </w:pPr>
    </w:p>
    <w:p w14:paraId="7770103A" w14:textId="5E404A9D" w:rsidR="00B8295B" w:rsidRDefault="00B52B92">
      <w:pPr>
        <w:spacing w:after="0" w:line="480" w:lineRule="auto"/>
        <w:jc w:val="both"/>
      </w:pPr>
      <w:r>
        <w:t>All radiocarbon estimates, both newly presented and from literature, were recalibrated for this article using OxCal 4.4.4 [</w:t>
      </w:r>
      <w:hyperlink w:anchor="ref32" w:history="1">
        <w:r w:rsidRPr="00E26548">
          <w:rPr>
            <w:rStyle w:val="Hyperlink"/>
          </w:rPr>
          <w:t>32</w:t>
        </w:r>
      </w:hyperlink>
      <w:r>
        <w:t>]. Calibrated BCE/CE dates are presented in their 2-sigma confidence interval (95.4% probability that the date at death occurred within the stated range). A key caveat is that some individuals in the dataset may routinely consume marine (Baltic or North Se</w:t>
      </w:r>
      <w:r>
        <w:t xml:space="preserve">a) and/or freshwater seafood in their lives, particularly in the later periods at hand (Merovingian and Viking Ages) when deep sea navigation is widely evident. Dietary isotope analysis is ongoing, and we can neither identify nor rule out a marine or </w:t>
      </w:r>
      <w:r>
        <w:lastRenderedPageBreak/>
        <w:t>fresh</w:t>
      </w:r>
      <w:r>
        <w:t xml:space="preserve">water reservoir effect on the dates presented, opening the possibility that some individuals may have died slightly later than the reported dates. This remains a known unknown at time of publication. </w:t>
      </w:r>
    </w:p>
    <w:p w14:paraId="0FC3635F" w14:textId="77777777" w:rsidR="00E26548" w:rsidRDefault="00E26548">
      <w:pPr>
        <w:spacing w:after="0" w:line="480" w:lineRule="auto"/>
        <w:jc w:val="both"/>
      </w:pPr>
    </w:p>
    <w:p w14:paraId="19EEEFED" w14:textId="77777777" w:rsidR="00B8295B" w:rsidRDefault="00B52B92">
      <w:pPr>
        <w:pStyle w:val="Heading3"/>
      </w:pPr>
      <w:bookmarkStart w:id="7" w:name="_1pp7x5nzz2lg" w:colFirst="0" w:colLast="0"/>
      <w:bookmarkEnd w:id="7"/>
      <w:r>
        <w:t>SM1.3. Genetic sex estimation</w:t>
      </w:r>
    </w:p>
    <w:p w14:paraId="7E77271E" w14:textId="1387AC5C" w:rsidR="00B8295B" w:rsidRDefault="00B52B92">
      <w:pPr>
        <w:spacing w:line="480" w:lineRule="auto"/>
        <w:jc w:val="both"/>
      </w:pPr>
      <w:r>
        <w:t>Genetic sex estimation f</w:t>
      </w:r>
      <w:r>
        <w:t xml:space="preserve">or 5 individuals </w:t>
      </w:r>
      <w:r w:rsidR="000B4536">
        <w:t>is</w:t>
      </w:r>
      <w:r>
        <w:t xml:space="preserve"> reported in this study (Table S1). Of these, four (Postgaarden VI X4420/X4440; Sdr Tranders X720 and X3160; and Rosengade 4278-PF) are presented in full in Scheib et al. [</w:t>
      </w:r>
      <w:hyperlink w:anchor="ref33" w:history="1">
        <w:r w:rsidRPr="00E26548">
          <w:rPr>
            <w:rStyle w:val="Hyperlink"/>
          </w:rPr>
          <w:t>33</w:t>
        </w:r>
      </w:hyperlink>
      <w:r>
        <w:t>]. Genetic sex estimation for Postgaar</w:t>
      </w:r>
      <w:r>
        <w:t>den VI X2753 is presented here for the first time; this individual’s genomic preservation was too poor to allow the full suite of population genetic analyses pursued in Scheib et al. (under review</w:t>
      </w:r>
      <w:r w:rsidR="000B4536">
        <w:t>) but</w:t>
      </w:r>
      <w:r>
        <w:t xml:space="preserve"> was sufficient to suggest chromosomal sex. </w:t>
      </w:r>
    </w:p>
    <w:p w14:paraId="3C24A9CD" w14:textId="77777777" w:rsidR="00B8295B" w:rsidRDefault="00B8295B">
      <w:pPr>
        <w:spacing w:after="0" w:line="480" w:lineRule="auto"/>
        <w:jc w:val="both"/>
      </w:pPr>
    </w:p>
    <w:p w14:paraId="6592F9B5" w14:textId="77777777" w:rsidR="00B8295B" w:rsidRDefault="00B8295B">
      <w:pPr>
        <w:spacing w:after="0" w:line="480" w:lineRule="auto"/>
        <w:jc w:val="both"/>
        <w:sectPr w:rsidR="00B8295B">
          <w:footerReference w:type="default" r:id="rId8"/>
          <w:pgSz w:w="12240" w:h="15840"/>
          <w:pgMar w:top="1440" w:right="1440" w:bottom="1440" w:left="1440" w:header="720" w:footer="720" w:gutter="0"/>
          <w:pgNumType w:start="0"/>
          <w:cols w:space="720"/>
          <w:titlePg/>
        </w:sectPr>
      </w:pPr>
    </w:p>
    <w:p w14:paraId="52828598" w14:textId="77777777" w:rsidR="00B8295B" w:rsidRDefault="00B8295B">
      <w:pPr>
        <w:spacing w:after="0" w:line="480" w:lineRule="auto"/>
        <w:jc w:val="both"/>
        <w:rPr>
          <w:sz w:val="18"/>
          <w:szCs w:val="18"/>
        </w:rPr>
      </w:pPr>
    </w:p>
    <w:tbl>
      <w:tblPr>
        <w:tblStyle w:val="a"/>
        <w:tblW w:w="12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885"/>
        <w:gridCol w:w="1200"/>
        <w:gridCol w:w="810"/>
        <w:gridCol w:w="810"/>
        <w:gridCol w:w="1065"/>
        <w:gridCol w:w="480"/>
        <w:gridCol w:w="1020"/>
        <w:gridCol w:w="975"/>
        <w:gridCol w:w="1035"/>
        <w:gridCol w:w="825"/>
        <w:gridCol w:w="1110"/>
        <w:gridCol w:w="1110"/>
        <w:gridCol w:w="1020"/>
      </w:tblGrid>
      <w:tr w:rsidR="00B8295B" w14:paraId="3ED1DF3E" w14:textId="77777777">
        <w:trPr>
          <w:trHeight w:val="1040"/>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C072F" w14:textId="77777777" w:rsidR="00B8295B" w:rsidRDefault="00B52B92">
            <w:pPr>
              <w:spacing w:after="0" w:line="480" w:lineRule="auto"/>
              <w:jc w:val="both"/>
              <w:rPr>
                <w:b/>
                <w:bCs/>
                <w:sz w:val="18"/>
                <w:szCs w:val="18"/>
              </w:rPr>
            </w:pPr>
            <w:r>
              <w:rPr>
                <w:b/>
                <w:bCs/>
                <w:sz w:val="18"/>
                <w:szCs w:val="18"/>
              </w:rPr>
              <w:t>Indiv.</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BC96A7" w14:textId="77777777" w:rsidR="00B8295B" w:rsidRDefault="00B52B92">
            <w:pPr>
              <w:spacing w:after="0" w:line="480" w:lineRule="auto"/>
              <w:jc w:val="both"/>
              <w:rPr>
                <w:b/>
                <w:bCs/>
                <w:sz w:val="18"/>
                <w:szCs w:val="18"/>
              </w:rPr>
            </w:pPr>
            <w:r>
              <w:rPr>
                <w:b/>
                <w:bCs/>
                <w:sz w:val="18"/>
                <w:szCs w:val="18"/>
              </w:rPr>
              <w:t>Lab ID</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EC52D2" w14:textId="77777777" w:rsidR="00B8295B" w:rsidRDefault="00B52B92">
            <w:pPr>
              <w:spacing w:after="0" w:line="480" w:lineRule="auto"/>
              <w:jc w:val="both"/>
              <w:rPr>
                <w:b/>
                <w:bCs/>
                <w:sz w:val="18"/>
                <w:szCs w:val="18"/>
              </w:rPr>
            </w:pPr>
            <w:r>
              <w:rPr>
                <w:b/>
                <w:bCs/>
                <w:sz w:val="18"/>
                <w:szCs w:val="18"/>
              </w:rPr>
              <w:t>Site</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320713" w14:textId="77777777" w:rsidR="00B8295B" w:rsidRDefault="00B52B92">
            <w:pPr>
              <w:spacing w:after="0" w:line="480" w:lineRule="auto"/>
              <w:jc w:val="both"/>
              <w:rPr>
                <w:b/>
                <w:bCs/>
                <w:sz w:val="18"/>
                <w:szCs w:val="18"/>
              </w:rPr>
            </w:pPr>
            <w:r>
              <w:rPr>
                <w:b/>
                <w:bCs/>
                <w:sz w:val="18"/>
                <w:szCs w:val="18"/>
              </w:rPr>
              <w:t>Burial / context</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63401" w14:textId="77777777" w:rsidR="00B8295B" w:rsidRDefault="00B52B92">
            <w:pPr>
              <w:spacing w:after="0" w:line="480" w:lineRule="auto"/>
              <w:jc w:val="both"/>
              <w:rPr>
                <w:b/>
                <w:bCs/>
                <w:sz w:val="18"/>
                <w:szCs w:val="18"/>
              </w:rPr>
            </w:pPr>
            <w:r>
              <w:rPr>
                <w:b/>
                <w:bCs/>
                <w:sz w:val="18"/>
                <w:szCs w:val="18"/>
              </w:rPr>
              <w:t>Skeletal ID</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5C481" w14:textId="77777777" w:rsidR="00B8295B" w:rsidRDefault="00B52B92">
            <w:pPr>
              <w:spacing w:after="0" w:line="480" w:lineRule="auto"/>
              <w:jc w:val="both"/>
              <w:rPr>
                <w:b/>
                <w:bCs/>
                <w:sz w:val="18"/>
                <w:szCs w:val="18"/>
              </w:rPr>
            </w:pPr>
            <w:r>
              <w:rPr>
                <w:b/>
                <w:bCs/>
                <w:sz w:val="18"/>
                <w:szCs w:val="18"/>
              </w:rPr>
              <w:t>Sample</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908745" w14:textId="77777777" w:rsidR="00B8295B" w:rsidRDefault="00B52B92">
            <w:pPr>
              <w:spacing w:after="0" w:line="480" w:lineRule="auto"/>
              <w:jc w:val="both"/>
              <w:rPr>
                <w:b/>
                <w:bCs/>
                <w:sz w:val="18"/>
                <w:szCs w:val="18"/>
              </w:rPr>
            </w:pPr>
            <w:r>
              <w:rPr>
                <w:b/>
                <w:bCs/>
                <w:sz w:val="18"/>
                <w:szCs w:val="18"/>
              </w:rPr>
              <w:t>Sex</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A225F3" w14:textId="77777777" w:rsidR="00B8295B" w:rsidRDefault="00B52B92">
            <w:pPr>
              <w:spacing w:after="0" w:line="480" w:lineRule="auto"/>
              <w:jc w:val="both"/>
              <w:rPr>
                <w:b/>
                <w:bCs/>
                <w:sz w:val="18"/>
                <w:szCs w:val="18"/>
              </w:rPr>
            </w:pPr>
            <w:r>
              <w:rPr>
                <w:b/>
                <w:bCs/>
                <w:sz w:val="18"/>
                <w:szCs w:val="18"/>
              </w:rPr>
              <w:t>No. of merged reads</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96CAD8" w14:textId="77777777" w:rsidR="00B8295B" w:rsidRDefault="00B52B92">
            <w:pPr>
              <w:spacing w:after="0" w:line="480" w:lineRule="auto"/>
              <w:jc w:val="both"/>
              <w:rPr>
                <w:b/>
                <w:bCs/>
                <w:sz w:val="18"/>
                <w:szCs w:val="18"/>
              </w:rPr>
            </w:pPr>
            <w:r>
              <w:rPr>
                <w:b/>
                <w:bCs/>
                <w:sz w:val="18"/>
                <w:szCs w:val="18"/>
              </w:rPr>
              <w:t>No. of human reads</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0AC24" w14:textId="77777777" w:rsidR="00B8295B" w:rsidRDefault="00B52B92">
            <w:pPr>
              <w:spacing w:after="0" w:line="480" w:lineRule="auto"/>
              <w:jc w:val="both"/>
              <w:rPr>
                <w:b/>
                <w:bCs/>
                <w:sz w:val="18"/>
                <w:szCs w:val="18"/>
              </w:rPr>
            </w:pPr>
            <w:r>
              <w:rPr>
                <w:b/>
                <w:bCs/>
                <w:sz w:val="18"/>
                <w:szCs w:val="18"/>
              </w:rPr>
              <w:t>Proportion of human sequence</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8BBAB" w14:textId="77777777" w:rsidR="00B8295B" w:rsidRDefault="00B52B92">
            <w:pPr>
              <w:spacing w:after="0" w:line="480" w:lineRule="auto"/>
              <w:jc w:val="both"/>
              <w:rPr>
                <w:b/>
                <w:bCs/>
                <w:sz w:val="18"/>
                <w:szCs w:val="18"/>
              </w:rPr>
            </w:pPr>
            <w:r>
              <w:rPr>
                <w:b/>
                <w:bCs/>
                <w:sz w:val="18"/>
                <w:szCs w:val="18"/>
              </w:rPr>
              <w:t>Average read length</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459C0" w14:textId="77777777" w:rsidR="00B8295B" w:rsidRDefault="00B52B92">
            <w:pPr>
              <w:spacing w:after="0" w:line="480" w:lineRule="auto"/>
              <w:jc w:val="both"/>
              <w:rPr>
                <w:b/>
                <w:bCs/>
                <w:sz w:val="18"/>
                <w:szCs w:val="18"/>
              </w:rPr>
            </w:pPr>
            <w:r>
              <w:rPr>
                <w:b/>
                <w:bCs/>
                <w:sz w:val="18"/>
                <w:szCs w:val="18"/>
              </w:rPr>
              <w:t>Clonality (%)</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3F14A" w14:textId="77777777" w:rsidR="00B8295B" w:rsidRDefault="00B52B92">
            <w:pPr>
              <w:spacing w:after="0" w:line="480" w:lineRule="auto"/>
              <w:jc w:val="both"/>
              <w:rPr>
                <w:b/>
                <w:bCs/>
                <w:sz w:val="18"/>
                <w:szCs w:val="18"/>
              </w:rPr>
            </w:pPr>
            <w:r>
              <w:rPr>
                <w:b/>
                <w:bCs/>
                <w:sz w:val="18"/>
                <w:szCs w:val="18"/>
              </w:rPr>
              <w:t>Short reads (%)</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0C9C38" w14:textId="77777777" w:rsidR="00B8295B" w:rsidRDefault="00B52B92">
            <w:pPr>
              <w:spacing w:after="0" w:line="480" w:lineRule="auto"/>
              <w:jc w:val="both"/>
              <w:rPr>
                <w:b/>
                <w:bCs/>
                <w:sz w:val="18"/>
                <w:szCs w:val="18"/>
              </w:rPr>
            </w:pPr>
            <w:r>
              <w:rPr>
                <w:b/>
                <w:bCs/>
                <w:sz w:val="18"/>
                <w:szCs w:val="18"/>
              </w:rPr>
              <w:t>Genome coverage</w:t>
            </w:r>
          </w:p>
        </w:tc>
      </w:tr>
      <w:tr w:rsidR="00B8295B" w14:paraId="6272BABD" w14:textId="77777777">
        <w:trPr>
          <w:trHeight w:val="495"/>
        </w:trPr>
        <w:tc>
          <w:tcPr>
            <w:tcW w:w="12990" w:type="dxa"/>
            <w:gridSpan w:val="1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E31A1" w14:textId="77777777" w:rsidR="00B8295B" w:rsidRDefault="00B52B92">
            <w:pPr>
              <w:spacing w:after="0" w:line="480" w:lineRule="auto"/>
              <w:jc w:val="both"/>
              <w:rPr>
                <w:sz w:val="18"/>
                <w:szCs w:val="18"/>
              </w:rPr>
            </w:pPr>
            <w:r>
              <w:rPr>
                <w:sz w:val="18"/>
                <w:szCs w:val="18"/>
              </w:rPr>
              <w:t>Newly reported genome</w:t>
            </w:r>
          </w:p>
        </w:tc>
      </w:tr>
      <w:tr w:rsidR="00B8295B" w14:paraId="4B7CDE2D" w14:textId="77777777">
        <w:trPr>
          <w:trHeight w:val="1325"/>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2C8EA" w14:textId="77777777" w:rsidR="00B8295B" w:rsidRDefault="00B52B92">
            <w:pPr>
              <w:spacing w:after="0" w:line="480" w:lineRule="auto"/>
              <w:jc w:val="both"/>
              <w:rPr>
                <w:sz w:val="18"/>
                <w:szCs w:val="18"/>
              </w:rPr>
            </w:pPr>
            <w:r>
              <w:rPr>
                <w:sz w:val="18"/>
                <w:szCs w:val="18"/>
              </w:rPr>
              <w:t>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29432" w14:textId="77777777" w:rsidR="00B8295B" w:rsidRDefault="00B52B92">
            <w:pPr>
              <w:spacing w:after="0" w:line="480" w:lineRule="auto"/>
              <w:jc w:val="both"/>
              <w:rPr>
                <w:sz w:val="18"/>
                <w:szCs w:val="18"/>
              </w:rPr>
            </w:pPr>
            <w:r>
              <w:rPr>
                <w:sz w:val="18"/>
                <w:szCs w:val="18"/>
              </w:rPr>
              <w:t>A117016</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4C1E2C" w14:textId="77777777" w:rsidR="00B8295B" w:rsidRDefault="00B52B92">
            <w:pPr>
              <w:spacing w:after="0" w:line="480" w:lineRule="auto"/>
              <w:jc w:val="both"/>
              <w:rPr>
                <w:sz w:val="18"/>
                <w:szCs w:val="18"/>
              </w:rPr>
            </w:pPr>
            <w:r>
              <w:rPr>
                <w:sz w:val="18"/>
                <w:szCs w:val="18"/>
              </w:rPr>
              <w:t>Postgården VI</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E8049" w14:textId="77777777" w:rsidR="00B8295B" w:rsidRDefault="00B52B92">
            <w:pPr>
              <w:spacing w:after="0" w:line="480" w:lineRule="auto"/>
              <w:jc w:val="both"/>
              <w:rPr>
                <w:sz w:val="18"/>
                <w:szCs w:val="18"/>
              </w:rPr>
            </w:pPr>
            <w:r>
              <w:rPr>
                <w:sz w:val="18"/>
                <w:szCs w:val="18"/>
              </w:rPr>
              <w:t>Floor A6014</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C4591" w14:textId="77777777" w:rsidR="00B8295B" w:rsidRDefault="00B52B92">
            <w:pPr>
              <w:spacing w:after="0" w:line="480" w:lineRule="auto"/>
              <w:jc w:val="both"/>
              <w:rPr>
                <w:sz w:val="18"/>
                <w:szCs w:val="18"/>
              </w:rPr>
            </w:pPr>
            <w:r>
              <w:rPr>
                <w:sz w:val="18"/>
                <w:szCs w:val="18"/>
              </w:rPr>
              <w:t>X2753</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5855F" w14:textId="77777777" w:rsidR="00B8295B" w:rsidRDefault="00B52B92">
            <w:pPr>
              <w:spacing w:after="0" w:line="480" w:lineRule="auto"/>
              <w:jc w:val="both"/>
              <w:rPr>
                <w:sz w:val="18"/>
                <w:szCs w:val="18"/>
              </w:rPr>
            </w:pPr>
            <w:r>
              <w:rPr>
                <w:sz w:val="18"/>
                <w:szCs w:val="18"/>
              </w:rPr>
              <w:t>Frontal fragment (posterior edge)</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DA621C" w14:textId="77777777" w:rsidR="00B8295B" w:rsidRDefault="00B52B92">
            <w:pPr>
              <w:spacing w:after="0" w:line="480" w:lineRule="auto"/>
              <w:jc w:val="both"/>
              <w:rPr>
                <w:sz w:val="18"/>
                <w:szCs w:val="18"/>
              </w:rPr>
            </w:pPr>
            <w:r>
              <w:rPr>
                <w:sz w:val="18"/>
                <w:szCs w:val="18"/>
              </w:rPr>
              <w:t>XY</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F2826C" w14:textId="77777777" w:rsidR="00B8295B" w:rsidRDefault="00B52B92">
            <w:pPr>
              <w:spacing w:after="0" w:line="480" w:lineRule="auto"/>
              <w:jc w:val="both"/>
              <w:rPr>
                <w:sz w:val="18"/>
                <w:szCs w:val="18"/>
              </w:rPr>
            </w:pPr>
            <w:r>
              <w:rPr>
                <w:sz w:val="18"/>
                <w:szCs w:val="18"/>
              </w:rPr>
              <w:t>25891570</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823031" w14:textId="77777777" w:rsidR="00B8295B" w:rsidRDefault="00B52B92">
            <w:pPr>
              <w:spacing w:after="0" w:line="480" w:lineRule="auto"/>
              <w:jc w:val="both"/>
              <w:rPr>
                <w:sz w:val="18"/>
                <w:szCs w:val="18"/>
              </w:rPr>
            </w:pPr>
            <w:r>
              <w:rPr>
                <w:sz w:val="18"/>
                <w:szCs w:val="18"/>
              </w:rPr>
              <w:t>175322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7FA22B" w14:textId="77777777" w:rsidR="00B8295B" w:rsidRDefault="00B52B92">
            <w:pPr>
              <w:spacing w:after="0" w:line="480" w:lineRule="auto"/>
              <w:jc w:val="both"/>
              <w:rPr>
                <w:sz w:val="18"/>
                <w:szCs w:val="18"/>
              </w:rPr>
            </w:pPr>
            <w:r>
              <w:rPr>
                <w:sz w:val="18"/>
                <w:szCs w:val="18"/>
              </w:rPr>
              <w:t>0.00804</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7D0159" w14:textId="77777777" w:rsidR="00B8295B" w:rsidRDefault="00B52B92">
            <w:pPr>
              <w:spacing w:after="0" w:line="480" w:lineRule="auto"/>
              <w:jc w:val="both"/>
              <w:rPr>
                <w:sz w:val="18"/>
                <w:szCs w:val="18"/>
              </w:rPr>
            </w:pPr>
            <w:r>
              <w:rPr>
                <w:sz w:val="18"/>
                <w:szCs w:val="18"/>
              </w:rPr>
              <w:t>57.2756</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96FE0" w14:textId="77777777" w:rsidR="00B8295B" w:rsidRDefault="00B52B92">
            <w:pPr>
              <w:spacing w:after="0" w:line="480" w:lineRule="auto"/>
              <w:jc w:val="both"/>
              <w:rPr>
                <w:sz w:val="18"/>
                <w:szCs w:val="18"/>
              </w:rPr>
            </w:pPr>
            <w:r>
              <w:rPr>
                <w:sz w:val="18"/>
                <w:szCs w:val="18"/>
              </w:rPr>
              <w:t>12.095051</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35B539" w14:textId="77777777" w:rsidR="00B8295B" w:rsidRDefault="00B52B92">
            <w:pPr>
              <w:spacing w:after="0" w:line="480" w:lineRule="auto"/>
              <w:jc w:val="both"/>
              <w:rPr>
                <w:sz w:val="18"/>
                <w:szCs w:val="18"/>
              </w:rPr>
            </w:pPr>
            <w:r>
              <w:rPr>
                <w:sz w:val="18"/>
                <w:szCs w:val="18"/>
              </w:rPr>
              <w:t>27.513720</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76252C" w14:textId="77777777" w:rsidR="00B8295B" w:rsidRDefault="00B52B92">
            <w:pPr>
              <w:spacing w:after="0" w:line="480" w:lineRule="auto"/>
              <w:jc w:val="both"/>
              <w:rPr>
                <w:sz w:val="18"/>
                <w:szCs w:val="18"/>
              </w:rPr>
            </w:pPr>
            <w:r>
              <w:rPr>
                <w:sz w:val="18"/>
                <w:szCs w:val="18"/>
              </w:rPr>
              <w:t>0.00229588</w:t>
            </w:r>
          </w:p>
        </w:tc>
      </w:tr>
      <w:tr w:rsidR="00B8295B" w14:paraId="73B7C651" w14:textId="77777777">
        <w:trPr>
          <w:trHeight w:val="510"/>
        </w:trPr>
        <w:tc>
          <w:tcPr>
            <w:tcW w:w="12990" w:type="dxa"/>
            <w:gridSpan w:val="1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45258" w14:textId="77777777" w:rsidR="00B8295B" w:rsidRDefault="00B52B92">
            <w:pPr>
              <w:spacing w:after="0" w:line="480" w:lineRule="auto"/>
              <w:jc w:val="both"/>
              <w:rPr>
                <w:sz w:val="18"/>
                <w:szCs w:val="18"/>
              </w:rPr>
            </w:pPr>
            <w:r>
              <w:rPr>
                <w:sz w:val="18"/>
                <w:szCs w:val="18"/>
              </w:rPr>
              <w:t>Genomes further analysed in Scheib et al. [33]</w:t>
            </w:r>
          </w:p>
        </w:tc>
      </w:tr>
      <w:tr w:rsidR="00B8295B" w14:paraId="00338BB9" w14:textId="77777777">
        <w:trPr>
          <w:trHeight w:val="1040"/>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01526" w14:textId="77777777" w:rsidR="00B8295B" w:rsidRDefault="00B52B92">
            <w:pPr>
              <w:spacing w:after="0" w:line="480" w:lineRule="auto"/>
              <w:jc w:val="both"/>
              <w:rPr>
                <w:sz w:val="18"/>
                <w:szCs w:val="18"/>
              </w:rPr>
            </w:pPr>
            <w:r>
              <w:rPr>
                <w:sz w:val="18"/>
                <w:szCs w:val="18"/>
              </w:rPr>
              <w:t>2</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783914" w14:textId="77777777" w:rsidR="00B8295B" w:rsidRDefault="00B52B92">
            <w:pPr>
              <w:spacing w:after="0" w:line="480" w:lineRule="auto"/>
              <w:jc w:val="both"/>
              <w:rPr>
                <w:sz w:val="18"/>
                <w:szCs w:val="18"/>
              </w:rPr>
            </w:pPr>
            <w:r>
              <w:rPr>
                <w:sz w:val="18"/>
                <w:szCs w:val="18"/>
              </w:rPr>
              <w:t>A117019</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32B239" w14:textId="77777777" w:rsidR="00B8295B" w:rsidRDefault="00B52B92">
            <w:pPr>
              <w:spacing w:after="0" w:line="480" w:lineRule="auto"/>
              <w:jc w:val="both"/>
              <w:rPr>
                <w:sz w:val="18"/>
                <w:szCs w:val="18"/>
              </w:rPr>
            </w:pPr>
            <w:r>
              <w:rPr>
                <w:sz w:val="18"/>
                <w:szCs w:val="18"/>
              </w:rPr>
              <w:t>Postgården VI</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BF539" w14:textId="77777777" w:rsidR="00B8295B" w:rsidRDefault="00B52B92">
            <w:pPr>
              <w:spacing w:after="0" w:line="480" w:lineRule="auto"/>
              <w:jc w:val="both"/>
              <w:rPr>
                <w:sz w:val="18"/>
                <w:szCs w:val="18"/>
              </w:rPr>
            </w:pPr>
            <w:r>
              <w:rPr>
                <w:sz w:val="18"/>
                <w:szCs w:val="18"/>
              </w:rPr>
              <w:t>Burial A12843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B4E3F" w14:textId="77777777" w:rsidR="00B8295B" w:rsidRDefault="00B52B92">
            <w:pPr>
              <w:spacing w:after="0" w:line="480" w:lineRule="auto"/>
              <w:jc w:val="both"/>
              <w:rPr>
                <w:sz w:val="18"/>
                <w:szCs w:val="18"/>
              </w:rPr>
            </w:pPr>
            <w:r>
              <w:rPr>
                <w:sz w:val="18"/>
                <w:szCs w:val="18"/>
              </w:rPr>
              <w:t>X4420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585C1" w14:textId="77777777" w:rsidR="00B8295B" w:rsidRDefault="00B52B92">
            <w:pPr>
              <w:spacing w:after="0" w:line="480" w:lineRule="auto"/>
              <w:jc w:val="both"/>
              <w:rPr>
                <w:sz w:val="18"/>
                <w:szCs w:val="18"/>
              </w:rPr>
            </w:pPr>
            <w:r>
              <w:rPr>
                <w:sz w:val="18"/>
                <w:szCs w:val="18"/>
              </w:rPr>
              <w:t>L Intermed. Phalanx</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8FFCC" w14:textId="77777777" w:rsidR="00B8295B" w:rsidRDefault="00B52B92">
            <w:pPr>
              <w:spacing w:after="0" w:line="480" w:lineRule="auto"/>
              <w:jc w:val="both"/>
              <w:rPr>
                <w:sz w:val="18"/>
                <w:szCs w:val="18"/>
              </w:rPr>
            </w:pPr>
            <w:r>
              <w:rPr>
                <w:sz w:val="18"/>
                <w:szCs w:val="18"/>
              </w:rPr>
              <w:t>XY</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A2847" w14:textId="77777777" w:rsidR="00B8295B" w:rsidRDefault="00B52B92">
            <w:pPr>
              <w:spacing w:after="0" w:line="480" w:lineRule="auto"/>
              <w:jc w:val="both"/>
              <w:rPr>
                <w:sz w:val="18"/>
                <w:szCs w:val="18"/>
              </w:rPr>
            </w:pPr>
            <w:r>
              <w:rPr>
                <w:sz w:val="18"/>
                <w:szCs w:val="18"/>
              </w:rPr>
              <w:t>19082686</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7E63C" w14:textId="77777777" w:rsidR="00B8295B" w:rsidRDefault="00B52B92">
            <w:pPr>
              <w:spacing w:after="0" w:line="480" w:lineRule="auto"/>
              <w:jc w:val="both"/>
              <w:rPr>
                <w:sz w:val="18"/>
                <w:szCs w:val="18"/>
              </w:rPr>
            </w:pPr>
            <w:r>
              <w:rPr>
                <w:sz w:val="18"/>
                <w:szCs w:val="18"/>
              </w:rPr>
              <w:t>6761948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87FB6" w14:textId="77777777" w:rsidR="00B8295B" w:rsidRDefault="00B52B92">
            <w:pPr>
              <w:spacing w:after="0" w:line="480" w:lineRule="auto"/>
              <w:jc w:val="both"/>
              <w:rPr>
                <w:sz w:val="18"/>
                <w:szCs w:val="18"/>
              </w:rPr>
            </w:pPr>
            <w:r>
              <w:rPr>
                <w:sz w:val="18"/>
                <w:szCs w:val="18"/>
              </w:rPr>
              <w:t>0.34441</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1842F5" w14:textId="77777777" w:rsidR="00B8295B" w:rsidRDefault="00B52B92">
            <w:pPr>
              <w:spacing w:after="0" w:line="480" w:lineRule="auto"/>
              <w:jc w:val="both"/>
              <w:rPr>
                <w:sz w:val="18"/>
                <w:szCs w:val="18"/>
              </w:rPr>
            </w:pPr>
            <w:r>
              <w:rPr>
                <w:sz w:val="18"/>
                <w:szCs w:val="18"/>
              </w:rPr>
              <w:t>83.1637</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D82AE" w14:textId="77777777" w:rsidR="00B8295B" w:rsidRDefault="00B52B92">
            <w:pPr>
              <w:spacing w:after="0" w:line="480" w:lineRule="auto"/>
              <w:jc w:val="both"/>
              <w:rPr>
                <w:sz w:val="18"/>
                <w:szCs w:val="18"/>
              </w:rPr>
            </w:pPr>
            <w:r>
              <w:rPr>
                <w:sz w:val="18"/>
                <w:szCs w:val="18"/>
              </w:rPr>
              <w:t>13.733935</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B003E" w14:textId="77777777" w:rsidR="00B8295B" w:rsidRDefault="00B52B92">
            <w:pPr>
              <w:spacing w:after="0" w:line="480" w:lineRule="auto"/>
              <w:jc w:val="both"/>
              <w:rPr>
                <w:sz w:val="18"/>
                <w:szCs w:val="18"/>
              </w:rPr>
            </w:pPr>
            <w:r>
              <w:rPr>
                <w:sz w:val="18"/>
                <w:szCs w:val="18"/>
              </w:rPr>
              <w:t>1.596060</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4F263" w14:textId="77777777" w:rsidR="00B8295B" w:rsidRDefault="00B52B92">
            <w:pPr>
              <w:spacing w:after="0" w:line="480" w:lineRule="auto"/>
              <w:jc w:val="both"/>
              <w:rPr>
                <w:sz w:val="18"/>
                <w:szCs w:val="18"/>
              </w:rPr>
            </w:pPr>
            <w:r>
              <w:rPr>
                <w:sz w:val="18"/>
                <w:szCs w:val="18"/>
              </w:rPr>
              <w:t>0.147389</w:t>
            </w:r>
          </w:p>
        </w:tc>
      </w:tr>
      <w:tr w:rsidR="00B8295B" w14:paraId="2F43736E" w14:textId="77777777">
        <w:trPr>
          <w:trHeight w:val="770"/>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3DDD2" w14:textId="77777777" w:rsidR="00B8295B" w:rsidRDefault="00B52B92">
            <w:pPr>
              <w:spacing w:after="0" w:line="480" w:lineRule="auto"/>
              <w:jc w:val="both"/>
              <w:rPr>
                <w:sz w:val="18"/>
                <w:szCs w:val="18"/>
              </w:rPr>
            </w:pPr>
            <w:r>
              <w:rPr>
                <w:sz w:val="18"/>
                <w:szCs w:val="18"/>
              </w:rPr>
              <w:t>5</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E1A22C" w14:textId="77777777" w:rsidR="00B8295B" w:rsidRDefault="00B52B92">
            <w:pPr>
              <w:spacing w:after="0" w:line="480" w:lineRule="auto"/>
              <w:jc w:val="both"/>
              <w:rPr>
                <w:sz w:val="18"/>
                <w:szCs w:val="18"/>
              </w:rPr>
            </w:pPr>
            <w:r>
              <w:rPr>
                <w:sz w:val="18"/>
                <w:szCs w:val="18"/>
              </w:rPr>
              <w:t>A117022</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1754E4" w14:textId="77777777" w:rsidR="00B8295B" w:rsidRDefault="00B52B92">
            <w:pPr>
              <w:spacing w:after="0" w:line="480" w:lineRule="auto"/>
              <w:jc w:val="both"/>
              <w:rPr>
                <w:sz w:val="18"/>
                <w:szCs w:val="18"/>
              </w:rPr>
            </w:pPr>
            <w:r>
              <w:rPr>
                <w:sz w:val="18"/>
                <w:szCs w:val="18"/>
              </w:rPr>
              <w:t>Sønder Tranders</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207FAE" w14:textId="77777777" w:rsidR="00B8295B" w:rsidRDefault="00B52B92">
            <w:pPr>
              <w:spacing w:after="0" w:line="480" w:lineRule="auto"/>
              <w:jc w:val="both"/>
              <w:rPr>
                <w:sz w:val="18"/>
                <w:szCs w:val="18"/>
              </w:rPr>
            </w:pPr>
            <w:r>
              <w:rPr>
                <w:sz w:val="18"/>
                <w:szCs w:val="18"/>
              </w:rPr>
              <w:t>Burial A625</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CEE950" w14:textId="77777777" w:rsidR="00B8295B" w:rsidRDefault="00B52B92">
            <w:pPr>
              <w:spacing w:after="0" w:line="480" w:lineRule="auto"/>
              <w:jc w:val="both"/>
              <w:rPr>
                <w:sz w:val="18"/>
                <w:szCs w:val="18"/>
              </w:rPr>
            </w:pPr>
            <w:r>
              <w:rPr>
                <w:sz w:val="18"/>
                <w:szCs w:val="18"/>
              </w:rPr>
              <w:t>X720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97742" w14:textId="77777777" w:rsidR="00B8295B" w:rsidRDefault="00B52B92">
            <w:pPr>
              <w:spacing w:after="0" w:line="480" w:lineRule="auto"/>
              <w:jc w:val="both"/>
              <w:rPr>
                <w:sz w:val="18"/>
                <w:szCs w:val="18"/>
              </w:rPr>
            </w:pPr>
            <w:r>
              <w:rPr>
                <w:sz w:val="18"/>
                <w:szCs w:val="18"/>
              </w:rPr>
              <w:t>Tooth (URM2)</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C0E69D" w14:textId="77777777" w:rsidR="00B8295B" w:rsidRDefault="00B52B92">
            <w:pPr>
              <w:spacing w:after="0" w:line="480" w:lineRule="auto"/>
              <w:jc w:val="both"/>
              <w:rPr>
                <w:sz w:val="18"/>
                <w:szCs w:val="18"/>
              </w:rPr>
            </w:pPr>
            <w:r>
              <w:rPr>
                <w:sz w:val="18"/>
                <w:szCs w:val="18"/>
              </w:rPr>
              <w:t>XY</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5BBB06" w14:textId="77777777" w:rsidR="00B8295B" w:rsidRDefault="00B52B92">
            <w:pPr>
              <w:spacing w:after="0" w:line="480" w:lineRule="auto"/>
              <w:jc w:val="both"/>
              <w:rPr>
                <w:sz w:val="18"/>
                <w:szCs w:val="18"/>
              </w:rPr>
            </w:pPr>
            <w:r>
              <w:rPr>
                <w:sz w:val="18"/>
                <w:szCs w:val="18"/>
              </w:rPr>
              <w:t>22767442</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2B28B" w14:textId="77777777" w:rsidR="00B8295B" w:rsidRDefault="00B52B92">
            <w:pPr>
              <w:spacing w:after="0" w:line="480" w:lineRule="auto"/>
              <w:jc w:val="both"/>
              <w:rPr>
                <w:sz w:val="18"/>
                <w:szCs w:val="18"/>
              </w:rPr>
            </w:pPr>
            <w:r>
              <w:rPr>
                <w:sz w:val="18"/>
                <w:szCs w:val="18"/>
              </w:rPr>
              <w:t>13968897</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283E6A" w14:textId="77777777" w:rsidR="00B8295B" w:rsidRDefault="00B52B92">
            <w:pPr>
              <w:spacing w:after="0" w:line="480" w:lineRule="auto"/>
              <w:jc w:val="both"/>
              <w:rPr>
                <w:sz w:val="18"/>
                <w:szCs w:val="18"/>
              </w:rPr>
            </w:pPr>
            <w:r>
              <w:rPr>
                <w:sz w:val="18"/>
                <w:szCs w:val="18"/>
              </w:rPr>
              <w:t>0.58520</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F19A9" w14:textId="77777777" w:rsidR="00B8295B" w:rsidRDefault="00B52B92">
            <w:pPr>
              <w:spacing w:after="0" w:line="480" w:lineRule="auto"/>
              <w:jc w:val="both"/>
              <w:rPr>
                <w:sz w:val="18"/>
                <w:szCs w:val="18"/>
              </w:rPr>
            </w:pPr>
            <w:r>
              <w:rPr>
                <w:sz w:val="18"/>
                <w:szCs w:val="18"/>
              </w:rPr>
              <w:t>87.4597</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8483B" w14:textId="77777777" w:rsidR="00B8295B" w:rsidRDefault="00B52B92">
            <w:pPr>
              <w:spacing w:after="0" w:line="480" w:lineRule="auto"/>
              <w:jc w:val="both"/>
              <w:rPr>
                <w:sz w:val="18"/>
                <w:szCs w:val="18"/>
              </w:rPr>
            </w:pPr>
            <w:r>
              <w:rPr>
                <w:sz w:val="18"/>
                <w:szCs w:val="18"/>
              </w:rPr>
              <w:t>11.375084</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B7D620" w14:textId="77777777" w:rsidR="00B8295B" w:rsidRDefault="00B52B92">
            <w:pPr>
              <w:spacing w:after="0" w:line="480" w:lineRule="auto"/>
              <w:jc w:val="both"/>
              <w:rPr>
                <w:sz w:val="18"/>
                <w:szCs w:val="18"/>
              </w:rPr>
            </w:pPr>
            <w:r>
              <w:rPr>
                <w:sz w:val="18"/>
                <w:szCs w:val="18"/>
              </w:rPr>
              <w:t>1.034794</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9E6989" w14:textId="77777777" w:rsidR="00B8295B" w:rsidRDefault="00B52B92">
            <w:pPr>
              <w:spacing w:after="0" w:line="480" w:lineRule="auto"/>
              <w:jc w:val="both"/>
              <w:rPr>
                <w:sz w:val="18"/>
                <w:szCs w:val="18"/>
              </w:rPr>
            </w:pPr>
            <w:r>
              <w:rPr>
                <w:sz w:val="18"/>
                <w:szCs w:val="18"/>
              </w:rPr>
              <w:t>0.325269</w:t>
            </w:r>
          </w:p>
        </w:tc>
      </w:tr>
      <w:tr w:rsidR="00B8295B" w14:paraId="09FD5F89" w14:textId="77777777">
        <w:trPr>
          <w:trHeight w:val="1325"/>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B00173" w14:textId="77777777" w:rsidR="00B8295B" w:rsidRDefault="00B52B92">
            <w:pPr>
              <w:spacing w:after="0" w:line="480" w:lineRule="auto"/>
              <w:jc w:val="both"/>
              <w:rPr>
                <w:sz w:val="18"/>
                <w:szCs w:val="18"/>
              </w:rPr>
            </w:pPr>
            <w:r>
              <w:rPr>
                <w:sz w:val="18"/>
                <w:szCs w:val="18"/>
              </w:rPr>
              <w:lastRenderedPageBreak/>
              <w:t>6</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4855A" w14:textId="77777777" w:rsidR="00B8295B" w:rsidRDefault="00B52B92">
            <w:pPr>
              <w:spacing w:after="0" w:line="480" w:lineRule="auto"/>
              <w:jc w:val="both"/>
              <w:rPr>
                <w:sz w:val="18"/>
                <w:szCs w:val="18"/>
              </w:rPr>
            </w:pPr>
            <w:r>
              <w:rPr>
                <w:sz w:val="18"/>
                <w:szCs w:val="18"/>
              </w:rPr>
              <w:t>A117025</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EC88BC" w14:textId="77777777" w:rsidR="00B8295B" w:rsidRDefault="00B52B92">
            <w:pPr>
              <w:spacing w:after="0" w:line="480" w:lineRule="auto"/>
              <w:jc w:val="both"/>
              <w:rPr>
                <w:sz w:val="18"/>
                <w:szCs w:val="18"/>
              </w:rPr>
            </w:pPr>
            <w:r>
              <w:rPr>
                <w:sz w:val="18"/>
                <w:szCs w:val="18"/>
              </w:rPr>
              <w:t>Sønder Tranders</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6999A" w14:textId="77777777" w:rsidR="00B8295B" w:rsidRDefault="00B52B92">
            <w:pPr>
              <w:spacing w:after="0" w:line="480" w:lineRule="auto"/>
              <w:jc w:val="both"/>
              <w:rPr>
                <w:sz w:val="18"/>
                <w:szCs w:val="18"/>
              </w:rPr>
            </w:pPr>
            <w:r>
              <w:rPr>
                <w:sz w:val="18"/>
                <w:szCs w:val="18"/>
              </w:rPr>
              <w:t>Burial A6651, House A6873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F49B0" w14:textId="77777777" w:rsidR="00B8295B" w:rsidRDefault="00B52B92">
            <w:pPr>
              <w:spacing w:after="0" w:line="480" w:lineRule="auto"/>
              <w:jc w:val="both"/>
              <w:rPr>
                <w:sz w:val="18"/>
                <w:szCs w:val="18"/>
              </w:rPr>
            </w:pPr>
            <w:r>
              <w:rPr>
                <w:sz w:val="18"/>
                <w:szCs w:val="18"/>
              </w:rPr>
              <w:t>X3160</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3ACD3D" w14:textId="77777777" w:rsidR="00B8295B" w:rsidRDefault="00B52B92">
            <w:pPr>
              <w:spacing w:after="0" w:line="480" w:lineRule="auto"/>
              <w:jc w:val="both"/>
              <w:rPr>
                <w:sz w:val="18"/>
                <w:szCs w:val="18"/>
              </w:rPr>
            </w:pPr>
            <w:r>
              <w:rPr>
                <w:sz w:val="18"/>
                <w:szCs w:val="18"/>
              </w:rPr>
              <w:t>Tooth (URM2)</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E08803" w14:textId="77777777" w:rsidR="00B8295B" w:rsidRDefault="00B52B92">
            <w:pPr>
              <w:spacing w:after="0" w:line="480" w:lineRule="auto"/>
              <w:jc w:val="both"/>
              <w:rPr>
                <w:sz w:val="18"/>
                <w:szCs w:val="18"/>
              </w:rPr>
            </w:pPr>
            <w:r>
              <w:rPr>
                <w:sz w:val="18"/>
                <w:szCs w:val="18"/>
              </w:rPr>
              <w:t>XY</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E8F50" w14:textId="77777777" w:rsidR="00B8295B" w:rsidRDefault="00B52B92">
            <w:pPr>
              <w:spacing w:after="0" w:line="480" w:lineRule="auto"/>
              <w:jc w:val="both"/>
              <w:rPr>
                <w:sz w:val="18"/>
                <w:szCs w:val="18"/>
              </w:rPr>
            </w:pPr>
            <w:r>
              <w:rPr>
                <w:sz w:val="18"/>
                <w:szCs w:val="18"/>
              </w:rPr>
              <w:t>31618859</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5CE10E" w14:textId="77777777" w:rsidR="00B8295B" w:rsidRDefault="00B52B92">
            <w:pPr>
              <w:spacing w:after="0" w:line="480" w:lineRule="auto"/>
              <w:jc w:val="both"/>
              <w:rPr>
                <w:sz w:val="18"/>
                <w:szCs w:val="18"/>
              </w:rPr>
            </w:pPr>
            <w:r>
              <w:rPr>
                <w:sz w:val="18"/>
                <w:szCs w:val="18"/>
              </w:rPr>
              <w:t>2756593</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32ACA2" w14:textId="77777777" w:rsidR="00B8295B" w:rsidRDefault="00B52B92">
            <w:pPr>
              <w:spacing w:after="0" w:line="480" w:lineRule="auto"/>
              <w:jc w:val="both"/>
              <w:rPr>
                <w:sz w:val="18"/>
                <w:szCs w:val="18"/>
              </w:rPr>
            </w:pPr>
            <w:r>
              <w:rPr>
                <w:sz w:val="18"/>
                <w:szCs w:val="18"/>
              </w:rPr>
              <w:t>0.08543</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156E76" w14:textId="77777777" w:rsidR="00B8295B" w:rsidRDefault="00B52B92">
            <w:pPr>
              <w:spacing w:after="0" w:line="480" w:lineRule="auto"/>
              <w:jc w:val="both"/>
              <w:rPr>
                <w:sz w:val="18"/>
                <w:szCs w:val="18"/>
              </w:rPr>
            </w:pPr>
            <w:r>
              <w:rPr>
                <w:sz w:val="18"/>
                <w:szCs w:val="18"/>
              </w:rPr>
              <w:t>95.4523</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B73C4" w14:textId="77777777" w:rsidR="00B8295B" w:rsidRDefault="00B52B92">
            <w:pPr>
              <w:spacing w:after="0" w:line="480" w:lineRule="auto"/>
              <w:jc w:val="both"/>
              <w:rPr>
                <w:sz w:val="18"/>
                <w:szCs w:val="18"/>
              </w:rPr>
            </w:pPr>
            <w:r>
              <w:rPr>
                <w:sz w:val="18"/>
                <w:szCs w:val="18"/>
              </w:rPr>
              <w:t>11.962332</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D50A4F" w14:textId="77777777" w:rsidR="00B8295B" w:rsidRDefault="00B52B92">
            <w:pPr>
              <w:spacing w:after="0" w:line="480" w:lineRule="auto"/>
              <w:jc w:val="both"/>
              <w:rPr>
                <w:sz w:val="18"/>
                <w:szCs w:val="18"/>
              </w:rPr>
            </w:pPr>
            <w:r>
              <w:rPr>
                <w:sz w:val="18"/>
                <w:szCs w:val="18"/>
              </w:rPr>
              <w:t>2.129089</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F945F4" w14:textId="77777777" w:rsidR="00B8295B" w:rsidRDefault="00B52B92">
            <w:pPr>
              <w:spacing w:after="0" w:line="480" w:lineRule="auto"/>
              <w:jc w:val="both"/>
              <w:rPr>
                <w:sz w:val="18"/>
                <w:szCs w:val="18"/>
              </w:rPr>
            </w:pPr>
            <w:r>
              <w:rPr>
                <w:sz w:val="18"/>
                <w:szCs w:val="18"/>
              </w:rPr>
              <w:t>0.0706076</w:t>
            </w:r>
          </w:p>
        </w:tc>
      </w:tr>
      <w:tr w:rsidR="00B8295B" w14:paraId="3E50601B" w14:textId="77777777">
        <w:trPr>
          <w:trHeight w:val="770"/>
        </w:trPr>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46BF98" w14:textId="77777777" w:rsidR="00B8295B" w:rsidRDefault="00B52B92">
            <w:pPr>
              <w:spacing w:after="0" w:line="480" w:lineRule="auto"/>
              <w:jc w:val="both"/>
              <w:rPr>
                <w:sz w:val="18"/>
                <w:szCs w:val="18"/>
              </w:rPr>
            </w:pPr>
            <w:r>
              <w:rPr>
                <w:sz w:val="18"/>
                <w:szCs w:val="18"/>
              </w:rPr>
              <w:t>11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1063B" w14:textId="77777777" w:rsidR="00B8295B" w:rsidRDefault="00B52B92">
            <w:pPr>
              <w:spacing w:after="0" w:line="480" w:lineRule="auto"/>
              <w:jc w:val="both"/>
              <w:rPr>
                <w:sz w:val="18"/>
                <w:szCs w:val="18"/>
              </w:rPr>
            </w:pPr>
            <w:r>
              <w:rPr>
                <w:sz w:val="18"/>
                <w:szCs w:val="18"/>
              </w:rPr>
              <w:t>A117036</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C8E15F" w14:textId="77777777" w:rsidR="00B8295B" w:rsidRDefault="00B52B92">
            <w:pPr>
              <w:spacing w:after="0" w:line="480" w:lineRule="auto"/>
              <w:jc w:val="both"/>
              <w:rPr>
                <w:sz w:val="18"/>
                <w:szCs w:val="18"/>
              </w:rPr>
            </w:pPr>
            <w:r>
              <w:rPr>
                <w:sz w:val="18"/>
                <w:szCs w:val="18"/>
              </w:rPr>
              <w:t>Århus, Rosengade</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ACE7B" w14:textId="77777777" w:rsidR="00B8295B" w:rsidRDefault="00B52B92">
            <w:pPr>
              <w:spacing w:after="0" w:line="480" w:lineRule="auto"/>
              <w:jc w:val="both"/>
              <w:rPr>
                <w:sz w:val="18"/>
                <w:szCs w:val="18"/>
              </w:rPr>
            </w:pPr>
            <w:r>
              <w:rPr>
                <w:sz w:val="18"/>
                <w:szCs w:val="18"/>
              </w:rPr>
              <w:t>Well A28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01DC5" w14:textId="77777777" w:rsidR="00B8295B" w:rsidRDefault="00B52B92">
            <w:pPr>
              <w:spacing w:after="0" w:line="480" w:lineRule="auto"/>
              <w:jc w:val="both"/>
              <w:rPr>
                <w:sz w:val="18"/>
                <w:szCs w:val="18"/>
              </w:rPr>
            </w:pPr>
            <w:r>
              <w:rPr>
                <w:sz w:val="18"/>
                <w:szCs w:val="18"/>
              </w:rPr>
              <w:t>4278-PF</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30DA4" w14:textId="77777777" w:rsidR="00B8295B" w:rsidRDefault="00B52B92">
            <w:pPr>
              <w:spacing w:after="0" w:line="480" w:lineRule="auto"/>
              <w:jc w:val="both"/>
              <w:rPr>
                <w:sz w:val="18"/>
                <w:szCs w:val="18"/>
              </w:rPr>
            </w:pPr>
            <w:r>
              <w:rPr>
                <w:sz w:val="18"/>
                <w:szCs w:val="18"/>
              </w:rPr>
              <w:t>L Pars Petrosa</w:t>
            </w:r>
          </w:p>
        </w:tc>
        <w:tc>
          <w:tcPr>
            <w:tcW w:w="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F4F2D" w14:textId="77777777" w:rsidR="00B8295B" w:rsidRDefault="00B52B92">
            <w:pPr>
              <w:spacing w:after="0" w:line="480" w:lineRule="auto"/>
              <w:jc w:val="both"/>
              <w:rPr>
                <w:sz w:val="18"/>
                <w:szCs w:val="18"/>
              </w:rPr>
            </w:pPr>
            <w:r>
              <w:rPr>
                <w:sz w:val="18"/>
                <w:szCs w:val="18"/>
              </w:rPr>
              <w:t>XX</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D6243" w14:textId="77777777" w:rsidR="00B8295B" w:rsidRDefault="00B52B92">
            <w:pPr>
              <w:spacing w:after="0" w:line="480" w:lineRule="auto"/>
              <w:jc w:val="both"/>
              <w:rPr>
                <w:sz w:val="18"/>
                <w:szCs w:val="18"/>
              </w:rPr>
            </w:pPr>
            <w:r>
              <w:rPr>
                <w:sz w:val="18"/>
                <w:szCs w:val="18"/>
              </w:rPr>
              <w:t>44090485</w:t>
            </w:r>
          </w:p>
          <w:p w14:paraId="1E7F9A5B" w14:textId="77777777" w:rsidR="00B8295B" w:rsidRDefault="00B8295B">
            <w:pPr>
              <w:spacing w:after="0" w:line="480" w:lineRule="auto"/>
              <w:jc w:val="both"/>
              <w:rPr>
                <w:sz w:val="18"/>
                <w:szCs w:val="18"/>
              </w:rPr>
            </w:pP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14BC2" w14:textId="77777777" w:rsidR="00B8295B" w:rsidRDefault="00B52B92">
            <w:pPr>
              <w:spacing w:after="0" w:line="480" w:lineRule="auto"/>
              <w:jc w:val="both"/>
              <w:rPr>
                <w:sz w:val="18"/>
                <w:szCs w:val="18"/>
              </w:rPr>
            </w:pPr>
            <w:r>
              <w:rPr>
                <w:sz w:val="18"/>
                <w:szCs w:val="18"/>
              </w:rPr>
              <w:t>28149016</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D41BE1" w14:textId="77777777" w:rsidR="00B8295B" w:rsidRDefault="00B52B92">
            <w:pPr>
              <w:spacing w:after="0" w:line="480" w:lineRule="auto"/>
              <w:jc w:val="both"/>
              <w:rPr>
                <w:sz w:val="18"/>
                <w:szCs w:val="18"/>
              </w:rPr>
            </w:pPr>
            <w:r>
              <w:rPr>
                <w:sz w:val="18"/>
                <w:szCs w:val="18"/>
              </w:rPr>
              <w:t>0.56000</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3E6EBE" w14:textId="77777777" w:rsidR="00B8295B" w:rsidRDefault="00B52B92">
            <w:pPr>
              <w:spacing w:after="0" w:line="480" w:lineRule="auto"/>
              <w:jc w:val="both"/>
              <w:rPr>
                <w:sz w:val="18"/>
                <w:szCs w:val="18"/>
              </w:rPr>
            </w:pPr>
            <w:r>
              <w:rPr>
                <w:sz w:val="18"/>
                <w:szCs w:val="18"/>
              </w:rPr>
              <w:t>56.0951</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2B26FF" w14:textId="77777777" w:rsidR="00B8295B" w:rsidRDefault="00B52B92">
            <w:pPr>
              <w:spacing w:after="0" w:line="480" w:lineRule="auto"/>
              <w:jc w:val="both"/>
              <w:rPr>
                <w:sz w:val="18"/>
                <w:szCs w:val="18"/>
              </w:rPr>
            </w:pPr>
            <w:r>
              <w:rPr>
                <w:sz w:val="18"/>
                <w:szCs w:val="18"/>
              </w:rPr>
              <w:t>11.398719</w:t>
            </w:r>
          </w:p>
          <w:p w14:paraId="0183D26B" w14:textId="77777777" w:rsidR="00B8295B" w:rsidRDefault="00B8295B">
            <w:pPr>
              <w:spacing w:after="0" w:line="480" w:lineRule="auto"/>
              <w:jc w:val="both"/>
              <w:rPr>
                <w:sz w:val="18"/>
                <w:szCs w:val="18"/>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BF4D0" w14:textId="77777777" w:rsidR="00B8295B" w:rsidRDefault="00B52B92">
            <w:pPr>
              <w:spacing w:after="0" w:line="480" w:lineRule="auto"/>
              <w:jc w:val="both"/>
              <w:rPr>
                <w:sz w:val="18"/>
                <w:szCs w:val="18"/>
              </w:rPr>
            </w:pPr>
            <w:r>
              <w:rPr>
                <w:sz w:val="18"/>
                <w:szCs w:val="18"/>
              </w:rPr>
              <w:t>1.945439</w:t>
            </w:r>
          </w:p>
          <w:p w14:paraId="665BB444" w14:textId="77777777" w:rsidR="00B8295B" w:rsidRDefault="00B8295B">
            <w:pPr>
              <w:spacing w:after="0" w:line="480" w:lineRule="auto"/>
              <w:jc w:val="both"/>
              <w:rPr>
                <w:sz w:val="18"/>
                <w:szCs w:val="18"/>
              </w:rPr>
            </w:pP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1F7ECD" w14:textId="77777777" w:rsidR="00B8295B" w:rsidRDefault="00B52B92">
            <w:pPr>
              <w:spacing w:after="0" w:line="480" w:lineRule="auto"/>
              <w:jc w:val="both"/>
              <w:rPr>
                <w:sz w:val="18"/>
                <w:szCs w:val="18"/>
              </w:rPr>
            </w:pPr>
            <w:r>
              <w:rPr>
                <w:sz w:val="18"/>
                <w:szCs w:val="18"/>
              </w:rPr>
              <w:t>0.383</w:t>
            </w:r>
          </w:p>
        </w:tc>
      </w:tr>
    </w:tbl>
    <w:p w14:paraId="2C83B949" w14:textId="77777777" w:rsidR="00B8295B" w:rsidRDefault="00B8295B">
      <w:pPr>
        <w:spacing w:after="0" w:line="480" w:lineRule="auto"/>
        <w:jc w:val="both"/>
        <w:rPr>
          <w:sz w:val="18"/>
          <w:szCs w:val="18"/>
        </w:rPr>
      </w:pPr>
    </w:p>
    <w:p w14:paraId="5467F850" w14:textId="77777777" w:rsidR="00B8295B" w:rsidRDefault="00B8295B">
      <w:pPr>
        <w:spacing w:after="0" w:line="480" w:lineRule="auto"/>
        <w:jc w:val="both"/>
      </w:pPr>
    </w:p>
    <w:p w14:paraId="33AE0A40" w14:textId="77777777" w:rsidR="00B8295B" w:rsidRDefault="00B52B92">
      <w:pPr>
        <w:spacing w:after="0" w:line="480" w:lineRule="auto"/>
        <w:jc w:val="both"/>
        <w:rPr>
          <w:i/>
          <w:iCs/>
        </w:rPr>
      </w:pPr>
      <w:r>
        <w:rPr>
          <w:i/>
          <w:iCs/>
        </w:rPr>
        <w:t xml:space="preserve">Table S1 </w:t>
      </w:r>
      <w:r>
        <w:rPr>
          <w:i/>
          <w:iCs/>
        </w:rPr>
        <w:t>continues on next page</w:t>
      </w:r>
    </w:p>
    <w:p w14:paraId="36CC1663" w14:textId="77777777" w:rsidR="00B8295B" w:rsidRDefault="00B8295B">
      <w:pPr>
        <w:spacing w:after="0" w:line="480" w:lineRule="auto"/>
        <w:jc w:val="both"/>
      </w:pPr>
    </w:p>
    <w:p w14:paraId="4E83A556" w14:textId="77777777" w:rsidR="00B8295B" w:rsidRDefault="00B8295B">
      <w:pPr>
        <w:spacing w:after="0" w:line="480" w:lineRule="auto"/>
        <w:jc w:val="both"/>
      </w:pPr>
    </w:p>
    <w:p w14:paraId="2B6AB820" w14:textId="77777777" w:rsidR="00B8295B" w:rsidRDefault="00B8295B">
      <w:pPr>
        <w:spacing w:after="0" w:line="480" w:lineRule="auto"/>
        <w:jc w:val="both"/>
      </w:pPr>
    </w:p>
    <w:p w14:paraId="1191A3F6" w14:textId="77777777" w:rsidR="000B4536" w:rsidRDefault="000B4536">
      <w:pPr>
        <w:spacing w:after="0" w:line="480" w:lineRule="auto"/>
        <w:jc w:val="both"/>
      </w:pPr>
    </w:p>
    <w:p w14:paraId="48CAD246" w14:textId="77777777" w:rsidR="000B4536" w:rsidRDefault="000B4536">
      <w:pPr>
        <w:spacing w:after="0" w:line="480" w:lineRule="auto"/>
        <w:jc w:val="both"/>
      </w:pPr>
    </w:p>
    <w:p w14:paraId="7C03E2E4" w14:textId="77777777" w:rsidR="000B4536" w:rsidRDefault="000B4536">
      <w:pPr>
        <w:spacing w:after="0" w:line="480" w:lineRule="auto"/>
        <w:jc w:val="both"/>
      </w:pPr>
    </w:p>
    <w:tbl>
      <w:tblPr>
        <w:tblStyle w:val="a0"/>
        <w:tblW w:w="129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
        <w:gridCol w:w="1021"/>
        <w:gridCol w:w="1261"/>
        <w:gridCol w:w="1201"/>
        <w:gridCol w:w="1039"/>
        <w:gridCol w:w="1078"/>
        <w:gridCol w:w="1078"/>
        <w:gridCol w:w="1065"/>
        <w:gridCol w:w="1065"/>
        <w:gridCol w:w="1145"/>
        <w:gridCol w:w="1078"/>
        <w:gridCol w:w="1185"/>
      </w:tblGrid>
      <w:tr w:rsidR="00B8295B" w14:paraId="60A4AD7F" w14:textId="77777777">
        <w:trPr>
          <w:trHeight w:val="1040"/>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65BF9" w14:textId="77777777" w:rsidR="00B8295B" w:rsidRDefault="00B52B92">
            <w:pPr>
              <w:spacing w:after="0" w:line="480" w:lineRule="auto"/>
              <w:jc w:val="both"/>
              <w:rPr>
                <w:b/>
                <w:bCs/>
                <w:sz w:val="18"/>
                <w:szCs w:val="18"/>
              </w:rPr>
            </w:pPr>
            <w:r>
              <w:rPr>
                <w:b/>
                <w:bCs/>
                <w:sz w:val="18"/>
                <w:szCs w:val="18"/>
              </w:rPr>
              <w:lastRenderedPageBreak/>
              <w:t>Indiv.</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329B6" w14:textId="77777777" w:rsidR="00B8295B" w:rsidRDefault="00B52B92">
            <w:pPr>
              <w:spacing w:after="0" w:line="480" w:lineRule="auto"/>
              <w:jc w:val="both"/>
              <w:rPr>
                <w:b/>
                <w:bCs/>
                <w:sz w:val="18"/>
                <w:szCs w:val="18"/>
              </w:rPr>
            </w:pPr>
            <w:r>
              <w:rPr>
                <w:b/>
                <w:bCs/>
                <w:sz w:val="18"/>
                <w:szCs w:val="18"/>
              </w:rPr>
              <w:t>mtDNA coverage</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4052F" w14:textId="77777777" w:rsidR="00B8295B" w:rsidRDefault="00B52B92">
            <w:pPr>
              <w:spacing w:after="0" w:line="480" w:lineRule="auto"/>
              <w:jc w:val="both"/>
              <w:rPr>
                <w:b/>
                <w:bCs/>
                <w:sz w:val="18"/>
                <w:szCs w:val="18"/>
              </w:rPr>
            </w:pPr>
            <w:r>
              <w:rPr>
                <w:b/>
                <w:bCs/>
                <w:sz w:val="18"/>
                <w:szCs w:val="18"/>
              </w:rPr>
              <w:t>No. of mtDNA reads</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79C4A" w14:textId="77777777" w:rsidR="00B8295B" w:rsidRDefault="00B52B92">
            <w:pPr>
              <w:spacing w:after="0" w:line="480" w:lineRule="auto"/>
              <w:jc w:val="both"/>
              <w:rPr>
                <w:b/>
                <w:bCs/>
                <w:sz w:val="18"/>
                <w:szCs w:val="18"/>
              </w:rPr>
            </w:pPr>
            <w:r>
              <w:rPr>
                <w:b/>
                <w:bCs/>
                <w:sz w:val="18"/>
                <w:szCs w:val="18"/>
              </w:rPr>
              <w:t>No. of X chr reads</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C38FE8" w14:textId="77777777" w:rsidR="00B8295B" w:rsidRDefault="00B52B92">
            <w:pPr>
              <w:spacing w:after="0" w:line="480" w:lineRule="auto"/>
              <w:jc w:val="both"/>
              <w:rPr>
                <w:b/>
                <w:bCs/>
                <w:sz w:val="18"/>
                <w:szCs w:val="18"/>
              </w:rPr>
            </w:pPr>
            <w:r>
              <w:rPr>
                <w:b/>
                <w:bCs/>
                <w:sz w:val="18"/>
                <w:szCs w:val="18"/>
              </w:rPr>
              <w:t>No. of Y chr reads</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4ACFF" w14:textId="77777777" w:rsidR="00B8295B" w:rsidRDefault="00B52B92">
            <w:pPr>
              <w:spacing w:after="0" w:line="480" w:lineRule="auto"/>
              <w:jc w:val="both"/>
              <w:rPr>
                <w:b/>
                <w:bCs/>
                <w:sz w:val="18"/>
                <w:szCs w:val="18"/>
              </w:rPr>
            </w:pPr>
            <w:r>
              <w:rPr>
                <w:b/>
                <w:bCs/>
                <w:sz w:val="18"/>
                <w:szCs w:val="18"/>
              </w:rPr>
              <w:t>Molecular sex - Ry</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1D73E7" w14:textId="77777777" w:rsidR="00B8295B" w:rsidRDefault="00B52B92">
            <w:pPr>
              <w:spacing w:after="0" w:line="480" w:lineRule="auto"/>
              <w:jc w:val="both"/>
              <w:rPr>
                <w:b/>
                <w:bCs/>
                <w:sz w:val="18"/>
                <w:szCs w:val="18"/>
              </w:rPr>
            </w:pPr>
            <w:r>
              <w:rPr>
                <w:b/>
                <w:bCs/>
                <w:sz w:val="18"/>
                <w:szCs w:val="18"/>
              </w:rPr>
              <w:t>Molecular sex - Rx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4206A" w14:textId="77777777" w:rsidR="00B8295B" w:rsidRDefault="00B52B92">
            <w:pPr>
              <w:spacing w:after="0" w:line="480" w:lineRule="auto"/>
              <w:jc w:val="both"/>
              <w:rPr>
                <w:b/>
                <w:bCs/>
                <w:sz w:val="18"/>
                <w:szCs w:val="18"/>
              </w:rPr>
            </w:pPr>
            <w:r>
              <w:rPr>
                <w:b/>
                <w:bCs/>
                <w:sz w:val="18"/>
                <w:szCs w:val="18"/>
              </w:rPr>
              <w:t>5’ damage</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C3E87" w14:textId="77777777" w:rsidR="00B8295B" w:rsidRDefault="00B52B92">
            <w:pPr>
              <w:spacing w:after="0" w:line="480" w:lineRule="auto"/>
              <w:jc w:val="both"/>
              <w:rPr>
                <w:b/>
                <w:bCs/>
                <w:sz w:val="18"/>
                <w:szCs w:val="18"/>
              </w:rPr>
            </w:pPr>
            <w:r>
              <w:rPr>
                <w:b/>
                <w:bCs/>
                <w:sz w:val="18"/>
                <w:szCs w:val="18"/>
              </w:rPr>
              <w:t>3’ damage</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478779" w14:textId="77777777" w:rsidR="00B8295B" w:rsidRDefault="00B52B92">
            <w:pPr>
              <w:spacing w:after="0" w:line="480" w:lineRule="auto"/>
              <w:jc w:val="both"/>
              <w:rPr>
                <w:b/>
                <w:bCs/>
                <w:sz w:val="18"/>
                <w:szCs w:val="18"/>
              </w:rPr>
            </w:pPr>
            <w:r>
              <w:rPr>
                <w:b/>
                <w:bCs/>
                <w:sz w:val="18"/>
                <w:szCs w:val="18"/>
              </w:rPr>
              <w:t>mtDNA haplogroup</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252346" w14:textId="77777777" w:rsidR="00B8295B" w:rsidRDefault="00B52B92">
            <w:pPr>
              <w:spacing w:after="0" w:line="480" w:lineRule="auto"/>
              <w:jc w:val="both"/>
              <w:rPr>
                <w:b/>
                <w:bCs/>
                <w:sz w:val="18"/>
                <w:szCs w:val="18"/>
              </w:rPr>
            </w:pPr>
            <w:r>
              <w:rPr>
                <w:b/>
                <w:bCs/>
                <w:sz w:val="18"/>
                <w:szCs w:val="18"/>
              </w:rPr>
              <w:t>mtDNA prediction quality</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C6E0A3" w14:textId="77777777" w:rsidR="00B8295B" w:rsidRDefault="00B52B92">
            <w:pPr>
              <w:spacing w:after="0" w:line="480" w:lineRule="auto"/>
              <w:jc w:val="both"/>
              <w:rPr>
                <w:b/>
                <w:bCs/>
                <w:sz w:val="18"/>
                <w:szCs w:val="18"/>
              </w:rPr>
            </w:pPr>
            <w:r>
              <w:rPr>
                <w:b/>
                <w:bCs/>
                <w:sz w:val="18"/>
                <w:szCs w:val="18"/>
              </w:rPr>
              <w:t>Notes</w:t>
            </w:r>
          </w:p>
        </w:tc>
      </w:tr>
      <w:tr w:rsidR="00B8295B" w14:paraId="3B8A9F77" w14:textId="77777777">
        <w:trPr>
          <w:trHeight w:val="485"/>
        </w:trPr>
        <w:tc>
          <w:tcPr>
            <w:tcW w:w="12948" w:type="dxa"/>
            <w:gridSpan w:val="1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0CAA3" w14:textId="77777777" w:rsidR="00B8295B" w:rsidRDefault="00B52B92">
            <w:pPr>
              <w:spacing w:after="0" w:line="480" w:lineRule="auto"/>
              <w:jc w:val="both"/>
              <w:rPr>
                <w:sz w:val="18"/>
                <w:szCs w:val="18"/>
              </w:rPr>
            </w:pPr>
            <w:r>
              <w:rPr>
                <w:sz w:val="18"/>
                <w:szCs w:val="18"/>
              </w:rPr>
              <w:t>Newly reported genome</w:t>
            </w:r>
          </w:p>
        </w:tc>
      </w:tr>
      <w:tr w:rsidR="00B8295B" w14:paraId="43CE370F" w14:textId="77777777">
        <w:trPr>
          <w:trHeight w:val="1005"/>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146050" w14:textId="77777777" w:rsidR="00B8295B" w:rsidRDefault="00B52B92">
            <w:pPr>
              <w:spacing w:after="0" w:line="480" w:lineRule="auto"/>
              <w:jc w:val="both"/>
              <w:rPr>
                <w:sz w:val="18"/>
                <w:szCs w:val="18"/>
              </w:rPr>
            </w:pPr>
            <w:r>
              <w:rPr>
                <w:sz w:val="18"/>
                <w:szCs w:val="18"/>
              </w:rPr>
              <w:t>1</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BFACDD" w14:textId="77777777" w:rsidR="00B8295B" w:rsidRDefault="00B52B92">
            <w:pPr>
              <w:spacing w:after="0" w:line="480" w:lineRule="auto"/>
              <w:jc w:val="both"/>
              <w:rPr>
                <w:sz w:val="18"/>
                <w:szCs w:val="18"/>
              </w:rPr>
            </w:pPr>
            <w:r>
              <w:rPr>
                <w:sz w:val="18"/>
                <w:szCs w:val="18"/>
              </w:rPr>
              <w:t>0.393687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75EEC" w14:textId="77777777" w:rsidR="00B8295B" w:rsidRDefault="00B52B92">
            <w:pPr>
              <w:spacing w:after="0" w:line="480" w:lineRule="auto"/>
              <w:jc w:val="both"/>
              <w:rPr>
                <w:sz w:val="18"/>
                <w:szCs w:val="18"/>
              </w:rPr>
            </w:pPr>
            <w:r>
              <w:rPr>
                <w:sz w:val="18"/>
                <w:szCs w:val="18"/>
              </w:rPr>
              <w:t>164</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145E6" w14:textId="77777777" w:rsidR="00B8295B" w:rsidRDefault="00B52B92">
            <w:pPr>
              <w:spacing w:after="0" w:line="480" w:lineRule="auto"/>
              <w:jc w:val="both"/>
              <w:rPr>
                <w:sz w:val="18"/>
                <w:szCs w:val="18"/>
              </w:rPr>
            </w:pPr>
            <w:r>
              <w:rPr>
                <w:sz w:val="18"/>
                <w:szCs w:val="18"/>
              </w:rPr>
              <w:t>4966</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434AF2" w14:textId="77777777" w:rsidR="00B8295B" w:rsidRDefault="00B52B92">
            <w:pPr>
              <w:spacing w:after="0" w:line="480" w:lineRule="auto"/>
              <w:jc w:val="both"/>
              <w:rPr>
                <w:sz w:val="18"/>
                <w:szCs w:val="18"/>
              </w:rPr>
            </w:pPr>
            <w:r>
              <w:rPr>
                <w:sz w:val="18"/>
                <w:szCs w:val="18"/>
              </w:rPr>
              <w:t>1136</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ED6D8" w14:textId="77777777" w:rsidR="00B8295B" w:rsidRDefault="00B52B92">
            <w:pPr>
              <w:spacing w:after="0" w:line="480" w:lineRule="auto"/>
              <w:jc w:val="both"/>
              <w:rPr>
                <w:sz w:val="18"/>
                <w:szCs w:val="18"/>
              </w:rPr>
            </w:pPr>
            <w:r>
              <w:rPr>
                <w:sz w:val="18"/>
                <w:szCs w:val="18"/>
              </w:rPr>
              <w:t>Consist. with XY, but not XX</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4E766" w14:textId="77777777" w:rsidR="00B8295B" w:rsidRDefault="00B52B92">
            <w:pPr>
              <w:spacing w:after="0" w:line="480" w:lineRule="auto"/>
              <w:jc w:val="both"/>
              <w:rPr>
                <w:sz w:val="18"/>
                <w:szCs w:val="18"/>
              </w:rPr>
            </w:pPr>
            <w:r>
              <w:rPr>
                <w:sz w:val="18"/>
                <w:szCs w:val="18"/>
              </w:rPr>
              <w:t>XY</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E001C" w14:textId="77777777" w:rsidR="00B8295B" w:rsidRDefault="00B52B92">
            <w:pPr>
              <w:spacing w:after="0" w:line="480" w:lineRule="auto"/>
              <w:jc w:val="both"/>
              <w:rPr>
                <w:sz w:val="18"/>
                <w:szCs w:val="18"/>
              </w:rPr>
            </w:pPr>
            <w:r>
              <w:rPr>
                <w:sz w:val="18"/>
                <w:szCs w:val="18"/>
              </w:rPr>
              <w:t>0.359485</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6F3A9" w14:textId="77777777" w:rsidR="00B8295B" w:rsidRDefault="00B52B92">
            <w:pPr>
              <w:spacing w:after="0" w:line="480" w:lineRule="auto"/>
              <w:jc w:val="both"/>
              <w:rPr>
                <w:sz w:val="18"/>
                <w:szCs w:val="18"/>
              </w:rPr>
            </w:pPr>
            <w:r>
              <w:rPr>
                <w:sz w:val="18"/>
                <w:szCs w:val="18"/>
              </w:rPr>
              <w:t>0.367129</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E6ACB" w14:textId="77777777" w:rsidR="00B8295B" w:rsidRDefault="00B52B92">
            <w:pPr>
              <w:spacing w:after="0" w:line="480" w:lineRule="auto"/>
              <w:jc w:val="both"/>
              <w:rPr>
                <w:sz w:val="18"/>
                <w:szCs w:val="18"/>
              </w:rPr>
            </w:pPr>
            <w:r>
              <w:rPr>
                <w:sz w:val="18"/>
                <w:szCs w:val="18"/>
              </w:rPr>
              <w:t>Indet.</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3C3C3" w14:textId="77777777" w:rsidR="00B8295B" w:rsidRDefault="00B52B92">
            <w:pPr>
              <w:spacing w:after="0" w:line="480" w:lineRule="auto"/>
              <w:jc w:val="both"/>
              <w:rPr>
                <w:sz w:val="18"/>
                <w:szCs w:val="18"/>
              </w:rPr>
            </w:pPr>
            <w:r>
              <w:rPr>
                <w:sz w:val="18"/>
                <w:szCs w:val="18"/>
              </w:rPr>
              <w:t>0.5</w:t>
            </w:r>
          </w:p>
          <w:p w14:paraId="5329FDC2" w14:textId="77777777" w:rsidR="00B8295B" w:rsidRDefault="00B8295B">
            <w:pPr>
              <w:spacing w:after="0" w:line="480" w:lineRule="auto"/>
              <w:jc w:val="both"/>
              <w:rPr>
                <w:sz w:val="18"/>
                <w:szCs w:val="18"/>
              </w:rPr>
            </w:pP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F8E74D" w14:textId="77777777" w:rsidR="00B8295B" w:rsidRDefault="00B52B92">
            <w:pPr>
              <w:spacing w:after="0" w:line="480" w:lineRule="auto"/>
              <w:jc w:val="both"/>
              <w:rPr>
                <w:sz w:val="18"/>
                <w:szCs w:val="18"/>
              </w:rPr>
            </w:pPr>
            <w:r>
              <w:rPr>
                <w:sz w:val="18"/>
                <w:szCs w:val="18"/>
              </w:rPr>
              <w:t>Mt haplogroup estimate below confidence threshold</w:t>
            </w:r>
          </w:p>
        </w:tc>
      </w:tr>
      <w:tr w:rsidR="00B8295B" w14:paraId="32FEDED9" w14:textId="77777777">
        <w:trPr>
          <w:trHeight w:val="485"/>
        </w:trPr>
        <w:tc>
          <w:tcPr>
            <w:tcW w:w="12948" w:type="dxa"/>
            <w:gridSpan w:val="1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231C3B" w14:textId="23F243DB" w:rsidR="00B8295B" w:rsidRDefault="00B52B92">
            <w:pPr>
              <w:spacing w:after="0" w:line="480" w:lineRule="auto"/>
              <w:jc w:val="both"/>
              <w:rPr>
                <w:sz w:val="18"/>
                <w:szCs w:val="18"/>
              </w:rPr>
            </w:pPr>
            <w:r>
              <w:rPr>
                <w:sz w:val="18"/>
                <w:szCs w:val="18"/>
              </w:rPr>
              <w:t>Genomes further analysed in Scheib et al. [</w:t>
            </w:r>
            <w:hyperlink w:anchor="ref33" w:history="1">
              <w:r w:rsidRPr="003B78DE">
                <w:rPr>
                  <w:rStyle w:val="Hyperlink"/>
                  <w:sz w:val="18"/>
                  <w:szCs w:val="18"/>
                </w:rPr>
                <w:t>33</w:t>
              </w:r>
            </w:hyperlink>
            <w:r>
              <w:rPr>
                <w:sz w:val="18"/>
                <w:szCs w:val="18"/>
              </w:rPr>
              <w:t>]</w:t>
            </w:r>
          </w:p>
        </w:tc>
      </w:tr>
      <w:tr w:rsidR="00B8295B" w14:paraId="39BD56DD" w14:textId="77777777">
        <w:trPr>
          <w:trHeight w:val="485"/>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B7F562" w14:textId="77777777" w:rsidR="00B8295B" w:rsidRDefault="00B52B92">
            <w:pPr>
              <w:spacing w:after="0" w:line="480" w:lineRule="auto"/>
              <w:jc w:val="both"/>
              <w:rPr>
                <w:sz w:val="18"/>
                <w:szCs w:val="18"/>
              </w:rPr>
            </w:pPr>
            <w:r>
              <w:rPr>
                <w:sz w:val="18"/>
                <w:szCs w:val="18"/>
              </w:rPr>
              <w:t>2</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4DA68B" w14:textId="77777777" w:rsidR="00B8295B" w:rsidRDefault="00B52B92">
            <w:pPr>
              <w:spacing w:after="0" w:line="480" w:lineRule="auto"/>
              <w:jc w:val="both"/>
              <w:rPr>
                <w:sz w:val="18"/>
                <w:szCs w:val="18"/>
              </w:rPr>
            </w:pPr>
            <w:r>
              <w:rPr>
                <w:sz w:val="18"/>
                <w:szCs w:val="18"/>
              </w:rPr>
              <w:t>8.68839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AD239" w14:textId="77777777" w:rsidR="00B8295B" w:rsidRDefault="00B52B92">
            <w:pPr>
              <w:spacing w:after="0" w:line="480" w:lineRule="auto"/>
              <w:jc w:val="both"/>
              <w:rPr>
                <w:sz w:val="18"/>
                <w:szCs w:val="18"/>
              </w:rPr>
            </w:pPr>
            <w:r>
              <w:rPr>
                <w:sz w:val="18"/>
                <w:szCs w:val="18"/>
              </w:rPr>
              <w:t>2895</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5FC999" w14:textId="77777777" w:rsidR="00B8295B" w:rsidRDefault="00B52B92">
            <w:pPr>
              <w:spacing w:after="0" w:line="480" w:lineRule="auto"/>
              <w:jc w:val="both"/>
              <w:rPr>
                <w:sz w:val="18"/>
                <w:szCs w:val="18"/>
              </w:rPr>
            </w:pPr>
            <w:r>
              <w:rPr>
                <w:sz w:val="18"/>
                <w:szCs w:val="18"/>
              </w:rPr>
              <w:t>190121</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C5B3D8" w14:textId="77777777" w:rsidR="00B8295B" w:rsidRDefault="00B52B92">
            <w:pPr>
              <w:spacing w:after="0" w:line="480" w:lineRule="auto"/>
              <w:jc w:val="both"/>
              <w:rPr>
                <w:sz w:val="18"/>
                <w:szCs w:val="18"/>
              </w:rPr>
            </w:pPr>
            <w:r>
              <w:rPr>
                <w:sz w:val="18"/>
                <w:szCs w:val="18"/>
              </w:rPr>
              <w:t>46638</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914754" w14:textId="77777777" w:rsidR="00B8295B" w:rsidRDefault="00B52B92">
            <w:pPr>
              <w:spacing w:after="0" w:line="480" w:lineRule="auto"/>
              <w:jc w:val="both"/>
              <w:rPr>
                <w:sz w:val="18"/>
                <w:szCs w:val="18"/>
              </w:rPr>
            </w:pPr>
            <w:r>
              <w:rPr>
                <w:sz w:val="18"/>
                <w:szCs w:val="18"/>
              </w:rPr>
              <w:t>XY</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A1D89" w14:textId="77777777" w:rsidR="00B8295B" w:rsidRDefault="00B52B92">
            <w:pPr>
              <w:spacing w:after="0" w:line="480" w:lineRule="auto"/>
              <w:jc w:val="both"/>
              <w:rPr>
                <w:sz w:val="18"/>
                <w:szCs w:val="18"/>
              </w:rPr>
            </w:pPr>
            <w:r>
              <w:rPr>
                <w:sz w:val="18"/>
                <w:szCs w:val="18"/>
              </w:rPr>
              <w:t>XY</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BD733" w14:textId="77777777" w:rsidR="00B8295B" w:rsidRDefault="00B52B92">
            <w:pPr>
              <w:spacing w:after="0" w:line="480" w:lineRule="auto"/>
              <w:jc w:val="both"/>
              <w:rPr>
                <w:sz w:val="18"/>
                <w:szCs w:val="18"/>
              </w:rPr>
            </w:pPr>
            <w:r>
              <w:rPr>
                <w:sz w:val="18"/>
                <w:szCs w:val="18"/>
              </w:rPr>
              <w:t>0.207234</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7BB5D6" w14:textId="77777777" w:rsidR="00B8295B" w:rsidRDefault="00B52B92">
            <w:pPr>
              <w:spacing w:after="0" w:line="480" w:lineRule="auto"/>
              <w:jc w:val="both"/>
              <w:rPr>
                <w:sz w:val="18"/>
                <w:szCs w:val="18"/>
              </w:rPr>
            </w:pPr>
            <w:r>
              <w:rPr>
                <w:sz w:val="18"/>
                <w:szCs w:val="18"/>
              </w:rPr>
              <w:t>0.207077</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FBCBC0" w14:textId="77777777" w:rsidR="00B8295B" w:rsidRDefault="00B52B92">
            <w:pPr>
              <w:spacing w:after="0" w:line="480" w:lineRule="auto"/>
              <w:jc w:val="both"/>
              <w:rPr>
                <w:sz w:val="18"/>
                <w:szCs w:val="18"/>
              </w:rPr>
            </w:pPr>
            <w:r>
              <w:rPr>
                <w:sz w:val="18"/>
                <w:szCs w:val="18"/>
              </w:rPr>
              <w:t>K2a3</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C46C01" w14:textId="77777777" w:rsidR="00B8295B" w:rsidRDefault="00B52B92">
            <w:pPr>
              <w:spacing w:after="0" w:line="480" w:lineRule="auto"/>
              <w:jc w:val="both"/>
              <w:rPr>
                <w:sz w:val="18"/>
                <w:szCs w:val="18"/>
              </w:rPr>
            </w:pPr>
            <w:r>
              <w:rPr>
                <w:sz w:val="18"/>
                <w:szCs w:val="18"/>
              </w:rPr>
              <w:t>0.8703</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02162" w14:textId="77777777" w:rsidR="00B8295B" w:rsidRDefault="00B8295B">
            <w:pPr>
              <w:spacing w:after="0" w:line="480" w:lineRule="auto"/>
              <w:jc w:val="both"/>
              <w:rPr>
                <w:sz w:val="18"/>
                <w:szCs w:val="18"/>
              </w:rPr>
            </w:pPr>
          </w:p>
        </w:tc>
      </w:tr>
      <w:tr w:rsidR="00B8295B" w14:paraId="0C287B73" w14:textId="77777777">
        <w:trPr>
          <w:trHeight w:val="485"/>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A20D9" w14:textId="77777777" w:rsidR="00B8295B" w:rsidRDefault="00B52B92">
            <w:pPr>
              <w:spacing w:after="0" w:line="480" w:lineRule="auto"/>
              <w:jc w:val="both"/>
              <w:rPr>
                <w:sz w:val="18"/>
                <w:szCs w:val="18"/>
              </w:rPr>
            </w:pPr>
            <w:r>
              <w:rPr>
                <w:sz w:val="18"/>
                <w:szCs w:val="18"/>
              </w:rPr>
              <w:t>5</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AE007" w14:textId="77777777" w:rsidR="00B8295B" w:rsidRDefault="00B52B92">
            <w:pPr>
              <w:spacing w:after="0" w:line="480" w:lineRule="auto"/>
              <w:jc w:val="both"/>
              <w:rPr>
                <w:sz w:val="18"/>
                <w:szCs w:val="18"/>
              </w:rPr>
            </w:pPr>
            <w:r>
              <w:rPr>
                <w:sz w:val="18"/>
                <w:szCs w:val="18"/>
              </w:rPr>
              <w:t>30.2264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1330C" w14:textId="77777777" w:rsidR="00B8295B" w:rsidRDefault="00B52B92">
            <w:pPr>
              <w:spacing w:after="0" w:line="480" w:lineRule="auto"/>
              <w:jc w:val="both"/>
              <w:rPr>
                <w:sz w:val="18"/>
                <w:szCs w:val="18"/>
              </w:rPr>
            </w:pPr>
            <w:r>
              <w:rPr>
                <w:sz w:val="18"/>
                <w:szCs w:val="18"/>
              </w:rPr>
              <w:t>9488</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D050A4" w14:textId="77777777" w:rsidR="00B8295B" w:rsidRDefault="00B52B92">
            <w:pPr>
              <w:spacing w:after="0" w:line="480" w:lineRule="auto"/>
              <w:jc w:val="both"/>
              <w:rPr>
                <w:sz w:val="18"/>
                <w:szCs w:val="18"/>
              </w:rPr>
            </w:pPr>
            <w:r>
              <w:rPr>
                <w:sz w:val="18"/>
                <w:szCs w:val="18"/>
              </w:rPr>
              <w:t>396437</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27206" w14:textId="77777777" w:rsidR="00B8295B" w:rsidRDefault="00B52B92">
            <w:pPr>
              <w:spacing w:after="0" w:line="480" w:lineRule="auto"/>
              <w:jc w:val="both"/>
              <w:rPr>
                <w:sz w:val="18"/>
                <w:szCs w:val="18"/>
              </w:rPr>
            </w:pPr>
            <w:r>
              <w:rPr>
                <w:sz w:val="18"/>
                <w:szCs w:val="18"/>
              </w:rPr>
              <w:t>107959</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D5733" w14:textId="77777777" w:rsidR="00B8295B" w:rsidRDefault="00B52B92">
            <w:pPr>
              <w:spacing w:after="0" w:line="480" w:lineRule="auto"/>
              <w:jc w:val="both"/>
              <w:rPr>
                <w:sz w:val="18"/>
                <w:szCs w:val="18"/>
              </w:rPr>
            </w:pPr>
            <w:r>
              <w:rPr>
                <w:sz w:val="18"/>
                <w:szCs w:val="18"/>
              </w:rPr>
              <w:t>XY</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72581" w14:textId="77777777" w:rsidR="00B8295B" w:rsidRDefault="00B52B92">
            <w:pPr>
              <w:spacing w:after="0" w:line="480" w:lineRule="auto"/>
              <w:jc w:val="both"/>
              <w:rPr>
                <w:sz w:val="18"/>
                <w:szCs w:val="18"/>
              </w:rPr>
            </w:pPr>
            <w:r>
              <w:rPr>
                <w:sz w:val="18"/>
                <w:szCs w:val="18"/>
              </w:rPr>
              <w:t>XY</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86A7DF" w14:textId="77777777" w:rsidR="00B8295B" w:rsidRDefault="00B52B92">
            <w:pPr>
              <w:spacing w:after="0" w:line="480" w:lineRule="auto"/>
              <w:jc w:val="both"/>
              <w:rPr>
                <w:sz w:val="18"/>
                <w:szCs w:val="18"/>
              </w:rPr>
            </w:pPr>
            <w:r>
              <w:rPr>
                <w:sz w:val="18"/>
                <w:szCs w:val="18"/>
              </w:rPr>
              <w:t>0.200552</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2DFF7" w14:textId="77777777" w:rsidR="00B8295B" w:rsidRDefault="00B52B92">
            <w:pPr>
              <w:spacing w:after="0" w:line="480" w:lineRule="auto"/>
              <w:jc w:val="both"/>
              <w:rPr>
                <w:sz w:val="18"/>
                <w:szCs w:val="18"/>
              </w:rPr>
            </w:pPr>
            <w:r>
              <w:rPr>
                <w:sz w:val="18"/>
                <w:szCs w:val="18"/>
              </w:rPr>
              <w:t>0.199877</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6EB49" w14:textId="77777777" w:rsidR="00B8295B" w:rsidRDefault="00B52B92">
            <w:pPr>
              <w:spacing w:after="0" w:line="480" w:lineRule="auto"/>
              <w:jc w:val="both"/>
              <w:rPr>
                <w:sz w:val="18"/>
                <w:szCs w:val="18"/>
              </w:rPr>
            </w:pPr>
            <w:r>
              <w:rPr>
                <w:sz w:val="18"/>
                <w:szCs w:val="18"/>
              </w:rPr>
              <w:t>H2a3a</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D2038" w14:textId="77777777" w:rsidR="00B8295B" w:rsidRDefault="00B52B92">
            <w:pPr>
              <w:spacing w:after="0" w:line="480" w:lineRule="auto"/>
              <w:jc w:val="both"/>
              <w:rPr>
                <w:sz w:val="18"/>
                <w:szCs w:val="18"/>
              </w:rPr>
            </w:pPr>
            <w:r>
              <w:rPr>
                <w:sz w:val="18"/>
                <w:szCs w:val="18"/>
              </w:rPr>
              <w:t>0.8466</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79CFDE" w14:textId="77777777" w:rsidR="00B8295B" w:rsidRDefault="00B8295B">
            <w:pPr>
              <w:spacing w:after="0" w:line="480" w:lineRule="auto"/>
              <w:jc w:val="both"/>
              <w:rPr>
                <w:sz w:val="18"/>
                <w:szCs w:val="18"/>
              </w:rPr>
            </w:pPr>
          </w:p>
        </w:tc>
      </w:tr>
      <w:tr w:rsidR="00B8295B" w14:paraId="1E13E68E" w14:textId="77777777">
        <w:trPr>
          <w:trHeight w:val="485"/>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4B1BD" w14:textId="77777777" w:rsidR="00B8295B" w:rsidRDefault="00B52B92">
            <w:pPr>
              <w:spacing w:after="0" w:line="480" w:lineRule="auto"/>
              <w:jc w:val="both"/>
              <w:rPr>
                <w:sz w:val="18"/>
                <w:szCs w:val="18"/>
              </w:rPr>
            </w:pPr>
            <w:r>
              <w:rPr>
                <w:sz w:val="18"/>
                <w:szCs w:val="18"/>
              </w:rPr>
              <w:t>6</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353AA" w14:textId="77777777" w:rsidR="00B8295B" w:rsidRDefault="00B52B92">
            <w:pPr>
              <w:spacing w:after="0" w:line="480" w:lineRule="auto"/>
              <w:jc w:val="both"/>
              <w:rPr>
                <w:sz w:val="18"/>
                <w:szCs w:val="18"/>
              </w:rPr>
            </w:pPr>
            <w:r>
              <w:rPr>
                <w:sz w:val="18"/>
                <w:szCs w:val="18"/>
              </w:rPr>
              <w:t>9.37637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DD567B" w14:textId="77777777" w:rsidR="00B8295B" w:rsidRDefault="00B52B92">
            <w:pPr>
              <w:spacing w:after="0" w:line="480" w:lineRule="auto"/>
              <w:jc w:val="both"/>
              <w:rPr>
                <w:sz w:val="18"/>
                <w:szCs w:val="18"/>
              </w:rPr>
            </w:pPr>
            <w:r>
              <w:rPr>
                <w:sz w:val="18"/>
                <w:szCs w:val="18"/>
              </w:rPr>
              <w:t>2918</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B8F96" w14:textId="77777777" w:rsidR="00B8295B" w:rsidRDefault="00B52B92">
            <w:pPr>
              <w:spacing w:after="0" w:line="480" w:lineRule="auto"/>
              <w:jc w:val="both"/>
              <w:rPr>
                <w:sz w:val="18"/>
                <w:szCs w:val="18"/>
              </w:rPr>
            </w:pPr>
            <w:r>
              <w:rPr>
                <w:sz w:val="18"/>
                <w:szCs w:val="18"/>
              </w:rPr>
              <w:t>76283</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D064B4" w14:textId="77777777" w:rsidR="00B8295B" w:rsidRDefault="00B52B92">
            <w:pPr>
              <w:spacing w:after="0" w:line="480" w:lineRule="auto"/>
              <w:jc w:val="both"/>
              <w:rPr>
                <w:sz w:val="18"/>
                <w:szCs w:val="18"/>
              </w:rPr>
            </w:pPr>
            <w:r>
              <w:rPr>
                <w:sz w:val="18"/>
                <w:szCs w:val="18"/>
              </w:rPr>
              <w:t>20706</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426EF" w14:textId="77777777" w:rsidR="00B8295B" w:rsidRDefault="00B52B92">
            <w:pPr>
              <w:spacing w:after="0" w:line="480" w:lineRule="auto"/>
              <w:jc w:val="both"/>
              <w:rPr>
                <w:sz w:val="18"/>
                <w:szCs w:val="18"/>
              </w:rPr>
            </w:pPr>
            <w:r>
              <w:rPr>
                <w:sz w:val="18"/>
                <w:szCs w:val="18"/>
              </w:rPr>
              <w:t>XY</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654A0" w14:textId="77777777" w:rsidR="00B8295B" w:rsidRDefault="00B52B92">
            <w:pPr>
              <w:spacing w:after="0" w:line="480" w:lineRule="auto"/>
              <w:jc w:val="both"/>
              <w:rPr>
                <w:sz w:val="18"/>
                <w:szCs w:val="18"/>
              </w:rPr>
            </w:pPr>
            <w:r>
              <w:rPr>
                <w:sz w:val="18"/>
                <w:szCs w:val="18"/>
              </w:rPr>
              <w:t>XY</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2941A3" w14:textId="77777777" w:rsidR="00B8295B" w:rsidRDefault="00B52B92">
            <w:pPr>
              <w:spacing w:after="0" w:line="480" w:lineRule="auto"/>
              <w:jc w:val="both"/>
              <w:rPr>
                <w:sz w:val="18"/>
                <w:szCs w:val="18"/>
              </w:rPr>
            </w:pPr>
            <w:r>
              <w:rPr>
                <w:sz w:val="18"/>
                <w:szCs w:val="18"/>
              </w:rPr>
              <w:t>0.206195</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7D6F2" w14:textId="77777777" w:rsidR="00B8295B" w:rsidRDefault="00B52B92">
            <w:pPr>
              <w:spacing w:after="0" w:line="480" w:lineRule="auto"/>
              <w:jc w:val="both"/>
              <w:rPr>
                <w:sz w:val="18"/>
                <w:szCs w:val="18"/>
              </w:rPr>
            </w:pPr>
            <w:r>
              <w:rPr>
                <w:sz w:val="18"/>
                <w:szCs w:val="18"/>
              </w:rPr>
              <w:t>0.205201</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DB564" w14:textId="77777777" w:rsidR="00B8295B" w:rsidRDefault="00B52B92">
            <w:pPr>
              <w:spacing w:after="0" w:line="480" w:lineRule="auto"/>
              <w:jc w:val="both"/>
              <w:rPr>
                <w:sz w:val="18"/>
                <w:szCs w:val="18"/>
              </w:rPr>
            </w:pPr>
            <w:r>
              <w:rPr>
                <w:sz w:val="18"/>
                <w:szCs w:val="18"/>
              </w:rPr>
              <w:t>J1c2e</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48F00" w14:textId="77777777" w:rsidR="00B8295B" w:rsidRDefault="00B52B92">
            <w:pPr>
              <w:spacing w:after="0" w:line="480" w:lineRule="auto"/>
              <w:jc w:val="both"/>
              <w:rPr>
                <w:sz w:val="18"/>
                <w:szCs w:val="18"/>
              </w:rPr>
            </w:pPr>
            <w:r>
              <w:rPr>
                <w:sz w:val="18"/>
                <w:szCs w:val="18"/>
              </w:rPr>
              <w:t>0.9127</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9ECC64" w14:textId="77777777" w:rsidR="00B8295B" w:rsidRDefault="00B8295B">
            <w:pPr>
              <w:spacing w:after="0" w:line="480" w:lineRule="auto"/>
              <w:jc w:val="both"/>
              <w:rPr>
                <w:sz w:val="18"/>
                <w:szCs w:val="18"/>
              </w:rPr>
            </w:pPr>
          </w:p>
        </w:tc>
      </w:tr>
      <w:tr w:rsidR="00B8295B" w14:paraId="021210DD" w14:textId="77777777">
        <w:trPr>
          <w:trHeight w:val="485"/>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80A156" w14:textId="77777777" w:rsidR="00B8295B" w:rsidRDefault="00B52B92">
            <w:pPr>
              <w:spacing w:after="0" w:line="480" w:lineRule="auto"/>
              <w:jc w:val="both"/>
              <w:rPr>
                <w:sz w:val="18"/>
                <w:szCs w:val="18"/>
              </w:rPr>
            </w:pPr>
            <w:r>
              <w:rPr>
                <w:sz w:val="18"/>
                <w:szCs w:val="18"/>
              </w:rPr>
              <w:t>11</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A5295" w14:textId="77777777" w:rsidR="00B8295B" w:rsidRDefault="00B52B92">
            <w:pPr>
              <w:spacing w:after="0" w:line="480" w:lineRule="auto"/>
              <w:jc w:val="both"/>
              <w:rPr>
                <w:sz w:val="18"/>
                <w:szCs w:val="18"/>
              </w:rPr>
            </w:pPr>
            <w:r>
              <w:rPr>
                <w:sz w:val="18"/>
                <w:szCs w:val="18"/>
              </w:rPr>
              <w:t>27.9984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EFF03" w14:textId="77777777" w:rsidR="00B8295B" w:rsidRDefault="00B52B92">
            <w:pPr>
              <w:spacing w:after="0" w:line="480" w:lineRule="auto"/>
              <w:jc w:val="both"/>
              <w:rPr>
                <w:sz w:val="18"/>
                <w:szCs w:val="18"/>
              </w:rPr>
            </w:pPr>
            <w:r>
              <w:rPr>
                <w:sz w:val="18"/>
                <w:szCs w:val="18"/>
              </w:rPr>
              <w:t>14727</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89EAB0" w14:textId="77777777" w:rsidR="00B8295B" w:rsidRDefault="00B52B92">
            <w:pPr>
              <w:spacing w:after="0" w:line="480" w:lineRule="auto"/>
              <w:jc w:val="both"/>
              <w:rPr>
                <w:sz w:val="18"/>
                <w:szCs w:val="18"/>
              </w:rPr>
            </w:pPr>
            <w:r>
              <w:rPr>
                <w:sz w:val="18"/>
                <w:szCs w:val="18"/>
              </w:rPr>
              <w:t>1439197</w:t>
            </w:r>
          </w:p>
        </w:tc>
        <w:tc>
          <w:tcPr>
            <w:tcW w:w="10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D1830" w14:textId="77777777" w:rsidR="00B8295B" w:rsidRDefault="00B52B92">
            <w:pPr>
              <w:spacing w:after="0" w:line="480" w:lineRule="auto"/>
              <w:jc w:val="both"/>
              <w:rPr>
                <w:sz w:val="18"/>
                <w:szCs w:val="18"/>
              </w:rPr>
            </w:pPr>
            <w:r>
              <w:rPr>
                <w:sz w:val="18"/>
                <w:szCs w:val="18"/>
              </w:rPr>
              <w:t>35554</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95B065" w14:textId="77777777" w:rsidR="00B8295B" w:rsidRDefault="00B52B92">
            <w:pPr>
              <w:spacing w:after="0" w:line="480" w:lineRule="auto"/>
              <w:jc w:val="both"/>
              <w:rPr>
                <w:sz w:val="18"/>
                <w:szCs w:val="18"/>
              </w:rPr>
            </w:pPr>
            <w:r>
              <w:rPr>
                <w:sz w:val="18"/>
                <w:szCs w:val="18"/>
              </w:rPr>
              <w:t>XX</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CED0F" w14:textId="77777777" w:rsidR="00B8295B" w:rsidRDefault="00B52B92">
            <w:pPr>
              <w:spacing w:after="0" w:line="480" w:lineRule="auto"/>
              <w:jc w:val="both"/>
              <w:rPr>
                <w:sz w:val="18"/>
                <w:szCs w:val="18"/>
              </w:rPr>
            </w:pPr>
            <w:r>
              <w:rPr>
                <w:sz w:val="18"/>
                <w:szCs w:val="18"/>
              </w:rPr>
              <w:t>XX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F0E2C" w14:textId="77777777" w:rsidR="00B8295B" w:rsidRDefault="00B52B92">
            <w:pPr>
              <w:spacing w:after="0" w:line="480" w:lineRule="auto"/>
              <w:jc w:val="both"/>
              <w:rPr>
                <w:sz w:val="18"/>
                <w:szCs w:val="18"/>
              </w:rPr>
            </w:pPr>
            <w:r>
              <w:rPr>
                <w:sz w:val="18"/>
                <w:szCs w:val="18"/>
              </w:rPr>
              <w:t>0.290429</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F90E4" w14:textId="77777777" w:rsidR="00B8295B" w:rsidRDefault="00B52B92">
            <w:pPr>
              <w:spacing w:after="0" w:line="480" w:lineRule="auto"/>
              <w:jc w:val="both"/>
              <w:rPr>
                <w:sz w:val="18"/>
                <w:szCs w:val="18"/>
              </w:rPr>
            </w:pPr>
            <w:r>
              <w:rPr>
                <w:sz w:val="18"/>
                <w:szCs w:val="18"/>
              </w:rPr>
              <w:t>0.290287</w:t>
            </w:r>
          </w:p>
        </w:tc>
        <w:tc>
          <w:tcPr>
            <w:tcW w:w="1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3662AD" w14:textId="77777777" w:rsidR="00B8295B" w:rsidRDefault="00B52B92">
            <w:pPr>
              <w:spacing w:after="0" w:line="480" w:lineRule="auto"/>
              <w:jc w:val="both"/>
              <w:rPr>
                <w:sz w:val="18"/>
                <w:szCs w:val="18"/>
              </w:rPr>
            </w:pPr>
            <w:r>
              <w:rPr>
                <w:sz w:val="18"/>
                <w:szCs w:val="18"/>
              </w:rPr>
              <w:t>H1</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747D9C" w14:textId="77777777" w:rsidR="00B8295B" w:rsidRDefault="00B52B92">
            <w:pPr>
              <w:spacing w:after="0" w:line="480" w:lineRule="auto"/>
              <w:jc w:val="both"/>
              <w:rPr>
                <w:sz w:val="18"/>
                <w:szCs w:val="18"/>
              </w:rPr>
            </w:pPr>
            <w:r>
              <w:rPr>
                <w:sz w:val="18"/>
                <w:szCs w:val="18"/>
              </w:rPr>
              <w:t>0.7714</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39FB1" w14:textId="77777777" w:rsidR="00B8295B" w:rsidRDefault="00B52B92">
            <w:pPr>
              <w:spacing w:after="0" w:line="480" w:lineRule="auto"/>
              <w:jc w:val="both"/>
              <w:rPr>
                <w:sz w:val="18"/>
                <w:szCs w:val="18"/>
              </w:rPr>
            </w:pPr>
            <w:r>
              <w:rPr>
                <w:sz w:val="18"/>
                <w:szCs w:val="18"/>
              </w:rPr>
              <w:t>Osteo M</w:t>
            </w:r>
          </w:p>
        </w:tc>
      </w:tr>
    </w:tbl>
    <w:p w14:paraId="0A1D8D4F" w14:textId="77777777" w:rsidR="00B8295B" w:rsidRDefault="00B8295B">
      <w:pPr>
        <w:spacing w:after="0" w:line="480" w:lineRule="auto"/>
        <w:jc w:val="both"/>
        <w:rPr>
          <w:sz w:val="18"/>
          <w:szCs w:val="18"/>
        </w:rPr>
      </w:pPr>
    </w:p>
    <w:p w14:paraId="2AC2CAD2" w14:textId="77777777" w:rsidR="00B8295B" w:rsidRDefault="00B52B92">
      <w:pPr>
        <w:spacing w:after="0" w:line="480" w:lineRule="auto"/>
        <w:jc w:val="both"/>
        <w:sectPr w:rsidR="00B8295B">
          <w:pgSz w:w="15840" w:h="12240" w:orient="landscape"/>
          <w:pgMar w:top="1440" w:right="1440" w:bottom="1440" w:left="1440" w:header="720" w:footer="720" w:gutter="0"/>
          <w:cols w:space="720"/>
        </w:sectPr>
      </w:pPr>
      <w:r>
        <w:rPr>
          <w:i/>
          <w:iCs/>
        </w:rPr>
        <w:lastRenderedPageBreak/>
        <w:t xml:space="preserve">Table S1. </w:t>
      </w:r>
      <w:r>
        <w:t>Genetic results</w:t>
      </w:r>
    </w:p>
    <w:p w14:paraId="0DEBB0D3" w14:textId="77777777" w:rsidR="00B8295B" w:rsidRDefault="00B52B92">
      <w:pPr>
        <w:pStyle w:val="Heading4"/>
        <w:spacing w:after="240"/>
      </w:pPr>
      <w:bookmarkStart w:id="8" w:name="_lmhhezg9pg2d" w:colFirst="0" w:colLast="0"/>
      <w:bookmarkEnd w:id="8"/>
      <w:r>
        <w:lastRenderedPageBreak/>
        <w:t>Facilities</w:t>
      </w:r>
    </w:p>
    <w:p w14:paraId="25EB5161" w14:textId="77777777" w:rsidR="00B8295B" w:rsidRDefault="00B52B92">
      <w:pPr>
        <w:spacing w:before="240" w:after="240" w:line="480" w:lineRule="auto"/>
        <w:jc w:val="both"/>
      </w:pPr>
      <w:r>
        <w:t>The SciLifeLab Ancient DNA (AD) unit is located at two nodes: Stockholm University, Centre for Palaeogenetics, Svante Arrhenius väg 20C, Stockholm 106 91, Sweden; and Uppsala University, Evolutionary Biology Centre, Norbyvägen</w:t>
      </w:r>
      <w:r>
        <w:t xml:space="preserve"> 18C, Uppsala 752 36, Sweden. Its cleanroom laboratories are positively pressurised, equipped with UV lamps in the ceilings and laminar flow hoods with HEPA-filters and UV systems. The cleanroom laboratories are separated from the common corridor by airloc</w:t>
      </w:r>
      <w:r>
        <w:t>ks and access is restricted to authorised personnel.</w:t>
      </w:r>
    </w:p>
    <w:p w14:paraId="4F9DB357" w14:textId="22A781EC" w:rsidR="00B8295B" w:rsidRDefault="00B52B92">
      <w:pPr>
        <w:spacing w:before="240" w:after="240" w:line="480" w:lineRule="auto"/>
        <w:jc w:val="both"/>
      </w:pPr>
      <w:r>
        <w:t>The laboratory cleaning routines, maintenance and lab work follow strict ancient DNA guidelines [</w:t>
      </w:r>
      <w:hyperlink w:anchor="ref34" w:history="1">
        <w:r w:rsidRPr="003B78DE">
          <w:rPr>
            <w:rStyle w:val="Hyperlink"/>
          </w:rPr>
          <w:t>34</w:t>
        </w:r>
      </w:hyperlink>
      <w:r>
        <w:t>]. Personnel wear a disposable body suit with hood, a hair net, a mask with vis</w:t>
      </w:r>
      <w:r>
        <w:t>or, shoe covers, and three layers of gloves. Entry into the cleanroom laboratories is prohibited if personnel have been in another laboratory, unless they have showered and changed into a clean set of clothes. The cleanroom laboratories and equipment are f</w:t>
      </w:r>
      <w:r>
        <w:t>requently decontaminated with sodium hypochlorite solution, and/or RNase AWAY™ Surface Decontaminant (Thermo Scientific) solution, and/or UV irradiation. The pre-PCR and post-PCR laboratories at Stockholm University and Uppsala University are housed in oth</w:t>
      </w:r>
      <w:r>
        <w:t>er buildings, which are separated from the cleanroom laboratories</w:t>
      </w:r>
    </w:p>
    <w:p w14:paraId="6FF60288" w14:textId="77777777" w:rsidR="00B8295B" w:rsidRDefault="00B52B92">
      <w:pPr>
        <w:pStyle w:val="Heading4"/>
        <w:spacing w:after="240"/>
      </w:pPr>
      <w:bookmarkStart w:id="9" w:name="_r0kjp13nir91" w:colFirst="0" w:colLast="0"/>
      <w:bookmarkEnd w:id="9"/>
      <w:r>
        <w:t>Sampling and DNA extraction</w:t>
      </w:r>
    </w:p>
    <w:p w14:paraId="4BCC0F8B" w14:textId="77777777" w:rsidR="00B8295B" w:rsidRDefault="00B52B92">
      <w:pPr>
        <w:spacing w:before="240" w:after="240" w:line="480" w:lineRule="auto"/>
        <w:jc w:val="both"/>
      </w:pPr>
      <w:r>
        <w:t>Prior to sampling, each sample was decontaminated first by UV-irradiation (6 J/cm2 at 254 nm) of each surface for 20 min, and the exterior surface was removed mec</w:t>
      </w:r>
      <w:r>
        <w:t>hanically using a Dremel tool. The sample was wiped with 0.5% sodium hypochlorite solution and UV-irradiated Milli-Q® water using sterile cotton swabs and subjected to additional UV-irradiation of each surface for 15 min.</w:t>
      </w:r>
    </w:p>
    <w:p w14:paraId="6E7D362A" w14:textId="361130D0" w:rsidR="00B8295B" w:rsidRDefault="00B52B92">
      <w:pPr>
        <w:spacing w:before="240" w:after="240" w:line="480" w:lineRule="auto"/>
        <w:jc w:val="both"/>
      </w:pPr>
      <w:r>
        <w:lastRenderedPageBreak/>
        <w:t>A small piece, or sub-sample, weig</w:t>
      </w:r>
      <w:r>
        <w:t>hing 60 -100 mg was cut from each sample using a Dremel tool fitted with a cutting disc or core-bit. DNA was extracted following a modified silica-based method, where urea was used in place of sodium dodecyl sulphate in the extraction buffer [</w:t>
      </w:r>
      <w:hyperlink w:anchor="ref35" w:history="1">
        <w:r w:rsidRPr="00C46E98">
          <w:rPr>
            <w:rStyle w:val="Hyperlink"/>
          </w:rPr>
          <w:t>35</w:t>
        </w:r>
      </w:hyperlink>
      <w:r>
        <w:t xml:space="preserve">, </w:t>
      </w:r>
      <w:hyperlink w:anchor="ref36" w:history="1">
        <w:r w:rsidRPr="00C46E98">
          <w:rPr>
            <w:rStyle w:val="Hyperlink"/>
          </w:rPr>
          <w:t>36</w:t>
        </w:r>
      </w:hyperlink>
      <w:r>
        <w:t>]. Briefly, the sub-sample was first pre-treated with 1 ml of 0.5 M EDTA (Invitrogen) and incubated at 37 °C for 30 min [</w:t>
      </w:r>
      <w:hyperlink w:anchor="ref37" w:history="1">
        <w:r w:rsidRPr="00C46E98">
          <w:rPr>
            <w:rStyle w:val="Hyperlink"/>
          </w:rPr>
          <w:t>37</w:t>
        </w:r>
      </w:hyperlink>
      <w:r>
        <w:t xml:space="preserve">]. The EDTA solution was removed and the sub-sample was digested </w:t>
      </w:r>
      <w:r>
        <w:t xml:space="preserve">with 1 ml of extraction buffer (1 M urea (Sigma-Aldrich) / EDTA) containing 0.4 mg/ml proteinase K (Sigma-Aldrich), and incubated with rotation at 37 °C for 17.3 h, and 55 °C for 5 h. Supernatant was collected from the digested sub-sample and concentrated </w:t>
      </w:r>
      <w:r>
        <w:t>using an Amicon Ultra-4 filter unit (Millipore). The DNA extract was purified with MinElute PCR purification kit (QIAGEN) according to manufacturer's instructions and eluted in a total volume of 110 μl Buffer EB (QIAGEN). For every 10 samples, one extracti</w:t>
      </w:r>
      <w:r>
        <w:t>on blank (EB) was included as a negative control and carried along throughout the whole process. Qubit 1X dsDNA High Sensitivity assay (Invitrogen) was used to determine concentration of the DNA extract.</w:t>
      </w:r>
    </w:p>
    <w:p w14:paraId="5493CDF6" w14:textId="77777777" w:rsidR="00B8295B" w:rsidRDefault="00B52B92">
      <w:pPr>
        <w:pStyle w:val="Heading4"/>
        <w:spacing w:after="240"/>
      </w:pPr>
      <w:bookmarkStart w:id="10" w:name="_5qk3ywy9qc1k" w:colFirst="0" w:colLast="0"/>
      <w:bookmarkEnd w:id="10"/>
      <w:r>
        <w:t>DNA library construction</w:t>
      </w:r>
    </w:p>
    <w:p w14:paraId="45513500" w14:textId="70828A56" w:rsidR="00B8295B" w:rsidRDefault="00B52B92">
      <w:pPr>
        <w:spacing w:before="240" w:after="240" w:line="480" w:lineRule="auto"/>
        <w:jc w:val="both"/>
      </w:pPr>
      <w:r>
        <w:t>Double-stranded DNA library</w:t>
      </w:r>
      <w:r>
        <w:t xml:space="preserve"> for next generation sequencing was prepared from 20 μl DNA extract according to protocol with some modifications [</w:t>
      </w:r>
      <w:hyperlink w:anchor="ref38" w:history="1">
        <w:r w:rsidRPr="00C46E98">
          <w:rPr>
            <w:rStyle w:val="Hyperlink"/>
          </w:rPr>
          <w:t>38</w:t>
        </w:r>
      </w:hyperlink>
      <w:r>
        <w:t>]. MinElute PCR purification kit was used to clean up enzymatic reactions instead of SPRI beads. For every 10 samp</w:t>
      </w:r>
      <w:r>
        <w:t xml:space="preserve">les, one library blank (LB; water) and EB were included as negative controls and carried along throughout the whole process till the quality control step. The DNA library was quantified by real-time quantitative PCR (qPCR) in a 25-μl reaction using Maxima </w:t>
      </w:r>
      <w:r>
        <w:t>SYBR green master mix (Thermo Fisher Scientific), to determine the number of indexing cycles. The qPCR reaction was performed at 95 °C for 10 min, and 32 cycles of (95 °C for 30 s, 60 °C for 30 s, 72 °C for 30 s), and included a no-template control.</w:t>
      </w:r>
    </w:p>
    <w:p w14:paraId="576B2AA6" w14:textId="4328F8F9" w:rsidR="00B8295B" w:rsidRDefault="00B52B92">
      <w:pPr>
        <w:spacing w:before="240" w:after="240" w:line="480" w:lineRule="auto"/>
        <w:jc w:val="both"/>
      </w:pPr>
      <w:r>
        <w:t>Dual-i</w:t>
      </w:r>
      <w:r>
        <w:t xml:space="preserve">ndexing PCR amplification of the DNA library was performed in two PCR reactions. Each 50-μl PCR reaction consists of 6 μl DNA library, 5 units AmpliTaq Gold DNA polymerase (Thermo Fisher Scientific), </w:t>
      </w:r>
      <w:r>
        <w:lastRenderedPageBreak/>
        <w:t>1X GeneAmp Gold buffer (Thermo Fisher Scientific), 2.5 m</w:t>
      </w:r>
      <w:r>
        <w:t>M MgCl2, 250 μM of each dNTP, 0.2 μM P7-indexing primer and 0.2 μM P5-indexing primer [</w:t>
      </w:r>
      <w:hyperlink w:anchor="ref38" w:history="1">
        <w:r w:rsidRPr="00C46E98">
          <w:rPr>
            <w:rStyle w:val="Hyperlink"/>
          </w:rPr>
          <w:t>38</w:t>
        </w:r>
      </w:hyperlink>
      <w:r>
        <w:t>]. The PCR reaction was performed at 94 °C for 10 min, 8 - 15 cycles of (94 °C for 30 s, 60 °C for 30 s, 72 °C for 45 s), and 72 °C for 10 min, and included a no-template control. The indexed DNA library, i.e. sequencing library, was purified with AMPure X</w:t>
      </w:r>
      <w:r>
        <w:t>P beads (Beckman Coulter) according to the manufacturer's instructions. Quality of the sequencing library was analysed with High Sensitivity D1000 DNA ScreenTape (Agilent) on the 4200 Tapestation System (Agilent), and the Qubit 1X dsDNA High Sensitivity as</w:t>
      </w:r>
      <w:r>
        <w:t>say (Invitrogen) was used for quantitation of the sequencing library.</w:t>
      </w:r>
    </w:p>
    <w:p w14:paraId="4550007D" w14:textId="77777777" w:rsidR="00B8295B" w:rsidRDefault="00B52B92">
      <w:pPr>
        <w:pStyle w:val="Heading4"/>
        <w:spacing w:after="240"/>
      </w:pPr>
      <w:bookmarkStart w:id="11" w:name="_uynxgepw1m5d" w:colFirst="0" w:colLast="0"/>
      <w:bookmarkEnd w:id="11"/>
      <w:r>
        <w:t>DNA sequencing</w:t>
      </w:r>
    </w:p>
    <w:p w14:paraId="292FA19D" w14:textId="77777777" w:rsidR="00B8295B" w:rsidRDefault="00B52B92">
      <w:pPr>
        <w:spacing w:before="240" w:after="240" w:line="480" w:lineRule="auto"/>
        <w:jc w:val="both"/>
      </w:pPr>
      <w:r>
        <w:t>Dual-indexed sequencing libraries were pooled in equimolar ratios and sequenced either Illumina NovaSeq S4 with v1.5 chemistry and 150 bp paired-end reads or Illumina Nova</w:t>
      </w:r>
      <w:r>
        <w:t>Seq X Plus system, 10B flow cell using XLEAP-SBS sequencing chemistry and 150 bp paired-end reads, at SciLife Labs.</w:t>
      </w:r>
    </w:p>
    <w:p w14:paraId="2357D496" w14:textId="77777777" w:rsidR="00B8295B" w:rsidRDefault="00B8295B">
      <w:pPr>
        <w:spacing w:before="240" w:after="240" w:line="480" w:lineRule="auto"/>
        <w:jc w:val="both"/>
      </w:pPr>
    </w:p>
    <w:p w14:paraId="7B833C14" w14:textId="77777777" w:rsidR="00B8295B" w:rsidRDefault="00B52B92">
      <w:pPr>
        <w:pStyle w:val="Heading3"/>
        <w:spacing w:before="240" w:after="240"/>
      </w:pPr>
      <w:bookmarkStart w:id="12" w:name="_di8lz5ro12d9" w:colFirst="0" w:colLast="0"/>
      <w:bookmarkEnd w:id="12"/>
      <w:r>
        <w:t>References</w:t>
      </w:r>
    </w:p>
    <w:p w14:paraId="1AC98235" w14:textId="669318B4" w:rsidR="00DB7A57" w:rsidRDefault="00B52B92" w:rsidP="00B81C96">
      <w:pPr>
        <w:pStyle w:val="ListParagraph"/>
        <w:numPr>
          <w:ilvl w:val="0"/>
          <w:numId w:val="2"/>
        </w:numPr>
        <w:spacing w:after="0" w:line="480" w:lineRule="auto"/>
        <w:jc w:val="both"/>
      </w:pPr>
      <w:bookmarkStart w:id="13" w:name="ref1"/>
      <w:r>
        <w:t xml:space="preserve">Buckberry </w:t>
      </w:r>
      <w:bookmarkEnd w:id="13"/>
      <w:r>
        <w:t>JL, Chamberlain AT. Age estimation from the auricular surface of the ilium: A revised method. Am J Phys Anthropol. 200</w:t>
      </w:r>
      <w:r>
        <w:t xml:space="preserve">2;119(3): 231-239. </w:t>
      </w:r>
      <w:hyperlink r:id="rId9" w:history="1">
        <w:r w:rsidR="00DB7A57" w:rsidRPr="00053D62">
          <w:rPr>
            <w:rStyle w:val="Hyperlink"/>
          </w:rPr>
          <w:t>https://doi.org/10.1002/ajpa.10130</w:t>
        </w:r>
      </w:hyperlink>
      <w:r>
        <w:t>.</w:t>
      </w:r>
    </w:p>
    <w:p w14:paraId="707ED547" w14:textId="299A03B2" w:rsidR="00DB7A57" w:rsidRDefault="00B52B92" w:rsidP="00B81C96">
      <w:pPr>
        <w:pStyle w:val="ListParagraph"/>
        <w:numPr>
          <w:ilvl w:val="0"/>
          <w:numId w:val="2"/>
        </w:numPr>
        <w:spacing w:line="480" w:lineRule="auto"/>
        <w:jc w:val="both"/>
      </w:pPr>
      <w:bookmarkStart w:id="14" w:name="ref2"/>
      <w:r>
        <w:t xml:space="preserve">Brooks </w:t>
      </w:r>
      <w:bookmarkEnd w:id="14"/>
      <w:r>
        <w:t>S, Suchey JM. Skeletal age determination based on the os pubis: A comparison of the Acsádi-Nemeskéri and Suchey-Brooks methods. Hum Evol. 1990;</w:t>
      </w:r>
      <w:r>
        <w:t xml:space="preserve">5(3): 227-238. </w:t>
      </w:r>
      <w:hyperlink r:id="rId10" w:history="1">
        <w:r w:rsidR="00DB7A57" w:rsidRPr="00053D62">
          <w:rPr>
            <w:rStyle w:val="Hyperlink"/>
          </w:rPr>
          <w:t>https://doi.org/10.1007/BF02437238</w:t>
        </w:r>
      </w:hyperlink>
      <w:r w:rsidRPr="00DB7A57">
        <w:rPr>
          <w:color w:val="222222"/>
        </w:rPr>
        <w:t>.</w:t>
      </w:r>
    </w:p>
    <w:p w14:paraId="4B7020C3" w14:textId="77777777" w:rsidR="00B8295B" w:rsidRDefault="00B52B92" w:rsidP="00B81C96">
      <w:pPr>
        <w:pStyle w:val="ListParagraph"/>
        <w:numPr>
          <w:ilvl w:val="0"/>
          <w:numId w:val="2"/>
        </w:numPr>
        <w:spacing w:line="480" w:lineRule="auto"/>
        <w:jc w:val="both"/>
      </w:pPr>
      <w:r>
        <w:t>Brothwell DR. The relationship of tooth wear to aging. In: Işcan MY, editor. Age markers in the human skeleton. Springfield, IL: Charles C Thomas; 1989. p</w:t>
      </w:r>
      <w:r>
        <w:t>p. 303-318.</w:t>
      </w:r>
    </w:p>
    <w:p w14:paraId="27A5BED2" w14:textId="77777777" w:rsidR="00B8295B" w:rsidRDefault="00B52B92" w:rsidP="00B81C96">
      <w:pPr>
        <w:pStyle w:val="ListParagraph"/>
        <w:numPr>
          <w:ilvl w:val="0"/>
          <w:numId w:val="2"/>
        </w:numPr>
        <w:spacing w:line="480" w:lineRule="auto"/>
        <w:jc w:val="both"/>
      </w:pPr>
      <w:bookmarkStart w:id="15" w:name="ref4"/>
      <w:r>
        <w:lastRenderedPageBreak/>
        <w:t xml:space="preserve">Buikstra </w:t>
      </w:r>
      <w:bookmarkEnd w:id="15"/>
      <w:r>
        <w:t>JE, Ubelaker DH. Standards for data collection from human skeletal remains. Arkansas Archaeological Survey Research Series 44. Fayetteville, Ark.: Arkansas Archaeological Survey; 1994.</w:t>
      </w:r>
    </w:p>
    <w:p w14:paraId="6C7B6979" w14:textId="6A34DD47" w:rsidR="00DB7A57" w:rsidRDefault="00B52B92" w:rsidP="00DB7A57">
      <w:pPr>
        <w:pStyle w:val="ListParagraph"/>
        <w:numPr>
          <w:ilvl w:val="0"/>
          <w:numId w:val="2"/>
        </w:numPr>
        <w:spacing w:line="480" w:lineRule="auto"/>
        <w:jc w:val="both"/>
      </w:pPr>
      <w:bookmarkStart w:id="16" w:name="ref5"/>
      <w:r>
        <w:t xml:space="preserve">Lovejoy </w:t>
      </w:r>
      <w:bookmarkEnd w:id="16"/>
      <w:r>
        <w:t xml:space="preserve">CO, Meindl RS, Pryzbeck TR, Mensforth RP. </w:t>
      </w:r>
      <w:r>
        <w:t xml:space="preserve">Chronological metamorphosis of the auricular surface of the ilium: A new method for the determination of adult skeletal age at death. Am J Phys Anthropol. 1985;68(1): 15-28. </w:t>
      </w:r>
      <w:hyperlink r:id="rId11" w:history="1">
        <w:r w:rsidR="00DB7A57" w:rsidRPr="00053D62">
          <w:rPr>
            <w:rStyle w:val="Hyperlink"/>
          </w:rPr>
          <w:t>https://doi.org/10.1002/ajpa.1330680103</w:t>
        </w:r>
      </w:hyperlink>
    </w:p>
    <w:p w14:paraId="4A394FC7" w14:textId="77777777" w:rsidR="00B8295B" w:rsidRDefault="00B52B92" w:rsidP="00B81C96">
      <w:pPr>
        <w:pStyle w:val="ListParagraph"/>
        <w:numPr>
          <w:ilvl w:val="0"/>
          <w:numId w:val="2"/>
        </w:numPr>
        <w:spacing w:line="480" w:lineRule="auto"/>
        <w:jc w:val="both"/>
      </w:pPr>
      <w:bookmarkStart w:id="17" w:name="ref6"/>
      <w:r>
        <w:t xml:space="preserve">Schaefer </w:t>
      </w:r>
      <w:bookmarkEnd w:id="17"/>
      <w:r>
        <w:t>M, Black S, Scheuer L. Juvenile osteology: A laboratory and field manual. Amsterdam: Academic Press; 2009.</w:t>
      </w:r>
    </w:p>
    <w:p w14:paraId="4024C126" w14:textId="18907664" w:rsidR="00DB7A57" w:rsidRDefault="00B52B92" w:rsidP="00B81C96">
      <w:pPr>
        <w:pStyle w:val="ListParagraph"/>
        <w:numPr>
          <w:ilvl w:val="0"/>
          <w:numId w:val="2"/>
        </w:numPr>
        <w:spacing w:line="480" w:lineRule="auto"/>
        <w:jc w:val="both"/>
      </w:pPr>
      <w:bookmarkStart w:id="18" w:name="ref7"/>
      <w:r>
        <w:t xml:space="preserve">Ferembach </w:t>
      </w:r>
      <w:bookmarkEnd w:id="18"/>
      <w:r>
        <w:t xml:space="preserve">D, Schwindetzky I, Stloukal M. Recommendations for age and sex diagnoses of skeletons. J Hum Evol. 1980;9: 517-549. </w:t>
      </w:r>
      <w:hyperlink r:id="rId12" w:history="1">
        <w:r w:rsidR="00DB7A57" w:rsidRPr="00053D62">
          <w:rPr>
            <w:rStyle w:val="Hyperlink"/>
          </w:rPr>
          <w:t>https://doi.org/10.1016/0047-2484(80)90061-5</w:t>
        </w:r>
      </w:hyperlink>
      <w:r>
        <w:t>.</w:t>
      </w:r>
    </w:p>
    <w:p w14:paraId="0C543747" w14:textId="49348B88" w:rsidR="00DB7A57" w:rsidRDefault="00B52B92" w:rsidP="00B81C96">
      <w:pPr>
        <w:pStyle w:val="ListParagraph"/>
        <w:numPr>
          <w:ilvl w:val="0"/>
          <w:numId w:val="2"/>
        </w:numPr>
        <w:spacing w:line="480" w:lineRule="auto"/>
        <w:jc w:val="both"/>
      </w:pPr>
      <w:bookmarkStart w:id="19" w:name="ref8"/>
      <w:r>
        <w:t xml:space="preserve">Phenice </w:t>
      </w:r>
      <w:bookmarkEnd w:id="19"/>
      <w:r>
        <w:t xml:space="preserve">TW. A newly developed visual method of sexing the os pubis. Am J Phys Anthropol. 1969;30(2): 297-301. </w:t>
      </w:r>
      <w:hyperlink r:id="rId13" w:history="1">
        <w:r w:rsidR="00DB7A57" w:rsidRPr="00053D62">
          <w:rPr>
            <w:rStyle w:val="Hyperlink"/>
          </w:rPr>
          <w:t>https://doi.org/10.1002/ajpa.1330300214</w:t>
        </w:r>
      </w:hyperlink>
      <w:r>
        <w:t>.</w:t>
      </w:r>
    </w:p>
    <w:p w14:paraId="7406B505" w14:textId="0EB730C2" w:rsidR="00DB7A57" w:rsidRDefault="00B52B92" w:rsidP="00B81C96">
      <w:pPr>
        <w:pStyle w:val="ListParagraph"/>
        <w:numPr>
          <w:ilvl w:val="0"/>
          <w:numId w:val="2"/>
        </w:numPr>
        <w:spacing w:line="480" w:lineRule="auto"/>
        <w:jc w:val="both"/>
      </w:pPr>
      <w:bookmarkStart w:id="20" w:name="ref9"/>
      <w:r>
        <w:t xml:space="preserve">Brickley </w:t>
      </w:r>
      <w:bookmarkEnd w:id="20"/>
      <w:r>
        <w:t xml:space="preserve">MB. Cribra orbitalia and porotic hyperostosis: A biological approach to diagnosis. Am J Phys Anthropol. 2018;167(4): 896-902. </w:t>
      </w:r>
      <w:hyperlink r:id="rId14" w:history="1">
        <w:r w:rsidR="00DB7A57" w:rsidRPr="00053D62">
          <w:rPr>
            <w:rStyle w:val="Hyperlink"/>
          </w:rPr>
          <w:t>https://doi.org/10.1002/ajpa.23701</w:t>
        </w:r>
      </w:hyperlink>
    </w:p>
    <w:p w14:paraId="15CFABA7" w14:textId="042AA680" w:rsidR="00DB7A57" w:rsidRDefault="00B52B92" w:rsidP="00B81C96">
      <w:pPr>
        <w:pStyle w:val="ListParagraph"/>
        <w:numPr>
          <w:ilvl w:val="0"/>
          <w:numId w:val="2"/>
        </w:numPr>
        <w:spacing w:line="480" w:lineRule="auto"/>
        <w:jc w:val="both"/>
      </w:pPr>
      <w:bookmarkStart w:id="21" w:name="ref10"/>
      <w:r w:rsidRPr="00DB7A57">
        <w:rPr>
          <w:highlight w:val="white"/>
        </w:rPr>
        <w:t xml:space="preserve">Pilloud </w:t>
      </w:r>
      <w:bookmarkEnd w:id="21"/>
      <w:r w:rsidRPr="00DB7A57">
        <w:rPr>
          <w:highlight w:val="white"/>
        </w:rPr>
        <w:t>MA, Schwitalla AW. Re-evaluating traditional markers of stress in an archaeological s</w:t>
      </w:r>
      <w:r>
        <w:t xml:space="preserve">ample from central California. J Archaeol Sci. 2020;116: 105102. </w:t>
      </w:r>
      <w:hyperlink r:id="rId15" w:history="1">
        <w:r w:rsidR="00DB7A57" w:rsidRPr="00053D62">
          <w:rPr>
            <w:rStyle w:val="Hyperlink"/>
          </w:rPr>
          <w:t>https://doi.org/10.1016/j.jas.2020.105102</w:t>
        </w:r>
      </w:hyperlink>
    </w:p>
    <w:p w14:paraId="7196F538" w14:textId="77777777" w:rsidR="00B8295B" w:rsidRPr="00B81C96" w:rsidRDefault="00B52B92" w:rsidP="00B81C96">
      <w:pPr>
        <w:pStyle w:val="ListParagraph"/>
        <w:numPr>
          <w:ilvl w:val="0"/>
          <w:numId w:val="2"/>
        </w:numPr>
        <w:spacing w:line="480" w:lineRule="auto"/>
        <w:jc w:val="both"/>
        <w:rPr>
          <w:highlight w:val="white"/>
        </w:rPr>
      </w:pPr>
      <w:bookmarkStart w:id="22" w:name="ref11"/>
      <w:r>
        <w:t xml:space="preserve">Jurmain </w:t>
      </w:r>
      <w:bookmarkEnd w:id="22"/>
      <w:r>
        <w:t>RD, Cardoso FA, Henderson C, Villotte S. Bioarchaeology's holy grail: The reconstruction of activity. In: Grauer AL, editor. A companion to paleopathology. Somerset: Wiley-Blackwell; 2011. pp. 531-552.</w:t>
      </w:r>
    </w:p>
    <w:p w14:paraId="4D7F3842" w14:textId="14A4349A" w:rsidR="00DB7A57" w:rsidRDefault="00B52B92" w:rsidP="00B81C96">
      <w:pPr>
        <w:pStyle w:val="ListParagraph"/>
        <w:numPr>
          <w:ilvl w:val="0"/>
          <w:numId w:val="2"/>
        </w:numPr>
        <w:spacing w:line="480" w:lineRule="auto"/>
        <w:jc w:val="both"/>
      </w:pPr>
      <w:bookmarkStart w:id="23" w:name="ref12"/>
      <w:r>
        <w:t xml:space="preserve">Cappella </w:t>
      </w:r>
      <w:bookmarkEnd w:id="23"/>
      <w:r>
        <w:t xml:space="preserve">A, de Boer HH, Cammilli P, De Angelis D, Messina C, Sconfienza LM, et al. Histologic and radiological analysis on bone fractures: Estimation of posttraumatic survival time in skeletal trauma. Forensic Sci Int. 2019;302: 109909. </w:t>
      </w:r>
      <w:hyperlink r:id="rId16" w:history="1">
        <w:r w:rsidR="00DB7A57" w:rsidRPr="00053D62">
          <w:rPr>
            <w:rStyle w:val="Hyperlink"/>
          </w:rPr>
          <w:t>https://doi.org/10.1016/j.forsciint.2019.109909</w:t>
        </w:r>
      </w:hyperlink>
      <w:r>
        <w:t>.</w:t>
      </w:r>
    </w:p>
    <w:p w14:paraId="0B2F48BB" w14:textId="77777777" w:rsidR="00B8295B" w:rsidRDefault="00B52B92" w:rsidP="00B81C96">
      <w:pPr>
        <w:pStyle w:val="ListParagraph"/>
        <w:numPr>
          <w:ilvl w:val="0"/>
          <w:numId w:val="2"/>
        </w:numPr>
        <w:spacing w:line="480" w:lineRule="auto"/>
        <w:jc w:val="both"/>
      </w:pPr>
      <w:bookmarkStart w:id="24" w:name="ref13"/>
      <w:r>
        <w:lastRenderedPageBreak/>
        <w:t xml:space="preserve">Hamblen </w:t>
      </w:r>
      <w:bookmarkEnd w:id="24"/>
      <w:r>
        <w:t>DL, Simpson H. Adam’s outline of fractures: Including joint injuries. 12th ed. Edinburgh: Churchill Livingstone Elsevier; 2007.</w:t>
      </w:r>
    </w:p>
    <w:p w14:paraId="05B174F9" w14:textId="1F6D36A3" w:rsidR="00DB7A57" w:rsidRDefault="00B52B92" w:rsidP="00B81C96">
      <w:pPr>
        <w:pStyle w:val="ListParagraph"/>
        <w:numPr>
          <w:ilvl w:val="0"/>
          <w:numId w:val="2"/>
        </w:numPr>
        <w:spacing w:line="480" w:lineRule="auto"/>
        <w:jc w:val="both"/>
      </w:pPr>
      <w:bookmarkStart w:id="25" w:name="ref14"/>
      <w:r>
        <w:t xml:space="preserve">Lovell </w:t>
      </w:r>
      <w:bookmarkEnd w:id="25"/>
      <w:r>
        <w:t>NC. Trauma analysis in paleo</w:t>
      </w:r>
      <w:r>
        <w:t>pathology. Am J Phys Anthropol</w:t>
      </w:r>
      <w:r w:rsidRPr="00DB7A57">
        <w:rPr>
          <w:i/>
          <w:iCs/>
        </w:rPr>
        <w:t>.</w:t>
      </w:r>
      <w:r>
        <w:t xml:space="preserve"> 1997;104(S25): 139-170. </w:t>
      </w:r>
      <w:hyperlink r:id="rId17" w:history="1">
        <w:r w:rsidR="00DB7A57" w:rsidRPr="00053D62">
          <w:rPr>
            <w:rStyle w:val="Hyperlink"/>
          </w:rPr>
          <w:t>https://doi.org/10.1002/(SICI)1096-8644(1997)25+%3C139::AID-AJPA6%3E3.0.CO;2-%23</w:t>
        </w:r>
      </w:hyperlink>
      <w:r>
        <w:t>.</w:t>
      </w:r>
    </w:p>
    <w:p w14:paraId="12DBD426" w14:textId="1EDF2A7A" w:rsidR="00DB7A57" w:rsidRDefault="00B52B92" w:rsidP="00B81C96">
      <w:pPr>
        <w:pStyle w:val="ListParagraph"/>
        <w:numPr>
          <w:ilvl w:val="0"/>
          <w:numId w:val="2"/>
        </w:numPr>
        <w:spacing w:line="480" w:lineRule="auto"/>
        <w:jc w:val="both"/>
      </w:pPr>
      <w:bookmarkStart w:id="26" w:name="ref15"/>
      <w:r>
        <w:t xml:space="preserve">Redfern </w:t>
      </w:r>
      <w:bookmarkEnd w:id="26"/>
      <w:r>
        <w:t xml:space="preserve">R, Roberts RA. Chapter 9 – Trauma. In: Buikstra JE, editor. Ortner's identification of pathological conditions in human skeletal remains. 3rd ed. Saint Louis: Academic press; 2019. pp. 211-284 </w:t>
      </w:r>
      <w:hyperlink r:id="rId18" w:history="1">
        <w:r w:rsidR="00DB7A57" w:rsidRPr="00053D62">
          <w:rPr>
            <w:rStyle w:val="Hyperlink"/>
          </w:rPr>
          <w:t>https://doi.org/10.1016/B978-0-12-809738-0.00009-0</w:t>
        </w:r>
      </w:hyperlink>
      <w:r>
        <w:t>.</w:t>
      </w:r>
    </w:p>
    <w:p w14:paraId="23B08077" w14:textId="77777777" w:rsidR="00B8295B" w:rsidRDefault="00B52B92" w:rsidP="00B81C96">
      <w:pPr>
        <w:pStyle w:val="ListParagraph"/>
        <w:numPr>
          <w:ilvl w:val="0"/>
          <w:numId w:val="2"/>
        </w:numPr>
        <w:spacing w:line="480" w:lineRule="auto"/>
        <w:jc w:val="both"/>
      </w:pPr>
      <w:bookmarkStart w:id="27" w:name="ref16"/>
      <w:r>
        <w:t xml:space="preserve">Galloway </w:t>
      </w:r>
      <w:bookmarkEnd w:id="27"/>
      <w:r>
        <w:t>A, Zephro L, Wedel VL. Diagnostic criteria for the determination of the timing and fracture mechanism. In: Wedel VL, Galloway A, editors. Broken bones: Anthropological analysis of blunt force</w:t>
      </w:r>
      <w:r>
        <w:t xml:space="preserve"> trauma. 2nd ed. Springfield, IL: Charles C Thomas; 2014. pp. 47-58. </w:t>
      </w:r>
    </w:p>
    <w:p w14:paraId="453D2507" w14:textId="77777777" w:rsidR="00B8295B" w:rsidRDefault="00B52B92" w:rsidP="00B81C96">
      <w:pPr>
        <w:pStyle w:val="ListParagraph"/>
        <w:numPr>
          <w:ilvl w:val="0"/>
          <w:numId w:val="2"/>
        </w:numPr>
        <w:spacing w:line="480" w:lineRule="auto"/>
        <w:jc w:val="both"/>
      </w:pPr>
      <w:bookmarkStart w:id="28" w:name="ref17"/>
      <w:r>
        <w:t xml:space="preserve">Sauer </w:t>
      </w:r>
      <w:bookmarkEnd w:id="28"/>
      <w:r>
        <w:t xml:space="preserve">NJ. The timing of injuries and manner of death: Distinguishing among antemortem, perimortem, and postmortem trauma. In: Reichs KJ, editor. Forensic Osteology. 2nd ed. Springfield, </w:t>
      </w:r>
      <w:r>
        <w:t xml:space="preserve">IL: Charles C Thomas; 1998. pp. 321-332. </w:t>
      </w:r>
    </w:p>
    <w:p w14:paraId="55C2688A" w14:textId="77777777" w:rsidR="00B8295B" w:rsidRDefault="00B52B92" w:rsidP="00B81C96">
      <w:pPr>
        <w:pStyle w:val="ListParagraph"/>
        <w:numPr>
          <w:ilvl w:val="0"/>
          <w:numId w:val="2"/>
        </w:numPr>
        <w:spacing w:line="480" w:lineRule="auto"/>
        <w:jc w:val="both"/>
      </w:pPr>
      <w:bookmarkStart w:id="29" w:name="ref18"/>
      <w:r>
        <w:t xml:space="preserve">Mann </w:t>
      </w:r>
      <w:bookmarkEnd w:id="29"/>
      <w:r>
        <w:t>RW, Hunt DR. Photographic regional atlas of bone disease: A guide to pathologic and normal variation in the human skeleton. Springfield, IL.: Charles C. Thomas; 2013.</w:t>
      </w:r>
    </w:p>
    <w:p w14:paraId="1E315EA9" w14:textId="77777777" w:rsidR="00B8295B" w:rsidRDefault="00B52B92" w:rsidP="00B81C96">
      <w:pPr>
        <w:pStyle w:val="ListParagraph"/>
        <w:numPr>
          <w:ilvl w:val="0"/>
          <w:numId w:val="2"/>
        </w:numPr>
        <w:spacing w:line="480" w:lineRule="auto"/>
        <w:jc w:val="both"/>
      </w:pPr>
      <w:bookmarkStart w:id="30" w:name="ref19"/>
      <w:r w:rsidRPr="00B81C96">
        <w:rPr>
          <w:highlight w:val="white"/>
        </w:rPr>
        <w:t xml:space="preserve">Waldron </w:t>
      </w:r>
      <w:bookmarkEnd w:id="30"/>
      <w:r w:rsidRPr="00B81C96">
        <w:rPr>
          <w:highlight w:val="white"/>
        </w:rPr>
        <w:t>T. Palaeopathology. 2nd ed. Cambri</w:t>
      </w:r>
      <w:r w:rsidRPr="00B81C96">
        <w:rPr>
          <w:highlight w:val="white"/>
        </w:rPr>
        <w:t>dge: Cambridge University Press; 2020.</w:t>
      </w:r>
    </w:p>
    <w:p w14:paraId="6455C7DD" w14:textId="0310C3F4" w:rsidR="00DB7A57" w:rsidRPr="00DB7A57" w:rsidRDefault="00B52B92" w:rsidP="00B81C96">
      <w:pPr>
        <w:pStyle w:val="ListParagraph"/>
        <w:numPr>
          <w:ilvl w:val="0"/>
          <w:numId w:val="2"/>
        </w:numPr>
        <w:spacing w:line="480" w:lineRule="auto"/>
        <w:jc w:val="both"/>
        <w:rPr>
          <w:highlight w:val="white"/>
        </w:rPr>
      </w:pPr>
      <w:bookmarkStart w:id="31" w:name="ref20"/>
      <w:r>
        <w:t xml:space="preserve">Lewis </w:t>
      </w:r>
      <w:bookmarkEnd w:id="31"/>
      <w:r>
        <w:t xml:space="preserve">JE. Identifying sword marks on bone: Criteria for distinguishing between cutmarks made by different classes of bladed weapons. J Archaeol Sci. 2008;35(7): 2001-2008. </w:t>
      </w:r>
      <w:hyperlink r:id="rId19" w:history="1">
        <w:r w:rsidR="00DB7A57" w:rsidRPr="00053D62">
          <w:rPr>
            <w:rStyle w:val="Hyperlink"/>
          </w:rPr>
          <w:t>https://doi.org/10.1016/j.jas.2008.01.016</w:t>
        </w:r>
      </w:hyperlink>
      <w:r>
        <w:t>.</w:t>
      </w:r>
    </w:p>
    <w:p w14:paraId="68473EF2" w14:textId="77777777" w:rsidR="00B8295B" w:rsidRDefault="00B52B92" w:rsidP="00B81C96">
      <w:pPr>
        <w:pStyle w:val="ListParagraph"/>
        <w:numPr>
          <w:ilvl w:val="0"/>
          <w:numId w:val="2"/>
        </w:numPr>
        <w:spacing w:line="480" w:lineRule="auto"/>
        <w:jc w:val="both"/>
      </w:pPr>
      <w:bookmarkStart w:id="32" w:name="ref21"/>
      <w:r w:rsidRPr="00B81C96">
        <w:rPr>
          <w:highlight w:val="white"/>
        </w:rPr>
        <w:t xml:space="preserve">Symes </w:t>
      </w:r>
      <w:bookmarkEnd w:id="32"/>
      <w:r w:rsidRPr="00B81C96">
        <w:rPr>
          <w:highlight w:val="white"/>
        </w:rPr>
        <w:t>SA, L’Abbé E, Chapman EN, Wolff I, Dirkmaat DC. Interpreting traumatic injury from bone in medico-legal investigations. In: Dirkmaat DC, editor. A Companion to Forensic Anthropology. 1st ed. Mal</w:t>
      </w:r>
      <w:r w:rsidRPr="00B81C96">
        <w:rPr>
          <w:highlight w:val="white"/>
        </w:rPr>
        <w:t>den, MA: Wiley-Blackwell; 2012. pp. 340-389.</w:t>
      </w:r>
    </w:p>
    <w:p w14:paraId="1046BB35" w14:textId="77777777" w:rsidR="00B8295B" w:rsidRDefault="00B52B92" w:rsidP="00B81C96">
      <w:pPr>
        <w:pStyle w:val="ListParagraph"/>
        <w:numPr>
          <w:ilvl w:val="0"/>
          <w:numId w:val="2"/>
        </w:numPr>
        <w:spacing w:line="480" w:lineRule="auto"/>
        <w:jc w:val="both"/>
      </w:pPr>
      <w:bookmarkStart w:id="33" w:name="ref22"/>
      <w:r w:rsidRPr="00B81C96">
        <w:rPr>
          <w:highlight w:val="white"/>
        </w:rPr>
        <w:t xml:space="preserve">Wedel </w:t>
      </w:r>
      <w:bookmarkEnd w:id="33"/>
      <w:r w:rsidRPr="00B81C96">
        <w:rPr>
          <w:highlight w:val="white"/>
        </w:rPr>
        <w:t>VL, Galloway A. Broken bones: Anthropological analysis of blunt force trauma. Springfield, IL: Charles C Thomas; 2014.</w:t>
      </w:r>
    </w:p>
    <w:p w14:paraId="0E6BFF64" w14:textId="024A4D8D" w:rsidR="00DB7A57" w:rsidRDefault="00B52B92" w:rsidP="00B81C96">
      <w:pPr>
        <w:pStyle w:val="ListParagraph"/>
        <w:numPr>
          <w:ilvl w:val="0"/>
          <w:numId w:val="2"/>
        </w:numPr>
        <w:spacing w:line="480" w:lineRule="auto"/>
        <w:jc w:val="both"/>
      </w:pPr>
      <w:bookmarkStart w:id="34" w:name="ref23"/>
      <w:r>
        <w:lastRenderedPageBreak/>
        <w:t xml:space="preserve">Judd </w:t>
      </w:r>
      <w:bookmarkEnd w:id="34"/>
      <w:r>
        <w:t xml:space="preserve">M. Ancient injury recidivism: An example from the Kerma period of ancient Nubia. </w:t>
      </w:r>
      <w:r>
        <w:t xml:space="preserve">Int J Osteoarchaeol. 2002;12(2): 89-106.  </w:t>
      </w:r>
      <w:hyperlink r:id="rId20" w:history="1">
        <w:r w:rsidR="00DB7A57" w:rsidRPr="00053D62">
          <w:rPr>
            <w:rStyle w:val="Hyperlink"/>
          </w:rPr>
          <w:t>https://doi.org/10.1002/oa.587</w:t>
        </w:r>
      </w:hyperlink>
      <w:r>
        <w:t>.</w:t>
      </w:r>
    </w:p>
    <w:p w14:paraId="42E2CEA9" w14:textId="360F179A" w:rsidR="00DB7A57" w:rsidRDefault="00B52B92" w:rsidP="00B81C96">
      <w:pPr>
        <w:pStyle w:val="ListParagraph"/>
        <w:numPr>
          <w:ilvl w:val="0"/>
          <w:numId w:val="2"/>
        </w:numPr>
        <w:spacing w:line="480" w:lineRule="auto"/>
        <w:jc w:val="both"/>
      </w:pPr>
      <w:bookmarkStart w:id="35" w:name="ref24"/>
      <w:r>
        <w:t xml:space="preserve">Mant </w:t>
      </w:r>
      <w:bookmarkEnd w:id="35"/>
      <w:r>
        <w:t>M. Time after time: Individuals with multiple fractures and injury recidivists in long eighteenth-century (c. 1666–1837) London. I</w:t>
      </w:r>
      <w:r>
        <w:t xml:space="preserve">nt J Paleopathol. 2019;24: 7-18. </w:t>
      </w:r>
      <w:hyperlink r:id="rId21" w:history="1">
        <w:r w:rsidR="00DB7A57" w:rsidRPr="00053D62">
          <w:rPr>
            <w:rStyle w:val="Hyperlink"/>
          </w:rPr>
          <w:t>https://doi.org/10.1016/j.ijpp.2018.08.003</w:t>
        </w:r>
      </w:hyperlink>
      <w:r>
        <w:t>.</w:t>
      </w:r>
    </w:p>
    <w:p w14:paraId="08B91589" w14:textId="441618FF" w:rsidR="00DB7A57" w:rsidRDefault="00B52B92" w:rsidP="00B81C96">
      <w:pPr>
        <w:pStyle w:val="ListParagraph"/>
        <w:numPr>
          <w:ilvl w:val="0"/>
          <w:numId w:val="2"/>
        </w:numPr>
        <w:spacing w:after="0" w:line="480" w:lineRule="auto"/>
        <w:jc w:val="both"/>
      </w:pPr>
      <w:bookmarkStart w:id="36" w:name="ref25"/>
      <w:r>
        <w:t xml:space="preserve">Redfern </w:t>
      </w:r>
      <w:bookmarkEnd w:id="36"/>
      <w:r>
        <w:t>RC, Judd MA, Dewitte SN. Multiple injury and health in past societies: An analysis of concepts and approaches, a</w:t>
      </w:r>
      <w:r>
        <w:t xml:space="preserve">nd insights from a multi-period study. Int J Osteoarchaeol. 2017;27: 418-429. </w:t>
      </w:r>
      <w:hyperlink r:id="rId22" w:history="1">
        <w:r w:rsidR="00DB7A57" w:rsidRPr="00DB7A57">
          <w:rPr>
            <w:rStyle w:val="Hyperlink"/>
            <w:highlight w:val="white"/>
          </w:rPr>
          <w:t>https://doi.org/10.1002/oa.2565</w:t>
        </w:r>
      </w:hyperlink>
      <w:r>
        <w:t>.</w:t>
      </w:r>
    </w:p>
    <w:p w14:paraId="21E83B14" w14:textId="6C40749E" w:rsidR="00DB7A57" w:rsidRDefault="00B52B92" w:rsidP="00B81C96">
      <w:pPr>
        <w:pStyle w:val="ListParagraph"/>
        <w:numPr>
          <w:ilvl w:val="0"/>
          <w:numId w:val="2"/>
        </w:numPr>
        <w:spacing w:after="0" w:line="480" w:lineRule="auto"/>
        <w:jc w:val="both"/>
      </w:pPr>
      <w:bookmarkStart w:id="37" w:name="ref26"/>
      <w:r>
        <w:t>Biehler</w:t>
      </w:r>
      <w:bookmarkEnd w:id="37"/>
      <w:r>
        <w:t>-Gomez L, Moro C, Mattia M, Mazzarelli D, Cappella A, del Bo B, et al. Multiple injuries a</w:t>
      </w:r>
      <w:r>
        <w:t xml:space="preserve">nd injury recidivism in Milan over 2,000 years. J Archaeol Sci Rep. 2023;49: 103945. </w:t>
      </w:r>
      <w:hyperlink r:id="rId23" w:history="1">
        <w:r w:rsidR="00DB7A57" w:rsidRPr="00053D62">
          <w:rPr>
            <w:rStyle w:val="Hyperlink"/>
          </w:rPr>
          <w:t>https://doi.org/10.1016/j.jasrep.2023.103945</w:t>
        </w:r>
      </w:hyperlink>
      <w:r>
        <w:t>.</w:t>
      </w:r>
    </w:p>
    <w:p w14:paraId="22391866" w14:textId="77777777" w:rsidR="00B8295B" w:rsidRDefault="00B52B92" w:rsidP="00B81C96">
      <w:pPr>
        <w:pStyle w:val="ListParagraph"/>
        <w:numPr>
          <w:ilvl w:val="0"/>
          <w:numId w:val="2"/>
        </w:numPr>
        <w:spacing w:before="240" w:after="240" w:line="480" w:lineRule="auto"/>
        <w:jc w:val="both"/>
      </w:pPr>
      <w:bookmarkStart w:id="38" w:name="ref27"/>
      <w:r>
        <w:t xml:space="preserve">Dunbar </w:t>
      </w:r>
      <w:bookmarkEnd w:id="38"/>
      <w:r>
        <w:t>E, Cook G T, NaysmithP, Tripney B G  &amp; Xu S. AMS 14C Dati</w:t>
      </w:r>
      <w:r>
        <w:t>ng at the Scottish Universities Environmental Research Centre (SUERC) Radiocarbon Dating Laboratory. Radiocarbon, Available on CJO 2016 doi:10.1017/RDC.2015.2</w:t>
      </w:r>
    </w:p>
    <w:p w14:paraId="0369C671" w14:textId="77777777" w:rsidR="00B8295B" w:rsidRDefault="00B52B92" w:rsidP="00B81C96">
      <w:pPr>
        <w:pStyle w:val="ListParagraph"/>
        <w:numPr>
          <w:ilvl w:val="0"/>
          <w:numId w:val="2"/>
        </w:numPr>
        <w:spacing w:before="240" w:after="240" w:line="480" w:lineRule="auto"/>
        <w:jc w:val="both"/>
      </w:pPr>
      <w:bookmarkStart w:id="39" w:name="ref28"/>
      <w:r>
        <w:t xml:space="preserve">Bolander </w:t>
      </w:r>
      <w:bookmarkEnd w:id="39"/>
      <w:r>
        <w:t xml:space="preserve">A, Söderberg B (eds). Hjärup 7:1 och 22:1: Järnåldersboplats och senneolitiskt gravfält </w:t>
      </w:r>
      <w:r>
        <w:t>– Del I. Rapport 2019:33. Arkeologisk undersökning 2017. Del I – Bakgrund, genomförande, tolkning och utvärdering. Skåne, Staffanstorps kommun, Uppåkra socken, Hjärup 7:1 och 22:1, fornlämning Uppåkra 37. Stockholm: Arkeologerna, Statens historiska museer;</w:t>
      </w:r>
      <w:r>
        <w:t xml:space="preserve"> 2019.</w:t>
      </w:r>
    </w:p>
    <w:p w14:paraId="0BEE982C" w14:textId="77777777" w:rsidR="00B8295B" w:rsidRDefault="00B52B92" w:rsidP="00B81C96">
      <w:pPr>
        <w:pStyle w:val="ListParagraph"/>
        <w:numPr>
          <w:ilvl w:val="0"/>
          <w:numId w:val="2"/>
        </w:numPr>
        <w:spacing w:before="240" w:after="240" w:line="480" w:lineRule="auto"/>
        <w:jc w:val="both"/>
      </w:pPr>
      <w:bookmarkStart w:id="40" w:name="ref29"/>
      <w:r>
        <w:t xml:space="preserve">Christensen </w:t>
      </w:r>
      <w:bookmarkEnd w:id="40"/>
      <w:r>
        <w:t xml:space="preserve">T. Lejre bag myten: De arkæologiske udgravninger. Højbjerg: Jysk Arkæologisk Selskab for the Roskilde Museum; 2015. </w:t>
      </w:r>
    </w:p>
    <w:p w14:paraId="5B508F86" w14:textId="77777777" w:rsidR="00B8295B" w:rsidRDefault="00B52B92" w:rsidP="00B81C96">
      <w:pPr>
        <w:pStyle w:val="ListParagraph"/>
        <w:numPr>
          <w:ilvl w:val="0"/>
          <w:numId w:val="2"/>
        </w:numPr>
        <w:spacing w:before="240" w:after="240" w:line="480" w:lineRule="auto"/>
        <w:jc w:val="both"/>
      </w:pPr>
      <w:bookmarkStart w:id="41" w:name="ref30"/>
      <w:r>
        <w:t xml:space="preserve">Larsson </w:t>
      </w:r>
      <w:bookmarkEnd w:id="41"/>
      <w:r>
        <w:t>L. Folk, fä och fynd. Acta Archaeologica Lundensia. Series in 8° 64. Lund: Institutionen för arkeologi och antik</w:t>
      </w:r>
      <w:r>
        <w:t xml:space="preserve">ens historia, Lunds Universitet; 2013. </w:t>
      </w:r>
    </w:p>
    <w:p w14:paraId="3C9EE2B8" w14:textId="77777777" w:rsidR="00B8295B" w:rsidRDefault="00B52B92" w:rsidP="00B81C96">
      <w:pPr>
        <w:pStyle w:val="ListParagraph"/>
        <w:numPr>
          <w:ilvl w:val="0"/>
          <w:numId w:val="2"/>
        </w:numPr>
        <w:spacing w:before="240" w:after="240" w:line="480" w:lineRule="auto"/>
        <w:jc w:val="both"/>
      </w:pPr>
      <w:bookmarkStart w:id="42" w:name="ref31"/>
      <w:r>
        <w:t xml:space="preserve">Söderberg </w:t>
      </w:r>
      <w:bookmarkEnd w:id="42"/>
      <w:r>
        <w:t xml:space="preserve">B. Stanstorp 5:1 och 6:1 Boplats och offerplats från yngre järnålder – del I: Rapport 2018:137. Arkeologisk undersökning 2016. Del I – Bakgrund, genomförande, tolkning och </w:t>
      </w:r>
      <w:r>
        <w:lastRenderedPageBreak/>
        <w:t>utvärdering. Skåne, Staffan</w:t>
      </w:r>
      <w:r>
        <w:t>storps kommun, Nevishögs socken, Stanstorp 5:1 och 6:1, fornlämning Nevishög 41. Stockholm: Arkeologerna, Statens Historiska Museer; 2018.</w:t>
      </w:r>
    </w:p>
    <w:p w14:paraId="04749ACA" w14:textId="298986C7" w:rsidR="00DB7A57" w:rsidRDefault="00B52B92" w:rsidP="00B81C96">
      <w:pPr>
        <w:pStyle w:val="ListParagraph"/>
        <w:numPr>
          <w:ilvl w:val="0"/>
          <w:numId w:val="2"/>
        </w:numPr>
        <w:spacing w:before="240" w:after="240" w:line="480" w:lineRule="auto"/>
        <w:jc w:val="both"/>
      </w:pPr>
      <w:bookmarkStart w:id="43" w:name="ref32"/>
      <w:r>
        <w:t xml:space="preserve">Bronk </w:t>
      </w:r>
      <w:bookmarkEnd w:id="43"/>
      <w:r>
        <w:t xml:space="preserve">Ramsey. C. 2021. Oxcal 4.4.4 calibration programme. </w:t>
      </w:r>
      <w:hyperlink r:id="rId24" w:history="1">
        <w:r w:rsidR="00DB7A57" w:rsidRPr="00053D62">
          <w:rPr>
            <w:rStyle w:val="Hyperlink"/>
          </w:rPr>
          <w:t>https://c14.arch.ox.ac.uk/oxcal/OxCal.html</w:t>
        </w:r>
      </w:hyperlink>
    </w:p>
    <w:p w14:paraId="7AB46D8C" w14:textId="77777777" w:rsidR="00B8295B" w:rsidRDefault="00B52B92" w:rsidP="00B81C96">
      <w:pPr>
        <w:pStyle w:val="ListParagraph"/>
        <w:numPr>
          <w:ilvl w:val="0"/>
          <w:numId w:val="2"/>
        </w:numPr>
        <w:spacing w:before="240" w:after="240" w:line="480" w:lineRule="auto"/>
        <w:jc w:val="both"/>
      </w:pPr>
      <w:bookmarkStart w:id="44" w:name="ref33"/>
      <w:r>
        <w:t xml:space="preserve">Fulton </w:t>
      </w:r>
      <w:bookmarkEnd w:id="44"/>
      <w:r>
        <w:t xml:space="preserve">TL, Shapiro B. Setting up an Ancient DNA Laboratory. Methods Mol Biol. 2019;1963: 1-13. </w:t>
      </w:r>
      <w:hyperlink r:id="rId25">
        <w:r w:rsidR="00B8295B" w:rsidRPr="00B81C96">
          <w:rPr>
            <w:rFonts w:ascii="Roboto" w:eastAsia="Roboto" w:hAnsi="Roboto" w:cs="Roboto"/>
            <w:color w:val="0B57D0"/>
            <w:sz w:val="21"/>
            <w:szCs w:val="21"/>
          </w:rPr>
          <w:t>https://link.springer.com/protocol/10.1007/978-1-4939-9176-1_1</w:t>
        </w:r>
      </w:hyperlink>
    </w:p>
    <w:p w14:paraId="6BB55688" w14:textId="51E6ACFA" w:rsidR="00DB7A57" w:rsidRDefault="00B52B92" w:rsidP="00B81C96">
      <w:pPr>
        <w:pStyle w:val="ListParagraph"/>
        <w:numPr>
          <w:ilvl w:val="0"/>
          <w:numId w:val="2"/>
        </w:numPr>
        <w:spacing w:before="240" w:after="240" w:line="480" w:lineRule="auto"/>
        <w:jc w:val="both"/>
      </w:pPr>
      <w:bookmarkStart w:id="45" w:name="ref34"/>
      <w:r>
        <w:t xml:space="preserve">Svensson </w:t>
      </w:r>
      <w:bookmarkEnd w:id="45"/>
      <w:r>
        <w:t xml:space="preserve">E, Günther T, Hoischen A, Hervella M, Munters AR, Ioana M, et al. Genome of Peştera Muierii Skull Shows High Diversity and Low Mutational Load in Pre-Glacial Europe. Curr Biol. 2021;31(14): 2973–2983.e9. </w:t>
      </w:r>
      <w:hyperlink r:id="rId26" w:history="1">
        <w:r w:rsidR="00DB7A57" w:rsidRPr="00053D62">
          <w:rPr>
            <w:rStyle w:val="Hyperlink"/>
          </w:rPr>
          <w:t>https://doi.org/10.1016/j.cub.2021.04.045</w:t>
        </w:r>
      </w:hyperlink>
      <w:r>
        <w:t>.</w:t>
      </w:r>
    </w:p>
    <w:p w14:paraId="61F091E1" w14:textId="5C6F75D6" w:rsidR="00DB7A57" w:rsidRDefault="00B52B92" w:rsidP="00B81C96">
      <w:pPr>
        <w:pStyle w:val="ListParagraph"/>
        <w:numPr>
          <w:ilvl w:val="0"/>
          <w:numId w:val="2"/>
        </w:numPr>
        <w:spacing w:before="240" w:after="240" w:line="480" w:lineRule="auto"/>
        <w:jc w:val="both"/>
      </w:pPr>
      <w:bookmarkStart w:id="46" w:name="ref35"/>
      <w:r w:rsidRPr="00DB7A57">
        <w:rPr>
          <w:highlight w:val="white"/>
        </w:rPr>
        <w:t xml:space="preserve">Yang </w:t>
      </w:r>
      <w:bookmarkEnd w:id="46"/>
      <w:r w:rsidRPr="00DB7A57">
        <w:rPr>
          <w:highlight w:val="white"/>
        </w:rPr>
        <w:t xml:space="preserve">DY, Eng B, Waye JS, Dudar JC, Saunders SR. Technical Note: Improved DNA Extraction from Ancient Bones Using Silica-Based Spin Columns. Am J Phys Anthropol. 1998;105(4):539-543. </w:t>
      </w:r>
      <w:hyperlink r:id="rId27" w:history="1">
        <w:r w:rsidR="00DB7A57" w:rsidRPr="00DB7A57">
          <w:rPr>
            <w:rStyle w:val="Hyperlink"/>
            <w:highlight w:val="white"/>
          </w:rPr>
          <w:t>https://doi.org/10.1002/(SICI)1096-8644(199804)105:4&lt;539::AID-AJPA10&gt;3.0.CO;2-1</w:t>
        </w:r>
      </w:hyperlink>
      <w:r w:rsidRPr="00DB7A57">
        <w:rPr>
          <w:highlight w:val="white"/>
        </w:rPr>
        <w:t>.</w:t>
      </w:r>
    </w:p>
    <w:p w14:paraId="3DDA97B6" w14:textId="77777777" w:rsidR="00B8295B" w:rsidRDefault="00B52B92" w:rsidP="00B81C96">
      <w:pPr>
        <w:pStyle w:val="ListParagraph"/>
        <w:numPr>
          <w:ilvl w:val="0"/>
          <w:numId w:val="2"/>
        </w:numPr>
        <w:spacing w:before="240" w:after="240" w:line="480" w:lineRule="auto"/>
        <w:jc w:val="both"/>
      </w:pPr>
      <w:bookmarkStart w:id="47" w:name="ref"/>
      <w:bookmarkStart w:id="48" w:name="ref36"/>
      <w:r>
        <w:t xml:space="preserve">Schroeder </w:t>
      </w:r>
      <w:bookmarkEnd w:id="47"/>
      <w:bookmarkEnd w:id="48"/>
      <w:r>
        <w:t>H, et al. 2019. Pretreatment: Improving Endogenous Ancient DNA Yields Using a Simple Enzymatic Predigestion Step. Methods in Molecular Biology ,</w:t>
      </w:r>
      <w:r>
        <w:t xml:space="preserve"> vol. 1963, pp. 21–24.</w:t>
      </w:r>
    </w:p>
    <w:p w14:paraId="484EA303" w14:textId="4901F5A5" w:rsidR="00DB7A57" w:rsidRDefault="00B52B92" w:rsidP="00B81C96">
      <w:pPr>
        <w:pStyle w:val="ListParagraph"/>
        <w:numPr>
          <w:ilvl w:val="0"/>
          <w:numId w:val="2"/>
        </w:numPr>
        <w:spacing w:before="240" w:after="240" w:line="480" w:lineRule="auto"/>
        <w:jc w:val="both"/>
      </w:pPr>
      <w:bookmarkStart w:id="49" w:name="ref37"/>
      <w:r>
        <w:t xml:space="preserve">Meyer </w:t>
      </w:r>
      <w:bookmarkEnd w:id="49"/>
      <w:r>
        <w:t xml:space="preserve">M, Kircher M. Illumina sequencing library preparation for highly multiplexed target capture and sequencing. Cold Spring Harb Protoc. 2010;2010(6): </w:t>
      </w:r>
      <w:r w:rsidRPr="00DB7A57">
        <w:rPr>
          <w:highlight w:val="white"/>
        </w:rPr>
        <w:t>pdb.prot5448</w:t>
      </w:r>
      <w:r>
        <w:t xml:space="preserve">. </w:t>
      </w:r>
      <w:hyperlink r:id="rId28" w:history="1">
        <w:r w:rsidR="00DB7A57" w:rsidRPr="00053D62">
          <w:rPr>
            <w:rStyle w:val="Hyperlink"/>
          </w:rPr>
          <w:t>https://doi.org/10.1101/pdb.prot5448</w:t>
        </w:r>
      </w:hyperlink>
      <w:r>
        <w:t>.</w:t>
      </w:r>
    </w:p>
    <w:p w14:paraId="0951F0FB" w14:textId="1AEA6EC8" w:rsidR="00B8295B" w:rsidRDefault="00B52B92" w:rsidP="00B81C96">
      <w:pPr>
        <w:pStyle w:val="ListParagraph"/>
        <w:numPr>
          <w:ilvl w:val="0"/>
          <w:numId w:val="2"/>
        </w:numPr>
        <w:spacing w:before="240" w:after="240" w:line="480" w:lineRule="auto"/>
        <w:jc w:val="both"/>
      </w:pPr>
      <w:bookmarkStart w:id="50" w:name="ref38"/>
      <w:r>
        <w:t xml:space="preserve">Kircher </w:t>
      </w:r>
      <w:bookmarkEnd w:id="50"/>
      <w:r>
        <w:t xml:space="preserve">M, Sawyer S, Meyer M. Double indexing overcomes inaccuracies in multiplex sequencing on the Illumina platform. Nucleic Acids Res. 2012;40(1): E3. </w:t>
      </w:r>
      <w:hyperlink r:id="rId29" w:history="1">
        <w:r w:rsidR="00DB7A57" w:rsidRPr="00053D62">
          <w:rPr>
            <w:rStyle w:val="Hyperlink"/>
          </w:rPr>
          <w:t>https://doi.org/10.1093/nar/gkr771</w:t>
        </w:r>
      </w:hyperlink>
      <w:r>
        <w:t>.</w:t>
      </w:r>
    </w:p>
    <w:p w14:paraId="1D69332C" w14:textId="77777777" w:rsidR="00DB7A57" w:rsidRDefault="00DB7A57" w:rsidP="00DB7A57">
      <w:pPr>
        <w:pStyle w:val="ListParagraph"/>
        <w:spacing w:before="240" w:after="240" w:line="480" w:lineRule="auto"/>
        <w:jc w:val="both"/>
      </w:pPr>
    </w:p>
    <w:sectPr w:rsidR="00DB7A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25BDD" w14:textId="77777777" w:rsidR="00B52B92" w:rsidRDefault="00B52B92">
      <w:pPr>
        <w:spacing w:after="0" w:line="240" w:lineRule="auto"/>
      </w:pPr>
      <w:r>
        <w:separator/>
      </w:r>
    </w:p>
  </w:endnote>
  <w:endnote w:type="continuationSeparator" w:id="0">
    <w:p w14:paraId="2A7CFCCA" w14:textId="77777777" w:rsidR="00B52B92" w:rsidRDefault="00B5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FE104198-6EC9-4E33-9297-7F1CCA7BF8B2}"/>
    <w:embedBold r:id="rId2" w:fontKey="{FF8C3B04-44B9-4888-B3E3-66C09463D8EF}"/>
    <w:embedItalic r:id="rId3" w:fontKey="{10EA324C-C86B-418E-A047-ACEF4A7D9E8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FD334F9C-ABB2-4745-9D89-D456B45502F3}"/>
  </w:font>
  <w:font w:name="Roboto">
    <w:charset w:val="00"/>
    <w:family w:val="auto"/>
    <w:pitch w:val="variable"/>
    <w:sig w:usb0="E0000AFF" w:usb1="5000217F" w:usb2="00000021" w:usb3="00000000" w:csb0="0000019F" w:csb1="00000000"/>
    <w:embedRegular r:id="rId5" w:fontKey="{1D62E8AD-2A4D-4E27-BC27-1CB050D298F9}"/>
  </w:font>
  <w:font w:name="Cambria">
    <w:panose1 w:val="02040503050406030204"/>
    <w:charset w:val="00"/>
    <w:family w:val="roman"/>
    <w:pitch w:val="variable"/>
    <w:sig w:usb0="E00006FF" w:usb1="420024FF" w:usb2="02000000" w:usb3="00000000" w:csb0="0000019F" w:csb1="00000000"/>
    <w:embedRegular r:id="rId6" w:fontKey="{29869E6E-AE51-4D0E-9581-15269D0E8DA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16B02" w14:textId="77777777" w:rsidR="00B8295B" w:rsidRDefault="00B8295B">
    <w:pPr>
      <w:spacing w:after="0" w:line="276" w:lineRule="auto"/>
      <w:jc w:val="both"/>
    </w:pPr>
  </w:p>
  <w:p w14:paraId="4E72EA7A" w14:textId="3F9CD4C6" w:rsidR="00B8295B" w:rsidRDefault="00B52B92">
    <w:pPr>
      <w:jc w:val="right"/>
    </w:pPr>
    <w:r>
      <w:fldChar w:fldCharType="begin"/>
    </w:r>
    <w:r>
      <w:instrText>PAGE</w:instrText>
    </w:r>
    <w:r>
      <w:fldChar w:fldCharType="separate"/>
    </w:r>
    <w:r w:rsidR="00BC44D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3957D" w14:textId="77777777" w:rsidR="00B52B92" w:rsidRDefault="00B52B92">
      <w:pPr>
        <w:spacing w:after="0" w:line="240" w:lineRule="auto"/>
      </w:pPr>
      <w:r>
        <w:separator/>
      </w:r>
    </w:p>
  </w:footnote>
  <w:footnote w:type="continuationSeparator" w:id="0">
    <w:p w14:paraId="2BECE647" w14:textId="77777777" w:rsidR="00B52B92" w:rsidRDefault="00B52B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A0D65"/>
    <w:multiLevelType w:val="multilevel"/>
    <w:tmpl w:val="32680564"/>
    <w:lvl w:ilvl="0">
      <w:start w:val="1"/>
      <w:numFmt w:val="decimal"/>
      <w:lvlText w:val="%1."/>
      <w:lvlJc w:val="left"/>
      <w:pPr>
        <w:ind w:left="720" w:hanging="360"/>
      </w:pPr>
      <w:rPr>
        <w:rFonts w:ascii="Calibri" w:eastAsia="Calibri" w:hAnsi="Calibri" w:cs="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F3A275C"/>
    <w:multiLevelType w:val="multilevel"/>
    <w:tmpl w:val="32680564"/>
    <w:lvl w:ilvl="0">
      <w:start w:val="1"/>
      <w:numFmt w:val="decimal"/>
      <w:lvlText w:val="%1."/>
      <w:lvlJc w:val="left"/>
      <w:pPr>
        <w:ind w:left="720" w:hanging="360"/>
      </w:pPr>
      <w:rPr>
        <w:rFonts w:ascii="Calibri" w:eastAsia="Calibri" w:hAnsi="Calibri" w:cs="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95B"/>
    <w:rsid w:val="000560EE"/>
    <w:rsid w:val="000B4536"/>
    <w:rsid w:val="00230526"/>
    <w:rsid w:val="002D18BA"/>
    <w:rsid w:val="003B78DE"/>
    <w:rsid w:val="00434DAB"/>
    <w:rsid w:val="008A6A7F"/>
    <w:rsid w:val="00966BB6"/>
    <w:rsid w:val="009E4A82"/>
    <w:rsid w:val="00B52B92"/>
    <w:rsid w:val="00B81C96"/>
    <w:rsid w:val="00B8295B"/>
    <w:rsid w:val="00B82E3F"/>
    <w:rsid w:val="00BC44D4"/>
    <w:rsid w:val="00C46E98"/>
    <w:rsid w:val="00C57FC0"/>
    <w:rsid w:val="00D16AF3"/>
    <w:rsid w:val="00DB7A57"/>
    <w:rsid w:val="00E26548"/>
    <w:rsid w:val="00F9463C"/>
    <w:rsid w:val="00FA4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7740"/>
  <w15:docId w15:val="{4133298B-2936-7245-9D4E-E25296FB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after="220" w:line="480" w:lineRule="auto"/>
      <w:jc w:val="both"/>
      <w:outlineLvl w:val="2"/>
    </w:pPr>
    <w:rPr>
      <w:i/>
      <w:iCs/>
      <w:sz w:val="28"/>
      <w:szCs w:val="28"/>
    </w:rPr>
  </w:style>
  <w:style w:type="paragraph" w:styleId="Heading4">
    <w:name w:val="heading 4"/>
    <w:basedOn w:val="Normal"/>
    <w:next w:val="Normal"/>
    <w:uiPriority w:val="9"/>
    <w:unhideWhenUsed/>
    <w:qFormat/>
    <w:pPr>
      <w:keepNext/>
      <w:keepLines/>
      <w:spacing w:before="240" w:after="0" w:line="480" w:lineRule="auto"/>
      <w:jc w:val="both"/>
      <w:outlineLvl w:val="3"/>
    </w:pPr>
    <w:rPr>
      <w:i/>
      <w:i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Revision">
    <w:name w:val="Revision"/>
    <w:hidden/>
    <w:uiPriority w:val="99"/>
    <w:semiHidden/>
    <w:rsid w:val="00B82E3F"/>
    <w:pPr>
      <w:spacing w:after="0" w:line="240" w:lineRule="auto"/>
    </w:pPr>
  </w:style>
  <w:style w:type="paragraph" w:styleId="ListParagraph">
    <w:name w:val="List Paragraph"/>
    <w:basedOn w:val="Normal"/>
    <w:uiPriority w:val="34"/>
    <w:qFormat/>
    <w:rsid w:val="00B81C96"/>
    <w:pPr>
      <w:ind w:left="720"/>
      <w:contextualSpacing/>
    </w:pPr>
  </w:style>
  <w:style w:type="character" w:styleId="Hyperlink">
    <w:name w:val="Hyperlink"/>
    <w:basedOn w:val="DefaultParagraphFont"/>
    <w:uiPriority w:val="99"/>
    <w:unhideWhenUsed/>
    <w:rsid w:val="00B81C96"/>
    <w:rPr>
      <w:color w:val="0000FF" w:themeColor="hyperlink"/>
      <w:u w:val="single"/>
    </w:rPr>
  </w:style>
  <w:style w:type="character" w:customStyle="1" w:styleId="UnresolvedMention">
    <w:name w:val="Unresolved Mention"/>
    <w:basedOn w:val="DefaultParagraphFont"/>
    <w:uiPriority w:val="99"/>
    <w:semiHidden/>
    <w:unhideWhenUsed/>
    <w:rsid w:val="00B81C96"/>
    <w:rPr>
      <w:color w:val="605E5C"/>
      <w:shd w:val="clear" w:color="auto" w:fill="E1DFDD"/>
    </w:rPr>
  </w:style>
  <w:style w:type="character" w:styleId="FollowedHyperlink">
    <w:name w:val="FollowedHyperlink"/>
    <w:basedOn w:val="DefaultParagraphFont"/>
    <w:uiPriority w:val="99"/>
    <w:semiHidden/>
    <w:unhideWhenUsed/>
    <w:rsid w:val="002D18BA"/>
    <w:rPr>
      <w:color w:val="800080" w:themeColor="followedHyperlink"/>
      <w:u w:val="single"/>
    </w:rPr>
  </w:style>
  <w:style w:type="paragraph" w:styleId="Header">
    <w:name w:val="header"/>
    <w:basedOn w:val="Normal"/>
    <w:link w:val="HeaderChar"/>
    <w:uiPriority w:val="99"/>
    <w:unhideWhenUsed/>
    <w:rsid w:val="002D18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8BA"/>
  </w:style>
  <w:style w:type="paragraph" w:styleId="Footer">
    <w:name w:val="footer"/>
    <w:basedOn w:val="Normal"/>
    <w:link w:val="FooterChar"/>
    <w:uiPriority w:val="99"/>
    <w:unhideWhenUsed/>
    <w:rsid w:val="002D18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02/ajpa.1330300214" TargetMode="External"/><Relationship Id="rId18" Type="http://schemas.openxmlformats.org/officeDocument/2006/relationships/hyperlink" Target="https://doi.org/10.1016/B978-0-12-809738-0.00009-0" TargetMode="External"/><Relationship Id="rId26" Type="http://schemas.openxmlformats.org/officeDocument/2006/relationships/hyperlink" Target="https://doi.org/10.1016/j.cub.2021.04.045" TargetMode="External"/><Relationship Id="rId3" Type="http://schemas.openxmlformats.org/officeDocument/2006/relationships/styles" Target="styles.xml"/><Relationship Id="rId21" Type="http://schemas.openxmlformats.org/officeDocument/2006/relationships/hyperlink" Target="https://doi.org/10.1016/j.ijpp.2018.08.003" TargetMode="External"/><Relationship Id="rId7" Type="http://schemas.openxmlformats.org/officeDocument/2006/relationships/endnotes" Target="endnotes.xml"/><Relationship Id="rId12" Type="http://schemas.openxmlformats.org/officeDocument/2006/relationships/hyperlink" Target="https://doi.org/10.1016/0047-2484(80)90061-5" TargetMode="External"/><Relationship Id="rId17" Type="http://schemas.openxmlformats.org/officeDocument/2006/relationships/hyperlink" Target="https://doi.org/10.1002/(SICI)1096-8644(1997)25+%3C139::AID-AJPA6%3E3.0.CO;2-%23" TargetMode="External"/><Relationship Id="rId25" Type="http://schemas.openxmlformats.org/officeDocument/2006/relationships/hyperlink" Target="https://link.springer.com/protocol/10.1007/978-1-4939-9176-1_1" TargetMode="External"/><Relationship Id="rId2" Type="http://schemas.openxmlformats.org/officeDocument/2006/relationships/numbering" Target="numbering.xml"/><Relationship Id="rId16" Type="http://schemas.openxmlformats.org/officeDocument/2006/relationships/hyperlink" Target="https://doi.org/10.1016/j.forsciint.2019.109909" TargetMode="External"/><Relationship Id="rId20" Type="http://schemas.openxmlformats.org/officeDocument/2006/relationships/hyperlink" Target="https://doi.org/10.1002/oa.587" TargetMode="External"/><Relationship Id="rId29" Type="http://schemas.openxmlformats.org/officeDocument/2006/relationships/hyperlink" Target="https://doi.org/10.1093/nar/gkr7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ajpa.1330680103" TargetMode="External"/><Relationship Id="rId24" Type="http://schemas.openxmlformats.org/officeDocument/2006/relationships/hyperlink" Target="https://c14.arch.ox.ac.uk/oxcal/OxCal.html" TargetMode="External"/><Relationship Id="rId5" Type="http://schemas.openxmlformats.org/officeDocument/2006/relationships/webSettings" Target="webSettings.xml"/><Relationship Id="rId15" Type="http://schemas.openxmlformats.org/officeDocument/2006/relationships/hyperlink" Target="https://doi.org/10.1016/j.jas.2020.105102" TargetMode="External"/><Relationship Id="rId23" Type="http://schemas.openxmlformats.org/officeDocument/2006/relationships/hyperlink" Target="https://doi.org/10.1016/j.jasrep.2023.103945" TargetMode="External"/><Relationship Id="rId28" Type="http://schemas.openxmlformats.org/officeDocument/2006/relationships/hyperlink" Target="https://doi.org/10.1101/pdb.prot5448" TargetMode="External"/><Relationship Id="rId10" Type="http://schemas.openxmlformats.org/officeDocument/2006/relationships/hyperlink" Target="https://doi.org/10.1007/BF02437238" TargetMode="External"/><Relationship Id="rId19" Type="http://schemas.openxmlformats.org/officeDocument/2006/relationships/hyperlink" Target="https://doi.org/10.1016/j.jas.2008.01.0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02/ajpa.10130" TargetMode="External"/><Relationship Id="rId14" Type="http://schemas.openxmlformats.org/officeDocument/2006/relationships/hyperlink" Target="https://doi.org/10.1002/ajpa.23701" TargetMode="External"/><Relationship Id="rId22" Type="http://schemas.openxmlformats.org/officeDocument/2006/relationships/hyperlink" Target="https://doi.org/10.1002/oa.2565" TargetMode="External"/><Relationship Id="rId27" Type="http://schemas.openxmlformats.org/officeDocument/2006/relationships/hyperlink" Target="https://doi.org/10.1002/(SICI)1096-8644(199804)105:4%3c539::AID-AJPA10%3e3.0.CO;2-1"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DD23640E-DA9D-4BFC-82BE-F038C993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3437</Words>
  <Characters>19594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Analou Raagas</dc:creator>
  <cp:lastModifiedBy>Analou Raagas</cp:lastModifiedBy>
  <cp:revision>2</cp:revision>
  <dcterms:created xsi:type="dcterms:W3CDTF">2026-08-25T00:50:00Z</dcterms:created>
  <dcterms:modified xsi:type="dcterms:W3CDTF">2026-08-25T00:50:00Z</dcterms:modified>
</cp:coreProperties>
</file>