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23D6A" w14:textId="77777777" w:rsidR="002F0ABC" w:rsidRDefault="00C9418D">
      <w:pPr>
        <w:spacing w:line="480" w:lineRule="auto"/>
        <w:rPr>
          <w:i/>
          <w:iCs/>
          <w:sz w:val="30"/>
          <w:szCs w:val="30"/>
        </w:rPr>
      </w:pPr>
      <w:bookmarkStart w:id="0" w:name="_GoBack"/>
      <w:bookmarkEnd w:id="0"/>
      <w:r>
        <w:rPr>
          <w:sz w:val="30"/>
          <w:szCs w:val="30"/>
        </w:rPr>
        <w:t xml:space="preserve">Supplementary Materials 2: Detailed methods statement for Eriksen et al. </w:t>
      </w:r>
      <w:r>
        <w:rPr>
          <w:i/>
          <w:iCs/>
          <w:sz w:val="30"/>
          <w:szCs w:val="30"/>
        </w:rPr>
        <w:t>Broken bodies in domestic spaces: Evidence of violence and trauma in an atypical mortuary dataset from Iron and Viking Age Scandinavia</w:t>
      </w:r>
    </w:p>
    <w:p w14:paraId="3EDAFC5A" w14:textId="77777777" w:rsidR="002F0ABC" w:rsidRDefault="002F0ABC">
      <w:pPr>
        <w:pStyle w:val="Heading3"/>
        <w:spacing w:before="0" w:after="220" w:line="480" w:lineRule="auto"/>
        <w:jc w:val="both"/>
        <w:rPr>
          <w:i/>
          <w:iCs/>
          <w:color w:val="000000"/>
          <w:sz w:val="28"/>
          <w:szCs w:val="28"/>
        </w:rPr>
      </w:pPr>
      <w:bookmarkStart w:id="1" w:name="_yc7fyw3x7lxz" w:colFirst="0" w:colLast="0"/>
      <w:bookmarkEnd w:id="1"/>
    </w:p>
    <w:p w14:paraId="720FD14C" w14:textId="77777777" w:rsidR="002F0ABC" w:rsidRDefault="00C9418D">
      <w:pPr>
        <w:pStyle w:val="Heading3"/>
        <w:spacing w:before="0" w:after="220" w:line="480" w:lineRule="auto"/>
        <w:jc w:val="both"/>
        <w:rPr>
          <w:i/>
          <w:iCs/>
          <w:color w:val="000000"/>
          <w:sz w:val="28"/>
          <w:szCs w:val="28"/>
        </w:rPr>
      </w:pPr>
      <w:bookmarkStart w:id="2" w:name="_3v6dhk4f3028" w:colFirst="0" w:colLast="0"/>
      <w:bookmarkEnd w:id="2"/>
      <w:r>
        <w:rPr>
          <w:i/>
          <w:iCs/>
          <w:color w:val="000000"/>
          <w:sz w:val="28"/>
          <w:szCs w:val="28"/>
        </w:rPr>
        <w:t>SM2.1. Photogrammetry</w:t>
      </w:r>
    </w:p>
    <w:p w14:paraId="63DD512F" w14:textId="5D9603D3" w:rsidR="002F0ABC" w:rsidRDefault="00C9418D">
      <w:pPr>
        <w:spacing w:after="0" w:line="480" w:lineRule="auto"/>
        <w:jc w:val="both"/>
      </w:pPr>
      <w:r>
        <w:t xml:space="preserve">The selected human remains were photographed on site in multiple positions in order to capture best pertinent skeletal features and assist the interpretation of skeletal injuries. The remains were placed on a white turntable and photographed in front of a </w:t>
      </w:r>
      <w:r>
        <w:t>white backdrop which facilitated the processing of images afterwards. The photographs were taken with a Canon EOS 2000D DSLR mounted on a tripod. The reconstruction of the 3D models was carried out at the facilities of the University of Leicester Archaeolo</w:t>
      </w:r>
      <w:r>
        <w:t>gical Services (ULAS). The photographs were imported to Agisoft Metashape (REF)to generate the 3D models. The operational system for photogrammetry was a HP Z4 G4 Workstation (x64-based PC), with Intel(R) Core(TM), i9-7900X CPU @ 3.30Mhz (10 Core(s), 20 Lo</w:t>
      </w:r>
      <w:r>
        <w:t xml:space="preserve">gical Processor(s)). </w:t>
      </w:r>
    </w:p>
    <w:p w14:paraId="3C806C97" w14:textId="77777777" w:rsidR="002F0ABC" w:rsidRDefault="002F0ABC">
      <w:pPr>
        <w:spacing w:after="0" w:line="480" w:lineRule="auto"/>
        <w:jc w:val="both"/>
      </w:pPr>
    </w:p>
    <w:p w14:paraId="25D2A1A4" w14:textId="5F1DAD29" w:rsidR="002F0ABC" w:rsidRDefault="00C9418D">
      <w:pPr>
        <w:spacing w:line="480" w:lineRule="auto"/>
        <w:jc w:val="both"/>
        <w:rPr>
          <w:i/>
          <w:iCs/>
          <w:sz w:val="28"/>
          <w:szCs w:val="28"/>
        </w:rPr>
      </w:pPr>
      <w:r>
        <w:t>The use of photogrammetry enabled the creation of high-quality 3D models of selected skeletal remains, enhancing visualisation of surface features while providing digital records for posterity. In the majority of cases, the investiga</w:t>
      </w:r>
      <w:r>
        <w:t xml:space="preserve">tion of trauma on the digitised remains confirmed the presence of trauma without revealing additional structures. However, this method was essential in revealing the presence of additional violence-related lesions in the case of individual </w:t>
      </w:r>
      <w:r w:rsidR="00C91E84">
        <w:t>12</w:t>
      </w:r>
      <w:r>
        <w:t xml:space="preserve">, for whom an </w:t>
      </w:r>
      <w:r>
        <w:t xml:space="preserve">additional injury was identified which was not observed during the initial skeletal analysis. This additional antemortem BFT </w:t>
      </w:r>
      <w:r>
        <w:lastRenderedPageBreak/>
        <w:t>lesion was located on the frontal but was not clearly visible from the photographs due to lighting limitations.</w:t>
      </w:r>
    </w:p>
    <w:p w14:paraId="1C8FE0AE" w14:textId="77777777" w:rsidR="002F0ABC" w:rsidRDefault="002F0ABC">
      <w:pPr>
        <w:spacing w:after="220" w:line="480" w:lineRule="auto"/>
        <w:jc w:val="both"/>
      </w:pPr>
    </w:p>
    <w:p w14:paraId="56AB2D5B" w14:textId="77777777" w:rsidR="002F0ABC" w:rsidRDefault="00C9418D">
      <w:pPr>
        <w:pStyle w:val="Heading3"/>
        <w:spacing w:before="0" w:after="220" w:line="480" w:lineRule="auto"/>
        <w:jc w:val="both"/>
        <w:rPr>
          <w:i/>
          <w:iCs/>
          <w:color w:val="000000"/>
          <w:sz w:val="28"/>
          <w:szCs w:val="28"/>
        </w:rPr>
      </w:pPr>
      <w:bookmarkStart w:id="3" w:name="_t9kjvs4j36bo" w:colFirst="0" w:colLast="0"/>
      <w:bookmarkEnd w:id="3"/>
      <w:r>
        <w:rPr>
          <w:i/>
          <w:iCs/>
          <w:color w:val="000000"/>
          <w:sz w:val="28"/>
          <w:szCs w:val="28"/>
        </w:rPr>
        <w:t>SM2.2. Reflectance</w:t>
      </w:r>
      <w:r>
        <w:rPr>
          <w:i/>
          <w:iCs/>
          <w:color w:val="000000"/>
          <w:sz w:val="28"/>
          <w:szCs w:val="28"/>
        </w:rPr>
        <w:t xml:space="preserve"> Transformation Imaging</w:t>
      </w:r>
    </w:p>
    <w:p w14:paraId="7FF7D419" w14:textId="35FE8266" w:rsidR="002F0ABC" w:rsidRDefault="00C9418D">
      <w:pPr>
        <w:spacing w:after="0" w:line="480" w:lineRule="auto"/>
        <w:jc w:val="both"/>
      </w:pPr>
      <w:r>
        <w:t>Reflectance Transformation Imaging (RTI) was implemented as a photographic method in the current study, to document and further analyse the instances of trauma observed in three of the case studies (namely, Individual 1 – X2753, Ind</w:t>
      </w:r>
      <w:r>
        <w:t xml:space="preserve">ividual 4 – X558, and Individual 11 – 4278-PF; SM3). RTI utilises a series of </w:t>
      </w:r>
      <w:r w:rsidR="002508C3">
        <w:t>variably lighted</w:t>
      </w:r>
      <w:r>
        <w:t xml:space="preserve"> photographs of the remains to create a 2.5D model which enhances surface variations in an interactive digital image, allowing for a more detailed examination of </w:t>
      </w:r>
      <w:r>
        <w:t>subtle colour and surface alterations such as for example tool impressions and trauma traces on bone [</w:t>
      </w:r>
      <w:hyperlink w:anchor="ref1" w:history="1">
        <w:r w:rsidRPr="00FD59B9">
          <w:rPr>
            <w:rStyle w:val="Hyperlink"/>
          </w:rPr>
          <w:t>1</w:t>
        </w:r>
      </w:hyperlink>
      <w:r>
        <w:t xml:space="preserve">, </w:t>
      </w:r>
      <w:hyperlink w:anchor="ref2" w:history="1">
        <w:r w:rsidRPr="00FD59B9">
          <w:rPr>
            <w:rStyle w:val="Hyperlink"/>
          </w:rPr>
          <w:t>2</w:t>
        </w:r>
      </w:hyperlink>
      <w:r>
        <w:t>].</w:t>
      </w:r>
    </w:p>
    <w:p w14:paraId="6190AD54" w14:textId="77777777" w:rsidR="002F0ABC" w:rsidRDefault="002F0ABC">
      <w:pPr>
        <w:spacing w:after="0" w:line="480" w:lineRule="auto"/>
        <w:jc w:val="both"/>
      </w:pPr>
    </w:p>
    <w:p w14:paraId="06565F16" w14:textId="1378DC3B" w:rsidR="002F0ABC" w:rsidRDefault="00C9418D">
      <w:pPr>
        <w:spacing w:after="0" w:line="480" w:lineRule="auto"/>
        <w:jc w:val="both"/>
      </w:pPr>
      <w:r>
        <w:t>The individual remains were photographed one at a time, using standard close-up photography protoc</w:t>
      </w:r>
      <w:r>
        <w:t>ols, and, for optimal results, a tripod and hand-held flash were directly connected to the camera and set to sync speed mode, following Cultural Heritage Imaging guidelines [</w:t>
      </w:r>
      <w:hyperlink w:anchor="ref2" w:history="1">
        <w:r w:rsidRPr="00FD59B9">
          <w:rPr>
            <w:rStyle w:val="Hyperlink"/>
          </w:rPr>
          <w:t>2</w:t>
        </w:r>
      </w:hyperlink>
      <w:r>
        <w:t>]. This included placing the remains atop a black non-ref</w:t>
      </w:r>
      <w:r>
        <w:t xml:space="preserve">lective photography cloth, to ensure a high contrast background for the pale beige archaeological bones; and using two highly reflective black spheres placed next to the remains alongside a scale. A Canon EOS 2000D camera fitted with an EF-S 18-55mm IS II </w:t>
      </w:r>
      <w:r>
        <w:t xml:space="preserve">lens was used, and the camera settings were adjusted for each set of remains (Table S2.1); the ISO was consistently set to 100 in order to minimize grain, and the smallest aperture was used to maximise the Depth of Field (DoF). </w:t>
      </w:r>
    </w:p>
    <w:p w14:paraId="3A8A943A" w14:textId="77777777" w:rsidR="002F0ABC" w:rsidRDefault="002F0ABC">
      <w:pPr>
        <w:spacing w:after="0" w:line="480" w:lineRule="auto"/>
        <w:jc w:val="both"/>
      </w:pPr>
    </w:p>
    <w:p w14:paraId="7165489D" w14:textId="77777777" w:rsidR="002F0ABC" w:rsidRDefault="00C9418D">
      <w:pPr>
        <w:spacing w:after="0" w:line="480" w:lineRule="auto"/>
        <w:jc w:val="both"/>
      </w:pPr>
      <w:r>
        <w:t>The camera, mounted onto t</w:t>
      </w:r>
      <w:r>
        <w:t>he tripod, was positioned at a 90° angle directly above the remains, and while focusing on the area of interest (i.e., trauma impact site), the camera settings were adjusted to achieve optimal exposure. An initial test shot was taken to ensure the trauma i</w:t>
      </w:r>
      <w:r>
        <w:t xml:space="preserve">mpact sufficiently filled the frame </w:t>
      </w:r>
      <w:r>
        <w:lastRenderedPageBreak/>
        <w:t>and remained in focus. Subsequently, the light was turned off, to avoid unnecessary shadows, and the synchronised flash was set to discharge once the remote-shutter release button was pressed.</w:t>
      </w:r>
    </w:p>
    <w:p w14:paraId="559F9D2E" w14:textId="77777777" w:rsidR="002F0ABC" w:rsidRDefault="002F0ABC">
      <w:pPr>
        <w:spacing w:after="0" w:line="480" w:lineRule="auto"/>
        <w:jc w:val="both"/>
      </w:pPr>
    </w:p>
    <w:p w14:paraId="675DC7FF" w14:textId="77777777" w:rsidR="002F0ABC" w:rsidRDefault="00C9418D">
      <w:pPr>
        <w:spacing w:after="0" w:line="480" w:lineRule="auto"/>
        <w:jc w:val="both"/>
      </w:pPr>
      <w:r>
        <w:t xml:space="preserve">For each separate area of </w:t>
      </w:r>
      <w:r>
        <w:t>interest for the individual remains, a series of images were taken while positioning the flash at numerous different angles (between 10° and 80°) at an average of 78 positions around the remains. These angles cast oblique lighting onto the remains, which a</w:t>
      </w:r>
      <w:r>
        <w:t>re reflected from the surface of the spheres, which is key when processing the images to create the RTI models.</w:t>
      </w:r>
    </w:p>
    <w:p w14:paraId="13CE7D1F" w14:textId="77777777" w:rsidR="002F0ABC" w:rsidRDefault="002F0ABC">
      <w:pPr>
        <w:spacing w:after="0" w:line="480" w:lineRule="auto"/>
        <w:jc w:val="both"/>
      </w:pPr>
    </w:p>
    <w:p w14:paraId="73A2CEEC" w14:textId="77777777" w:rsidR="002F0ABC" w:rsidRDefault="002F0ABC">
      <w:pPr>
        <w:spacing w:line="480" w:lineRule="auto"/>
        <w:jc w:val="both"/>
      </w:pPr>
    </w:p>
    <w:p w14:paraId="47E92A92" w14:textId="77777777" w:rsidR="002F0ABC" w:rsidRDefault="00C9418D">
      <w:pPr>
        <w:spacing w:line="480" w:lineRule="auto"/>
        <w:jc w:val="both"/>
        <w:rPr>
          <w:i/>
          <w:iCs/>
        </w:rPr>
      </w:pPr>
      <w:r>
        <w:rPr>
          <w:i/>
          <w:iCs/>
        </w:rPr>
        <w:t xml:space="preserve">Table S2.1: Camera settings used for each RTI subject </w:t>
      </w:r>
    </w:p>
    <w:tbl>
      <w:tblPr>
        <w:tblStyle w:val="a"/>
        <w:tblW w:w="8650" w:type="dxa"/>
        <w:tblInd w:w="0"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630"/>
        <w:gridCol w:w="1395"/>
        <w:gridCol w:w="930"/>
        <w:gridCol w:w="1230"/>
        <w:gridCol w:w="1710"/>
        <w:gridCol w:w="1305"/>
        <w:gridCol w:w="1450"/>
      </w:tblGrid>
      <w:tr w:rsidR="002F0ABC" w14:paraId="249AB9A3" w14:textId="77777777">
        <w:tc>
          <w:tcPr>
            <w:tcW w:w="630" w:type="dxa"/>
          </w:tcPr>
          <w:p w14:paraId="57130006" w14:textId="77777777" w:rsidR="002F0ABC" w:rsidRDefault="00C9418D">
            <w:pPr>
              <w:spacing w:before="60" w:after="60" w:line="480" w:lineRule="auto"/>
              <w:jc w:val="center"/>
              <w:rPr>
                <w:b/>
                <w:bCs/>
              </w:rPr>
            </w:pPr>
            <w:r>
              <w:rPr>
                <w:b/>
                <w:bCs/>
              </w:rPr>
              <w:t>Ind.</w:t>
            </w:r>
          </w:p>
        </w:tc>
        <w:tc>
          <w:tcPr>
            <w:tcW w:w="1395" w:type="dxa"/>
          </w:tcPr>
          <w:p w14:paraId="0EF4CFFB" w14:textId="77777777" w:rsidR="002F0ABC" w:rsidRDefault="00C9418D">
            <w:pPr>
              <w:spacing w:before="60" w:after="60" w:line="480" w:lineRule="auto"/>
              <w:jc w:val="center"/>
              <w:rPr>
                <w:b/>
                <w:bCs/>
              </w:rPr>
            </w:pPr>
            <w:r>
              <w:rPr>
                <w:b/>
                <w:bCs/>
              </w:rPr>
              <w:t>Remains</w:t>
            </w:r>
          </w:p>
        </w:tc>
        <w:tc>
          <w:tcPr>
            <w:tcW w:w="930" w:type="dxa"/>
          </w:tcPr>
          <w:p w14:paraId="60DB95F1" w14:textId="77777777" w:rsidR="002F0ABC" w:rsidRDefault="00C9418D">
            <w:pPr>
              <w:spacing w:before="60" w:after="60" w:line="480" w:lineRule="auto"/>
              <w:jc w:val="center"/>
              <w:rPr>
                <w:b/>
                <w:bCs/>
              </w:rPr>
            </w:pPr>
            <w:r>
              <w:rPr>
                <w:b/>
                <w:bCs/>
              </w:rPr>
              <w:t>ISO</w:t>
            </w:r>
          </w:p>
        </w:tc>
        <w:tc>
          <w:tcPr>
            <w:tcW w:w="1230" w:type="dxa"/>
          </w:tcPr>
          <w:p w14:paraId="63141C82" w14:textId="77777777" w:rsidR="002F0ABC" w:rsidRDefault="00C9418D">
            <w:pPr>
              <w:spacing w:before="60" w:after="60" w:line="480" w:lineRule="auto"/>
              <w:jc w:val="center"/>
              <w:rPr>
                <w:b/>
                <w:bCs/>
              </w:rPr>
            </w:pPr>
            <w:r>
              <w:rPr>
                <w:b/>
                <w:bCs/>
              </w:rPr>
              <w:t>Aperture</w:t>
            </w:r>
          </w:p>
        </w:tc>
        <w:tc>
          <w:tcPr>
            <w:tcW w:w="1710" w:type="dxa"/>
          </w:tcPr>
          <w:p w14:paraId="15969EE4" w14:textId="77777777" w:rsidR="002F0ABC" w:rsidRDefault="00C9418D">
            <w:pPr>
              <w:spacing w:before="60" w:after="60" w:line="480" w:lineRule="auto"/>
              <w:jc w:val="center"/>
              <w:rPr>
                <w:b/>
                <w:bCs/>
              </w:rPr>
            </w:pPr>
            <w:r>
              <w:rPr>
                <w:b/>
                <w:bCs/>
              </w:rPr>
              <w:t>Shutter Speed</w:t>
            </w:r>
          </w:p>
        </w:tc>
        <w:tc>
          <w:tcPr>
            <w:tcW w:w="1305" w:type="dxa"/>
          </w:tcPr>
          <w:p w14:paraId="4E5A4760" w14:textId="77777777" w:rsidR="002F0ABC" w:rsidRDefault="00C9418D">
            <w:pPr>
              <w:spacing w:before="60" w:after="60" w:line="480" w:lineRule="auto"/>
              <w:jc w:val="center"/>
              <w:rPr>
                <w:b/>
                <w:bCs/>
              </w:rPr>
            </w:pPr>
            <w:r>
              <w:rPr>
                <w:b/>
                <w:bCs/>
              </w:rPr>
              <w:t>Exposure</w:t>
            </w:r>
          </w:p>
        </w:tc>
        <w:tc>
          <w:tcPr>
            <w:tcW w:w="1450" w:type="dxa"/>
          </w:tcPr>
          <w:p w14:paraId="787110B4" w14:textId="77777777" w:rsidR="002F0ABC" w:rsidRDefault="00C9418D">
            <w:pPr>
              <w:spacing w:before="60" w:after="60" w:line="480" w:lineRule="auto"/>
              <w:jc w:val="center"/>
              <w:rPr>
                <w:b/>
                <w:bCs/>
              </w:rPr>
            </w:pPr>
            <w:r>
              <w:rPr>
                <w:b/>
                <w:bCs/>
              </w:rPr>
              <w:t>Focal Length</w:t>
            </w:r>
          </w:p>
        </w:tc>
      </w:tr>
      <w:tr w:rsidR="002F0ABC" w14:paraId="4CA97173" w14:textId="77777777">
        <w:tc>
          <w:tcPr>
            <w:tcW w:w="630" w:type="dxa"/>
          </w:tcPr>
          <w:p w14:paraId="5ED0596F" w14:textId="77777777" w:rsidR="002F0ABC" w:rsidRDefault="00C9418D">
            <w:pPr>
              <w:spacing w:before="60" w:after="60" w:line="480" w:lineRule="auto"/>
              <w:jc w:val="center"/>
            </w:pPr>
            <w:r>
              <w:t>1</w:t>
            </w:r>
          </w:p>
        </w:tc>
        <w:tc>
          <w:tcPr>
            <w:tcW w:w="1395" w:type="dxa"/>
          </w:tcPr>
          <w:p w14:paraId="7A03F281" w14:textId="77777777" w:rsidR="002F0ABC" w:rsidRDefault="00C9418D">
            <w:pPr>
              <w:spacing w:before="60" w:after="60" w:line="480" w:lineRule="auto"/>
              <w:jc w:val="center"/>
            </w:pPr>
            <w:r>
              <w:t>X2753</w:t>
            </w:r>
          </w:p>
        </w:tc>
        <w:tc>
          <w:tcPr>
            <w:tcW w:w="930" w:type="dxa"/>
          </w:tcPr>
          <w:p w14:paraId="047B3062" w14:textId="77777777" w:rsidR="002F0ABC" w:rsidRDefault="00C9418D">
            <w:pPr>
              <w:spacing w:before="60" w:after="60" w:line="480" w:lineRule="auto"/>
              <w:jc w:val="center"/>
            </w:pPr>
            <w:r>
              <w:t>100</w:t>
            </w:r>
          </w:p>
        </w:tc>
        <w:tc>
          <w:tcPr>
            <w:tcW w:w="1230" w:type="dxa"/>
          </w:tcPr>
          <w:p w14:paraId="04FBDA46" w14:textId="77777777" w:rsidR="002F0ABC" w:rsidRDefault="00C9418D">
            <w:pPr>
              <w:spacing w:before="60" w:after="60" w:line="480" w:lineRule="auto"/>
              <w:jc w:val="center"/>
            </w:pPr>
            <w:r>
              <w:t>f/4.5</w:t>
            </w:r>
          </w:p>
        </w:tc>
        <w:tc>
          <w:tcPr>
            <w:tcW w:w="1710" w:type="dxa"/>
          </w:tcPr>
          <w:p w14:paraId="4CF16B86" w14:textId="77777777" w:rsidR="002F0ABC" w:rsidRDefault="00C9418D">
            <w:pPr>
              <w:spacing w:before="60" w:after="60" w:line="480" w:lineRule="auto"/>
              <w:jc w:val="center"/>
            </w:pPr>
            <w:r>
              <w:t xml:space="preserve">1/15 </w:t>
            </w:r>
            <w:r>
              <w:t>sec.</w:t>
            </w:r>
          </w:p>
        </w:tc>
        <w:tc>
          <w:tcPr>
            <w:tcW w:w="1305" w:type="dxa"/>
          </w:tcPr>
          <w:p w14:paraId="64B6C114" w14:textId="77777777" w:rsidR="002F0ABC" w:rsidRDefault="00C9418D">
            <w:pPr>
              <w:spacing w:before="60" w:after="60" w:line="480" w:lineRule="auto"/>
              <w:jc w:val="center"/>
            </w:pPr>
            <w:r>
              <w:t>0 step</w:t>
            </w:r>
          </w:p>
        </w:tc>
        <w:tc>
          <w:tcPr>
            <w:tcW w:w="1450" w:type="dxa"/>
          </w:tcPr>
          <w:p w14:paraId="521A0E75" w14:textId="77777777" w:rsidR="002F0ABC" w:rsidRDefault="00C9418D">
            <w:pPr>
              <w:spacing w:before="60" w:after="60" w:line="480" w:lineRule="auto"/>
              <w:jc w:val="center"/>
            </w:pPr>
            <w:r>
              <w:t>28 mm</w:t>
            </w:r>
          </w:p>
        </w:tc>
      </w:tr>
      <w:tr w:rsidR="002F0ABC" w14:paraId="5F5F1E5E" w14:textId="77777777">
        <w:tc>
          <w:tcPr>
            <w:tcW w:w="630" w:type="dxa"/>
          </w:tcPr>
          <w:p w14:paraId="1B72258B" w14:textId="77777777" w:rsidR="002F0ABC" w:rsidRDefault="00C9418D">
            <w:pPr>
              <w:spacing w:before="60" w:after="60" w:line="480" w:lineRule="auto"/>
              <w:jc w:val="center"/>
            </w:pPr>
            <w:r>
              <w:t>4</w:t>
            </w:r>
          </w:p>
        </w:tc>
        <w:tc>
          <w:tcPr>
            <w:tcW w:w="1395" w:type="dxa"/>
          </w:tcPr>
          <w:p w14:paraId="0516F408" w14:textId="77777777" w:rsidR="002F0ABC" w:rsidRDefault="00C9418D">
            <w:pPr>
              <w:spacing w:before="60" w:after="60" w:line="480" w:lineRule="auto"/>
              <w:jc w:val="center"/>
            </w:pPr>
            <w:r>
              <w:t>X558</w:t>
            </w:r>
          </w:p>
        </w:tc>
        <w:tc>
          <w:tcPr>
            <w:tcW w:w="930" w:type="dxa"/>
          </w:tcPr>
          <w:p w14:paraId="5C9C82AA" w14:textId="77777777" w:rsidR="002F0ABC" w:rsidRDefault="00C9418D">
            <w:pPr>
              <w:spacing w:before="60" w:after="60" w:line="480" w:lineRule="auto"/>
              <w:jc w:val="center"/>
            </w:pPr>
            <w:r>
              <w:t>100</w:t>
            </w:r>
          </w:p>
        </w:tc>
        <w:tc>
          <w:tcPr>
            <w:tcW w:w="1230" w:type="dxa"/>
          </w:tcPr>
          <w:p w14:paraId="7B4D9097" w14:textId="77777777" w:rsidR="002F0ABC" w:rsidRDefault="00C9418D">
            <w:pPr>
              <w:spacing w:before="60" w:after="60" w:line="480" w:lineRule="auto"/>
              <w:jc w:val="center"/>
            </w:pPr>
            <w:r>
              <w:t>f/8</w:t>
            </w:r>
          </w:p>
        </w:tc>
        <w:tc>
          <w:tcPr>
            <w:tcW w:w="1710" w:type="dxa"/>
          </w:tcPr>
          <w:p w14:paraId="69B0F314" w14:textId="77777777" w:rsidR="002F0ABC" w:rsidRDefault="00C9418D">
            <w:pPr>
              <w:spacing w:before="60" w:after="60" w:line="480" w:lineRule="auto"/>
              <w:jc w:val="center"/>
            </w:pPr>
            <w:r>
              <w:t>1/160 sec.</w:t>
            </w:r>
          </w:p>
        </w:tc>
        <w:tc>
          <w:tcPr>
            <w:tcW w:w="1305" w:type="dxa"/>
          </w:tcPr>
          <w:p w14:paraId="446A3AA1" w14:textId="77777777" w:rsidR="002F0ABC" w:rsidRDefault="00C9418D">
            <w:pPr>
              <w:spacing w:before="60" w:after="60" w:line="480" w:lineRule="auto"/>
              <w:jc w:val="center"/>
            </w:pPr>
            <w:r>
              <w:t>0 step</w:t>
            </w:r>
          </w:p>
        </w:tc>
        <w:tc>
          <w:tcPr>
            <w:tcW w:w="1450" w:type="dxa"/>
          </w:tcPr>
          <w:p w14:paraId="3A580FB3" w14:textId="77777777" w:rsidR="002F0ABC" w:rsidRDefault="00C9418D">
            <w:pPr>
              <w:spacing w:before="60" w:after="60" w:line="480" w:lineRule="auto"/>
              <w:jc w:val="center"/>
            </w:pPr>
            <w:r>
              <w:t>36 mm</w:t>
            </w:r>
          </w:p>
        </w:tc>
      </w:tr>
      <w:tr w:rsidR="002F0ABC" w14:paraId="2C3FE52E" w14:textId="77777777">
        <w:tc>
          <w:tcPr>
            <w:tcW w:w="630" w:type="dxa"/>
          </w:tcPr>
          <w:p w14:paraId="5F1CDBE8" w14:textId="77777777" w:rsidR="002F0ABC" w:rsidRDefault="00C9418D">
            <w:pPr>
              <w:spacing w:before="60" w:after="60" w:line="480" w:lineRule="auto"/>
              <w:jc w:val="center"/>
            </w:pPr>
            <w:r>
              <w:t>11</w:t>
            </w:r>
          </w:p>
        </w:tc>
        <w:tc>
          <w:tcPr>
            <w:tcW w:w="1395" w:type="dxa"/>
          </w:tcPr>
          <w:p w14:paraId="712D325D" w14:textId="77777777" w:rsidR="002F0ABC" w:rsidRDefault="00C9418D">
            <w:pPr>
              <w:spacing w:before="60" w:after="60" w:line="480" w:lineRule="auto"/>
              <w:jc w:val="center"/>
            </w:pPr>
            <w:r>
              <w:t>4278-PF</w:t>
            </w:r>
          </w:p>
        </w:tc>
        <w:tc>
          <w:tcPr>
            <w:tcW w:w="930" w:type="dxa"/>
          </w:tcPr>
          <w:p w14:paraId="6DF206E1" w14:textId="77777777" w:rsidR="002F0ABC" w:rsidRDefault="00C9418D">
            <w:pPr>
              <w:spacing w:before="60" w:after="60" w:line="480" w:lineRule="auto"/>
              <w:jc w:val="center"/>
            </w:pPr>
            <w:r>
              <w:t>100</w:t>
            </w:r>
          </w:p>
        </w:tc>
        <w:tc>
          <w:tcPr>
            <w:tcW w:w="1230" w:type="dxa"/>
          </w:tcPr>
          <w:p w14:paraId="78FED18F" w14:textId="77777777" w:rsidR="002F0ABC" w:rsidRDefault="00C9418D">
            <w:pPr>
              <w:spacing w:before="60" w:after="60" w:line="480" w:lineRule="auto"/>
              <w:jc w:val="center"/>
            </w:pPr>
            <w:r>
              <w:t>f/8</w:t>
            </w:r>
          </w:p>
        </w:tc>
        <w:tc>
          <w:tcPr>
            <w:tcW w:w="1710" w:type="dxa"/>
          </w:tcPr>
          <w:p w14:paraId="62BA4379" w14:textId="77777777" w:rsidR="002F0ABC" w:rsidRDefault="00C9418D">
            <w:pPr>
              <w:spacing w:before="60" w:after="60" w:line="480" w:lineRule="auto"/>
              <w:jc w:val="center"/>
            </w:pPr>
            <w:r>
              <w:t>1/60 sec.</w:t>
            </w:r>
          </w:p>
        </w:tc>
        <w:tc>
          <w:tcPr>
            <w:tcW w:w="1305" w:type="dxa"/>
          </w:tcPr>
          <w:p w14:paraId="1EBB61C9" w14:textId="77777777" w:rsidR="002F0ABC" w:rsidRDefault="00C9418D">
            <w:pPr>
              <w:spacing w:before="60" w:after="60" w:line="480" w:lineRule="auto"/>
              <w:jc w:val="center"/>
            </w:pPr>
            <w:r>
              <w:t>0 step</w:t>
            </w:r>
          </w:p>
        </w:tc>
        <w:tc>
          <w:tcPr>
            <w:tcW w:w="1450" w:type="dxa"/>
          </w:tcPr>
          <w:p w14:paraId="15A313EB" w14:textId="77777777" w:rsidR="002F0ABC" w:rsidRDefault="00C9418D">
            <w:pPr>
              <w:spacing w:before="60" w:after="60" w:line="480" w:lineRule="auto"/>
              <w:jc w:val="center"/>
            </w:pPr>
            <w:r>
              <w:t>27 mm</w:t>
            </w:r>
          </w:p>
        </w:tc>
      </w:tr>
    </w:tbl>
    <w:p w14:paraId="2A47E224" w14:textId="77777777" w:rsidR="002F0ABC" w:rsidRDefault="002F0ABC">
      <w:pPr>
        <w:spacing w:after="0" w:line="480" w:lineRule="auto"/>
        <w:jc w:val="both"/>
      </w:pPr>
    </w:p>
    <w:p w14:paraId="0421B128" w14:textId="470D4561" w:rsidR="002F0ABC" w:rsidRDefault="002F0ABC">
      <w:pPr>
        <w:spacing w:after="0" w:line="480" w:lineRule="auto"/>
        <w:jc w:val="both"/>
      </w:pPr>
    </w:p>
    <w:p w14:paraId="14140052" w14:textId="77777777" w:rsidR="002508C3" w:rsidRDefault="002508C3">
      <w:pPr>
        <w:spacing w:after="0" w:line="480" w:lineRule="auto"/>
        <w:jc w:val="both"/>
      </w:pPr>
    </w:p>
    <w:p w14:paraId="32F68E26" w14:textId="77777777" w:rsidR="002508C3" w:rsidRDefault="002508C3">
      <w:pPr>
        <w:spacing w:after="0" w:line="480" w:lineRule="auto"/>
        <w:jc w:val="both"/>
      </w:pPr>
    </w:p>
    <w:p w14:paraId="2C461BC1" w14:textId="77777777" w:rsidR="002508C3" w:rsidRDefault="002508C3">
      <w:pPr>
        <w:spacing w:after="0" w:line="480" w:lineRule="auto"/>
        <w:jc w:val="both"/>
      </w:pPr>
    </w:p>
    <w:p w14:paraId="55EF6DD0" w14:textId="77777777" w:rsidR="002508C3" w:rsidRDefault="002508C3">
      <w:pPr>
        <w:spacing w:after="0" w:line="480" w:lineRule="auto"/>
        <w:jc w:val="both"/>
      </w:pPr>
    </w:p>
    <w:p w14:paraId="138F989C" w14:textId="77777777" w:rsidR="002508C3" w:rsidRDefault="002508C3">
      <w:pPr>
        <w:spacing w:after="0" w:line="480" w:lineRule="auto"/>
        <w:jc w:val="both"/>
      </w:pPr>
    </w:p>
    <w:p w14:paraId="18DCE253" w14:textId="77777777" w:rsidR="002508C3" w:rsidRDefault="002508C3">
      <w:pPr>
        <w:spacing w:after="0" w:line="480" w:lineRule="auto"/>
        <w:jc w:val="both"/>
      </w:pPr>
    </w:p>
    <w:p w14:paraId="66C583E1" w14:textId="77777777" w:rsidR="002508C3" w:rsidRDefault="002508C3">
      <w:pPr>
        <w:spacing w:after="0" w:line="480" w:lineRule="auto"/>
        <w:jc w:val="both"/>
      </w:pPr>
    </w:p>
    <w:p w14:paraId="1B95FD10" w14:textId="77777777" w:rsidR="002F0ABC" w:rsidRDefault="00C9418D">
      <w:pPr>
        <w:spacing w:line="480" w:lineRule="auto"/>
        <w:jc w:val="both"/>
        <w:rPr>
          <w:i/>
          <w:iCs/>
        </w:rPr>
      </w:pPr>
      <w:r>
        <w:rPr>
          <w:i/>
          <w:iCs/>
        </w:rPr>
        <w:lastRenderedPageBreak/>
        <w:t>Table S2.2: Overview of RTI image counts for each area of interest per subject</w:t>
      </w:r>
    </w:p>
    <w:tbl>
      <w:tblPr>
        <w:tblStyle w:val="a0"/>
        <w:tblW w:w="8891" w:type="dxa"/>
        <w:tblInd w:w="0"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720"/>
        <w:gridCol w:w="1305"/>
        <w:gridCol w:w="2370"/>
        <w:gridCol w:w="1995"/>
        <w:gridCol w:w="2501"/>
      </w:tblGrid>
      <w:tr w:rsidR="002F0ABC" w14:paraId="1C800DBE" w14:textId="77777777">
        <w:tc>
          <w:tcPr>
            <w:tcW w:w="720" w:type="dxa"/>
          </w:tcPr>
          <w:p w14:paraId="641A04C2" w14:textId="77777777" w:rsidR="002F0ABC" w:rsidRDefault="00C9418D">
            <w:pPr>
              <w:spacing w:before="60" w:after="60" w:line="480" w:lineRule="auto"/>
              <w:jc w:val="center"/>
              <w:rPr>
                <w:b/>
                <w:bCs/>
              </w:rPr>
            </w:pPr>
            <w:r>
              <w:rPr>
                <w:b/>
                <w:bCs/>
              </w:rPr>
              <w:t>Ind.</w:t>
            </w:r>
          </w:p>
        </w:tc>
        <w:tc>
          <w:tcPr>
            <w:tcW w:w="1305" w:type="dxa"/>
          </w:tcPr>
          <w:p w14:paraId="55357E49" w14:textId="77777777" w:rsidR="002F0ABC" w:rsidRDefault="00C9418D">
            <w:pPr>
              <w:spacing w:before="60" w:after="60" w:line="480" w:lineRule="auto"/>
              <w:jc w:val="center"/>
              <w:rPr>
                <w:b/>
                <w:bCs/>
              </w:rPr>
            </w:pPr>
            <w:r>
              <w:rPr>
                <w:b/>
                <w:bCs/>
              </w:rPr>
              <w:t>Remains</w:t>
            </w:r>
          </w:p>
        </w:tc>
        <w:tc>
          <w:tcPr>
            <w:tcW w:w="2370" w:type="dxa"/>
          </w:tcPr>
          <w:p w14:paraId="003AA15F" w14:textId="77777777" w:rsidR="002F0ABC" w:rsidRDefault="00C9418D">
            <w:pPr>
              <w:spacing w:before="60" w:after="60" w:line="480" w:lineRule="auto"/>
              <w:jc w:val="center"/>
              <w:rPr>
                <w:b/>
                <w:bCs/>
              </w:rPr>
            </w:pPr>
            <w:r>
              <w:rPr>
                <w:b/>
                <w:bCs/>
              </w:rPr>
              <w:t>Area of Interest</w:t>
            </w:r>
          </w:p>
        </w:tc>
        <w:tc>
          <w:tcPr>
            <w:tcW w:w="1995" w:type="dxa"/>
          </w:tcPr>
          <w:p w14:paraId="644D6DBC" w14:textId="77777777" w:rsidR="002F0ABC" w:rsidRDefault="00C9418D">
            <w:pPr>
              <w:spacing w:before="60" w:after="60" w:line="480" w:lineRule="auto"/>
              <w:jc w:val="center"/>
              <w:rPr>
                <w:b/>
                <w:bCs/>
              </w:rPr>
            </w:pPr>
            <w:r>
              <w:rPr>
                <w:b/>
                <w:bCs/>
              </w:rPr>
              <w:t>Total number of photos taken</w:t>
            </w:r>
          </w:p>
        </w:tc>
        <w:tc>
          <w:tcPr>
            <w:tcW w:w="2501" w:type="dxa"/>
          </w:tcPr>
          <w:p w14:paraId="0977B64B" w14:textId="77777777" w:rsidR="002F0ABC" w:rsidRDefault="00C9418D">
            <w:pPr>
              <w:spacing w:before="60" w:line="480" w:lineRule="auto"/>
              <w:jc w:val="center"/>
              <w:rPr>
                <w:b/>
                <w:bCs/>
              </w:rPr>
            </w:pPr>
            <w:r>
              <w:rPr>
                <w:b/>
                <w:bCs/>
              </w:rPr>
              <w:t xml:space="preserve">Total number of </w:t>
            </w:r>
          </w:p>
          <w:p w14:paraId="509919CF" w14:textId="77777777" w:rsidR="002F0ABC" w:rsidRDefault="00C9418D">
            <w:pPr>
              <w:spacing w:after="60" w:line="480" w:lineRule="auto"/>
              <w:jc w:val="center"/>
              <w:rPr>
                <w:b/>
                <w:bCs/>
              </w:rPr>
            </w:pPr>
            <w:r>
              <w:rPr>
                <w:b/>
                <w:bCs/>
              </w:rPr>
              <w:t>photos used for models</w:t>
            </w:r>
          </w:p>
        </w:tc>
      </w:tr>
      <w:tr w:rsidR="002F0ABC" w14:paraId="14997234" w14:textId="77777777">
        <w:tc>
          <w:tcPr>
            <w:tcW w:w="720" w:type="dxa"/>
          </w:tcPr>
          <w:p w14:paraId="779BE8F1" w14:textId="77777777" w:rsidR="002F0ABC" w:rsidRDefault="00C9418D">
            <w:pPr>
              <w:spacing w:before="60" w:after="60" w:line="480" w:lineRule="auto"/>
              <w:jc w:val="center"/>
            </w:pPr>
            <w:r>
              <w:t>1</w:t>
            </w:r>
          </w:p>
        </w:tc>
        <w:tc>
          <w:tcPr>
            <w:tcW w:w="1305" w:type="dxa"/>
          </w:tcPr>
          <w:p w14:paraId="33446B39" w14:textId="77777777" w:rsidR="002F0ABC" w:rsidRDefault="00C9418D">
            <w:pPr>
              <w:spacing w:before="60" w:after="60" w:line="480" w:lineRule="auto"/>
              <w:jc w:val="center"/>
            </w:pPr>
            <w:r>
              <w:t>X2753</w:t>
            </w:r>
          </w:p>
        </w:tc>
        <w:tc>
          <w:tcPr>
            <w:tcW w:w="2370" w:type="dxa"/>
          </w:tcPr>
          <w:p w14:paraId="62D24558" w14:textId="77777777" w:rsidR="002F0ABC" w:rsidRDefault="00C9418D">
            <w:pPr>
              <w:spacing w:before="60" w:after="60" w:line="480" w:lineRule="auto"/>
              <w:jc w:val="center"/>
            </w:pPr>
            <w:r>
              <w:t>Trauma Edge</w:t>
            </w:r>
          </w:p>
        </w:tc>
        <w:tc>
          <w:tcPr>
            <w:tcW w:w="1995" w:type="dxa"/>
          </w:tcPr>
          <w:p w14:paraId="37BB206E" w14:textId="77777777" w:rsidR="002F0ABC" w:rsidRDefault="00C9418D">
            <w:pPr>
              <w:spacing w:before="60" w:after="60" w:line="480" w:lineRule="auto"/>
              <w:jc w:val="center"/>
            </w:pPr>
            <w:r>
              <w:t>72</w:t>
            </w:r>
          </w:p>
        </w:tc>
        <w:tc>
          <w:tcPr>
            <w:tcW w:w="2501" w:type="dxa"/>
          </w:tcPr>
          <w:p w14:paraId="20D7DF2D" w14:textId="77777777" w:rsidR="002F0ABC" w:rsidRDefault="00C9418D">
            <w:pPr>
              <w:spacing w:before="60" w:after="60" w:line="480" w:lineRule="auto"/>
              <w:jc w:val="center"/>
            </w:pPr>
            <w:r>
              <w:t>71</w:t>
            </w:r>
          </w:p>
        </w:tc>
      </w:tr>
      <w:tr w:rsidR="002F0ABC" w14:paraId="62F613BD" w14:textId="77777777">
        <w:tc>
          <w:tcPr>
            <w:tcW w:w="720" w:type="dxa"/>
          </w:tcPr>
          <w:p w14:paraId="5DBEF8D9" w14:textId="77777777" w:rsidR="002F0ABC" w:rsidRDefault="00C9418D">
            <w:pPr>
              <w:spacing w:before="60" w:after="60" w:line="480" w:lineRule="auto"/>
              <w:jc w:val="center"/>
            </w:pPr>
            <w:r>
              <w:t>4</w:t>
            </w:r>
          </w:p>
        </w:tc>
        <w:tc>
          <w:tcPr>
            <w:tcW w:w="1305" w:type="dxa"/>
          </w:tcPr>
          <w:p w14:paraId="025D935F" w14:textId="77777777" w:rsidR="002F0ABC" w:rsidRDefault="00C9418D">
            <w:pPr>
              <w:spacing w:before="60" w:after="60" w:line="480" w:lineRule="auto"/>
              <w:jc w:val="center"/>
            </w:pPr>
            <w:r>
              <w:t>X558</w:t>
            </w:r>
          </w:p>
        </w:tc>
        <w:tc>
          <w:tcPr>
            <w:tcW w:w="2370" w:type="dxa"/>
          </w:tcPr>
          <w:p w14:paraId="5AEB64A0" w14:textId="77777777" w:rsidR="002F0ABC" w:rsidRDefault="00C9418D">
            <w:pPr>
              <w:spacing w:before="60" w:after="60" w:line="480" w:lineRule="auto"/>
              <w:jc w:val="center"/>
            </w:pPr>
            <w:r>
              <w:t>Ectocranial</w:t>
            </w:r>
          </w:p>
        </w:tc>
        <w:tc>
          <w:tcPr>
            <w:tcW w:w="1995" w:type="dxa"/>
          </w:tcPr>
          <w:p w14:paraId="1380220D" w14:textId="77777777" w:rsidR="002F0ABC" w:rsidRDefault="00C9418D">
            <w:pPr>
              <w:spacing w:before="60" w:after="60" w:line="480" w:lineRule="auto"/>
              <w:jc w:val="center"/>
            </w:pPr>
            <w:r>
              <w:t>98</w:t>
            </w:r>
          </w:p>
        </w:tc>
        <w:tc>
          <w:tcPr>
            <w:tcW w:w="2501" w:type="dxa"/>
          </w:tcPr>
          <w:p w14:paraId="35A7019F" w14:textId="77777777" w:rsidR="002F0ABC" w:rsidRDefault="00C9418D">
            <w:pPr>
              <w:spacing w:before="60" w:after="60" w:line="480" w:lineRule="auto"/>
              <w:jc w:val="center"/>
            </w:pPr>
            <w:r>
              <w:t>98</w:t>
            </w:r>
          </w:p>
        </w:tc>
      </w:tr>
      <w:tr w:rsidR="002F0ABC" w14:paraId="205CC421" w14:textId="77777777">
        <w:tc>
          <w:tcPr>
            <w:tcW w:w="720" w:type="dxa"/>
            <w:vMerge w:val="restart"/>
          </w:tcPr>
          <w:p w14:paraId="156037D8" w14:textId="77777777" w:rsidR="002F0ABC" w:rsidRDefault="00C9418D">
            <w:pPr>
              <w:spacing w:before="60" w:after="60" w:line="480" w:lineRule="auto"/>
              <w:jc w:val="center"/>
            </w:pPr>
            <w:r>
              <w:t>11</w:t>
            </w:r>
          </w:p>
        </w:tc>
        <w:tc>
          <w:tcPr>
            <w:tcW w:w="1305" w:type="dxa"/>
            <w:vMerge w:val="restart"/>
          </w:tcPr>
          <w:p w14:paraId="274B0873" w14:textId="77777777" w:rsidR="002F0ABC" w:rsidRDefault="00C9418D">
            <w:pPr>
              <w:spacing w:before="60" w:after="60" w:line="480" w:lineRule="auto"/>
              <w:jc w:val="center"/>
            </w:pPr>
            <w:r>
              <w:t>4278-PF</w:t>
            </w:r>
          </w:p>
        </w:tc>
        <w:tc>
          <w:tcPr>
            <w:tcW w:w="2370" w:type="dxa"/>
          </w:tcPr>
          <w:p w14:paraId="048FF959" w14:textId="77777777" w:rsidR="002F0ABC" w:rsidRDefault="00C9418D">
            <w:pPr>
              <w:spacing w:before="60" w:after="60" w:line="480" w:lineRule="auto"/>
              <w:jc w:val="center"/>
            </w:pPr>
            <w:r>
              <w:t>Inferior Trauma Edge</w:t>
            </w:r>
          </w:p>
        </w:tc>
        <w:tc>
          <w:tcPr>
            <w:tcW w:w="1995" w:type="dxa"/>
          </w:tcPr>
          <w:p w14:paraId="225D8F72" w14:textId="77777777" w:rsidR="002F0ABC" w:rsidRDefault="00C9418D">
            <w:pPr>
              <w:spacing w:before="60" w:after="60" w:line="480" w:lineRule="auto"/>
              <w:jc w:val="center"/>
            </w:pPr>
            <w:r>
              <w:t>91</w:t>
            </w:r>
          </w:p>
        </w:tc>
        <w:tc>
          <w:tcPr>
            <w:tcW w:w="2501" w:type="dxa"/>
          </w:tcPr>
          <w:p w14:paraId="7A54C028" w14:textId="77777777" w:rsidR="002F0ABC" w:rsidRDefault="00C9418D">
            <w:pPr>
              <w:spacing w:before="60" w:after="60" w:line="480" w:lineRule="auto"/>
              <w:jc w:val="center"/>
            </w:pPr>
            <w:r>
              <w:t>89</w:t>
            </w:r>
          </w:p>
        </w:tc>
      </w:tr>
      <w:tr w:rsidR="002F0ABC" w14:paraId="7DC2B6A1" w14:textId="77777777">
        <w:tc>
          <w:tcPr>
            <w:tcW w:w="720" w:type="dxa"/>
            <w:vMerge/>
          </w:tcPr>
          <w:p w14:paraId="21DCFABC" w14:textId="77777777" w:rsidR="002F0ABC" w:rsidRDefault="002F0ABC">
            <w:pPr>
              <w:widowControl w:val="0"/>
              <w:spacing w:line="480" w:lineRule="auto"/>
              <w:jc w:val="both"/>
            </w:pPr>
          </w:p>
        </w:tc>
        <w:tc>
          <w:tcPr>
            <w:tcW w:w="1305" w:type="dxa"/>
            <w:vMerge/>
          </w:tcPr>
          <w:p w14:paraId="358BC27C" w14:textId="77777777" w:rsidR="002F0ABC" w:rsidRDefault="002F0ABC">
            <w:pPr>
              <w:widowControl w:val="0"/>
              <w:spacing w:line="480" w:lineRule="auto"/>
              <w:jc w:val="both"/>
            </w:pPr>
          </w:p>
        </w:tc>
        <w:tc>
          <w:tcPr>
            <w:tcW w:w="2370" w:type="dxa"/>
          </w:tcPr>
          <w:p w14:paraId="4DB0CDC3" w14:textId="77777777" w:rsidR="002F0ABC" w:rsidRDefault="00C9418D">
            <w:pPr>
              <w:spacing w:before="60" w:after="60" w:line="480" w:lineRule="auto"/>
              <w:jc w:val="center"/>
            </w:pPr>
            <w:r>
              <w:t>Superior Trauma Edge</w:t>
            </w:r>
          </w:p>
        </w:tc>
        <w:tc>
          <w:tcPr>
            <w:tcW w:w="1995" w:type="dxa"/>
          </w:tcPr>
          <w:p w14:paraId="12D28CF5" w14:textId="77777777" w:rsidR="002F0ABC" w:rsidRDefault="00C9418D">
            <w:pPr>
              <w:spacing w:before="60" w:after="60" w:line="480" w:lineRule="auto"/>
              <w:jc w:val="center"/>
            </w:pPr>
            <w:r>
              <w:t>57</w:t>
            </w:r>
          </w:p>
        </w:tc>
        <w:tc>
          <w:tcPr>
            <w:tcW w:w="2501" w:type="dxa"/>
          </w:tcPr>
          <w:p w14:paraId="327641AF" w14:textId="77777777" w:rsidR="002F0ABC" w:rsidRDefault="00C9418D">
            <w:pPr>
              <w:spacing w:before="60" w:after="60" w:line="480" w:lineRule="auto"/>
              <w:jc w:val="center"/>
            </w:pPr>
            <w:r>
              <w:t>52</w:t>
            </w:r>
          </w:p>
        </w:tc>
      </w:tr>
      <w:tr w:rsidR="002F0ABC" w14:paraId="309986CA" w14:textId="77777777">
        <w:tc>
          <w:tcPr>
            <w:tcW w:w="720" w:type="dxa"/>
            <w:vMerge/>
          </w:tcPr>
          <w:p w14:paraId="31E53972" w14:textId="77777777" w:rsidR="002F0ABC" w:rsidRDefault="002F0ABC">
            <w:pPr>
              <w:widowControl w:val="0"/>
              <w:spacing w:line="480" w:lineRule="auto"/>
              <w:jc w:val="both"/>
            </w:pPr>
          </w:p>
        </w:tc>
        <w:tc>
          <w:tcPr>
            <w:tcW w:w="1305" w:type="dxa"/>
            <w:vMerge/>
          </w:tcPr>
          <w:p w14:paraId="41D9A71A" w14:textId="77777777" w:rsidR="002F0ABC" w:rsidRDefault="002F0ABC">
            <w:pPr>
              <w:widowControl w:val="0"/>
              <w:spacing w:line="480" w:lineRule="auto"/>
              <w:jc w:val="both"/>
            </w:pPr>
          </w:p>
        </w:tc>
        <w:tc>
          <w:tcPr>
            <w:tcW w:w="2370" w:type="dxa"/>
          </w:tcPr>
          <w:p w14:paraId="55EC5E5F" w14:textId="77777777" w:rsidR="002F0ABC" w:rsidRDefault="00C9418D">
            <w:pPr>
              <w:spacing w:before="60" w:after="60" w:line="480" w:lineRule="auto"/>
              <w:jc w:val="center"/>
            </w:pPr>
            <w:r>
              <w:t>Trauma Lines</w:t>
            </w:r>
          </w:p>
        </w:tc>
        <w:tc>
          <w:tcPr>
            <w:tcW w:w="1995" w:type="dxa"/>
          </w:tcPr>
          <w:p w14:paraId="67ED38C1" w14:textId="77777777" w:rsidR="002F0ABC" w:rsidRDefault="00C9418D">
            <w:pPr>
              <w:spacing w:before="60" w:after="60" w:line="480" w:lineRule="auto"/>
              <w:jc w:val="center"/>
            </w:pPr>
            <w:r>
              <w:t>66</w:t>
            </w:r>
          </w:p>
        </w:tc>
        <w:tc>
          <w:tcPr>
            <w:tcW w:w="2501" w:type="dxa"/>
          </w:tcPr>
          <w:p w14:paraId="12A72094" w14:textId="77777777" w:rsidR="002F0ABC" w:rsidRDefault="00C9418D">
            <w:pPr>
              <w:spacing w:before="60" w:after="60" w:line="480" w:lineRule="auto"/>
              <w:jc w:val="center"/>
            </w:pPr>
            <w:r>
              <w:t>59</w:t>
            </w:r>
          </w:p>
        </w:tc>
      </w:tr>
    </w:tbl>
    <w:p w14:paraId="0CD4AFA1" w14:textId="77777777" w:rsidR="002F0ABC" w:rsidRDefault="002F0ABC">
      <w:pPr>
        <w:spacing w:line="480" w:lineRule="auto"/>
        <w:jc w:val="both"/>
      </w:pPr>
    </w:p>
    <w:p w14:paraId="56626876" w14:textId="77777777" w:rsidR="002F0ABC" w:rsidRDefault="002F0ABC">
      <w:pPr>
        <w:spacing w:after="0" w:line="480" w:lineRule="auto"/>
        <w:jc w:val="both"/>
      </w:pPr>
    </w:p>
    <w:p w14:paraId="184E60D2" w14:textId="77777777" w:rsidR="002F0ABC" w:rsidRDefault="00C9418D">
      <w:pPr>
        <w:pStyle w:val="Heading4"/>
        <w:spacing w:after="200" w:line="480" w:lineRule="auto"/>
        <w:jc w:val="both"/>
        <w:rPr>
          <w:b w:val="0"/>
          <w:bCs w:val="0"/>
          <w:i/>
          <w:iCs/>
        </w:rPr>
      </w:pPr>
      <w:bookmarkStart w:id="4" w:name="_i0upbdxapc1d" w:colFirst="0" w:colLast="0"/>
      <w:bookmarkEnd w:id="4"/>
      <w:r>
        <w:rPr>
          <w:b w:val="0"/>
          <w:bCs w:val="0"/>
          <w:i/>
          <w:iCs/>
        </w:rPr>
        <w:t>RTI: Image Processing</w:t>
      </w:r>
    </w:p>
    <w:p w14:paraId="11E505A0" w14:textId="5A29411F" w:rsidR="002F0ABC" w:rsidRDefault="00C9418D">
      <w:pPr>
        <w:spacing w:after="0" w:line="480" w:lineRule="auto"/>
        <w:jc w:val="both"/>
      </w:pPr>
      <w:r>
        <w:t xml:space="preserve">Image processing was performed using the RelightLab2024.11 software for Mac OS [see </w:t>
      </w:r>
      <w:hyperlink w:anchor="ref3" w:history="1">
        <w:r w:rsidRPr="00FD59B9">
          <w:rPr>
            <w:rStyle w:val="Hyperlink"/>
          </w:rPr>
          <w:t>3</w:t>
        </w:r>
      </w:hyperlink>
      <w:r>
        <w:t>]. At the photographing stage, images were saved in JPEG and RAW format. Only the JPEG format images were imported into RelightLab for image proces</w:t>
      </w:r>
      <w:r>
        <w:t>sing. During processing, the spheres were isolated one at a time, and the highlights reflected from the spheres were detected using the ‘Find highlights’ function. Any image that was either under- or over-exposed, or where the programme failed to detect on</w:t>
      </w:r>
      <w:r>
        <w:t xml:space="preserve">e or both reflective highlights from the spheres, was excluded when building the individual models (Table S2.2). </w:t>
      </w:r>
    </w:p>
    <w:p w14:paraId="1A157A7B" w14:textId="77777777" w:rsidR="002F0ABC" w:rsidRDefault="002F0ABC">
      <w:pPr>
        <w:spacing w:after="0" w:line="480" w:lineRule="auto"/>
        <w:jc w:val="both"/>
      </w:pPr>
    </w:p>
    <w:p w14:paraId="450892BB" w14:textId="034FB26E" w:rsidR="002F0ABC" w:rsidRDefault="00C9418D">
      <w:pPr>
        <w:spacing w:line="480" w:lineRule="auto"/>
        <w:jc w:val="both"/>
      </w:pPr>
      <w:r>
        <w:t>Following recommendations by Clarke and Christensen [</w:t>
      </w:r>
      <w:hyperlink w:anchor="ref1" w:history="1">
        <w:r w:rsidRPr="00FD59B9">
          <w:rPr>
            <w:rStyle w:val="Hyperlink"/>
          </w:rPr>
          <w:t>1</w:t>
        </w:r>
      </w:hyperlink>
      <w:r>
        <w:t>], two different models were generated in RelightLab for each a</w:t>
      </w:r>
      <w:r>
        <w:t xml:space="preserve">rea of interest for the various remains: (1) a Polynomial texture map (PTM 18), and (2) a Hemispherical harmonics RTI model (HSH 27). This allowed for the utilisation of the various rendering </w:t>
      </w:r>
      <w:r>
        <w:lastRenderedPageBreak/>
        <w:t xml:space="preserve">modes in the RTI Viewer software. We found 5 transformations of </w:t>
      </w:r>
      <w:r>
        <w:t xml:space="preserve">the reflectance function particularly useful in the current study: </w:t>
      </w:r>
    </w:p>
    <w:p w14:paraId="74F1E5CC" w14:textId="77777777" w:rsidR="002F0ABC" w:rsidRDefault="00C9418D">
      <w:pPr>
        <w:spacing w:line="480" w:lineRule="auto"/>
        <w:ind w:left="720"/>
        <w:jc w:val="both"/>
      </w:pPr>
      <w:r>
        <w:rPr>
          <w:i/>
          <w:iCs/>
        </w:rPr>
        <w:t>Default</w:t>
      </w:r>
      <w:r>
        <w:t xml:space="preserve"> — Manipulating the Lighting Direction in this mode displayed the true surface colour and texture without any further rendering. </w:t>
      </w:r>
    </w:p>
    <w:p w14:paraId="7F09C974" w14:textId="6976C46F" w:rsidR="002F0ABC" w:rsidRDefault="00C9418D">
      <w:pPr>
        <w:spacing w:line="480" w:lineRule="auto"/>
        <w:ind w:left="720"/>
        <w:jc w:val="both"/>
      </w:pPr>
      <w:r>
        <w:rPr>
          <w:i/>
          <w:iCs/>
        </w:rPr>
        <w:t>Specular Enhancement</w:t>
      </w:r>
      <w:r>
        <w:t xml:space="preserve"> — Emphasised surface texture a</w:t>
      </w:r>
      <w:r>
        <w:t>nd details by adjusting the shininess (specularity) and the highlight size, to make subtle features like scratches, tool marks and other irregularities more visible and interpretable [</w:t>
      </w:r>
      <w:hyperlink w:anchor="ref4" w:history="1">
        <w:r w:rsidRPr="00FD59B9">
          <w:rPr>
            <w:rStyle w:val="Hyperlink"/>
          </w:rPr>
          <w:t>4</w:t>
        </w:r>
      </w:hyperlink>
      <w:r>
        <w:t xml:space="preserve">]. </w:t>
      </w:r>
    </w:p>
    <w:p w14:paraId="35825B35" w14:textId="6A0E9DF3" w:rsidR="002F0ABC" w:rsidRDefault="00C9418D">
      <w:pPr>
        <w:spacing w:line="480" w:lineRule="auto"/>
        <w:ind w:left="720"/>
        <w:jc w:val="both"/>
      </w:pPr>
      <w:r>
        <w:rPr>
          <w:i/>
          <w:iCs/>
        </w:rPr>
        <w:t>Diffuse Grain</w:t>
      </w:r>
      <w:r>
        <w:t xml:space="preserve"> — Helped highlight subtle det</w:t>
      </w:r>
      <w:r>
        <w:t>ails in surface features, such as the topography of fracture lines and contours of break edges, by removing colour and increasing contrast which accentuates the differences in height and depth across an irregular surface; allowing for the identification of</w:t>
      </w:r>
      <w:r>
        <w:t xml:space="preserve"> a trauma surface starts and where a non-affected area being [</w:t>
      </w:r>
      <w:hyperlink w:anchor="ref5" w:history="1">
        <w:r w:rsidRPr="00FD59B9">
          <w:rPr>
            <w:rStyle w:val="Hyperlink"/>
          </w:rPr>
          <w:t>5</w:t>
        </w:r>
      </w:hyperlink>
      <w:r>
        <w:t>].</w:t>
      </w:r>
    </w:p>
    <w:p w14:paraId="64F1C1AA" w14:textId="0F18AD7D" w:rsidR="002F0ABC" w:rsidRDefault="00C9418D">
      <w:pPr>
        <w:spacing w:line="480" w:lineRule="auto"/>
        <w:ind w:left="720"/>
        <w:jc w:val="both"/>
      </w:pPr>
      <w:r>
        <w:rPr>
          <w:i/>
          <w:iCs/>
        </w:rPr>
        <w:t>Coefficient Unsharp Masking</w:t>
      </w:r>
      <w:r>
        <w:t xml:space="preserve"> — Improved the visibility of fine details, making shallow indentations and striations more apparent, by manipulating the PTM coefficients </w:t>
      </w:r>
      <w:r>
        <w:t>and using a modified unsharp mask algorithm to boost the contrast of the surface features [</w:t>
      </w:r>
      <w:hyperlink w:anchor="ref6" w:history="1">
        <w:r w:rsidRPr="00FD59B9">
          <w:rPr>
            <w:rStyle w:val="Hyperlink"/>
          </w:rPr>
          <w:t>6</w:t>
        </w:r>
      </w:hyperlink>
      <w:r>
        <w:t xml:space="preserve">]. </w:t>
      </w:r>
    </w:p>
    <w:p w14:paraId="299F868D" w14:textId="15C1ED1D" w:rsidR="002F0ABC" w:rsidRDefault="00C9418D">
      <w:pPr>
        <w:spacing w:line="480" w:lineRule="auto"/>
        <w:ind w:left="720"/>
        <w:jc w:val="both"/>
      </w:pPr>
      <w:r>
        <w:rPr>
          <w:i/>
          <w:iCs/>
        </w:rPr>
        <w:t>Dynamic Multi Light</w:t>
      </w:r>
      <w:r>
        <w:t xml:space="preserve"> — Allowed for the manipulation of the tile size (px), which enhanced surface depth by increasing contrast and dynami</w:t>
      </w:r>
      <w:r>
        <w:t>cally shifting shadows across the surface of the remains [</w:t>
      </w:r>
      <w:hyperlink w:anchor="ref7" w:history="1">
        <w:r w:rsidRPr="00FD59B9">
          <w:rPr>
            <w:rStyle w:val="Hyperlink"/>
          </w:rPr>
          <w:t>7</w:t>
        </w:r>
      </w:hyperlink>
      <w:r>
        <w:t>].</w:t>
      </w:r>
    </w:p>
    <w:p w14:paraId="67F9A95C" w14:textId="77777777" w:rsidR="002F0ABC" w:rsidRDefault="002F0ABC">
      <w:pPr>
        <w:spacing w:after="0" w:line="480" w:lineRule="auto"/>
        <w:jc w:val="both"/>
      </w:pPr>
    </w:p>
    <w:p w14:paraId="6FE31BF7" w14:textId="77777777" w:rsidR="002F0ABC" w:rsidRDefault="002F0ABC">
      <w:pPr>
        <w:spacing w:after="0" w:line="480" w:lineRule="auto"/>
        <w:jc w:val="both"/>
      </w:pPr>
    </w:p>
    <w:p w14:paraId="76B4C1FF" w14:textId="77777777" w:rsidR="002F0ABC" w:rsidRDefault="002F0ABC">
      <w:pPr>
        <w:spacing w:after="0" w:line="480" w:lineRule="auto"/>
        <w:jc w:val="both"/>
      </w:pPr>
    </w:p>
    <w:p w14:paraId="0F8349CD" w14:textId="77777777" w:rsidR="002F0ABC" w:rsidRDefault="00C9418D">
      <w:pPr>
        <w:pStyle w:val="Heading5"/>
        <w:spacing w:before="0" w:after="200" w:line="480" w:lineRule="auto"/>
        <w:jc w:val="both"/>
        <w:rPr>
          <w:sz w:val="20"/>
          <w:szCs w:val="20"/>
        </w:rPr>
      </w:pPr>
      <w:bookmarkStart w:id="5" w:name="_5larfec5fcla" w:colFirst="0" w:colLast="0"/>
      <w:bookmarkEnd w:id="5"/>
      <w:r>
        <w:rPr>
          <w:b w:val="0"/>
          <w:bCs w:val="0"/>
          <w:i/>
          <w:iCs/>
          <w:sz w:val="24"/>
          <w:szCs w:val="24"/>
        </w:rPr>
        <w:lastRenderedPageBreak/>
        <w:t>References</w:t>
      </w:r>
    </w:p>
    <w:p w14:paraId="4DA9476C" w14:textId="6F89819C" w:rsidR="00DE3982" w:rsidRDefault="00C9418D" w:rsidP="00DE3982">
      <w:pPr>
        <w:numPr>
          <w:ilvl w:val="0"/>
          <w:numId w:val="1"/>
        </w:numPr>
        <w:spacing w:after="0" w:line="480" w:lineRule="auto"/>
      </w:pPr>
      <w:bookmarkStart w:id="6" w:name="ref1"/>
      <w:r>
        <w:t xml:space="preserve">Clarke </w:t>
      </w:r>
      <w:bookmarkEnd w:id="6"/>
      <w:r>
        <w:t xml:space="preserve">S, Christensen AM. Reflectance Transformation Imaging (RTI) of saw marks on bones. J Forens Radiol Imaging. 2016;7: 33-37. </w:t>
      </w:r>
      <w:hyperlink r:id="rId7" w:history="1">
        <w:r w:rsidR="00DE3982" w:rsidRPr="00053D62">
          <w:rPr>
            <w:rStyle w:val="Hyperlink"/>
          </w:rPr>
          <w:t>https://doi.org/10.1016/j.jofri.2016.11.004</w:t>
        </w:r>
      </w:hyperlink>
      <w:r w:rsidRPr="00DE3982">
        <w:rPr>
          <w:sz w:val="20"/>
          <w:szCs w:val="20"/>
        </w:rPr>
        <w:t>.</w:t>
      </w:r>
    </w:p>
    <w:p w14:paraId="33CA2CB2" w14:textId="22184466" w:rsidR="00DE3982" w:rsidRPr="00DE3982" w:rsidRDefault="00C9418D" w:rsidP="00DE3982">
      <w:pPr>
        <w:numPr>
          <w:ilvl w:val="0"/>
          <w:numId w:val="1"/>
        </w:numPr>
        <w:spacing w:after="0" w:line="480" w:lineRule="auto"/>
        <w:rPr>
          <w:sz w:val="20"/>
          <w:szCs w:val="20"/>
        </w:rPr>
      </w:pPr>
      <w:bookmarkStart w:id="7" w:name="ref2"/>
      <w:r>
        <w:t>Lum</w:t>
      </w:r>
      <w:bookmarkEnd w:id="7"/>
      <w:r>
        <w:t xml:space="preserve">, M. 2011. “Reflectance Transformation Imaging: Guide to Highlight Image Processing” [online]. Cultural Heritage Imaging, accessed September 28, 2025. Available from: </w:t>
      </w:r>
      <w:hyperlink r:id="rId8" w:history="1">
        <w:r w:rsidR="00DE3982" w:rsidRPr="00053D62">
          <w:rPr>
            <w:rStyle w:val="Hyperlink"/>
          </w:rPr>
          <w:t>https://culturalheritageimaging.org/Technologies/RTI/</w:t>
        </w:r>
      </w:hyperlink>
    </w:p>
    <w:p w14:paraId="0988D567" w14:textId="01EC3241" w:rsidR="00DE3982" w:rsidRPr="00DE3982" w:rsidRDefault="00C9418D" w:rsidP="00DE3982">
      <w:pPr>
        <w:numPr>
          <w:ilvl w:val="0"/>
          <w:numId w:val="1"/>
        </w:numPr>
        <w:spacing w:after="0" w:line="480" w:lineRule="auto"/>
        <w:rPr>
          <w:sz w:val="20"/>
          <w:szCs w:val="20"/>
        </w:rPr>
      </w:pPr>
      <w:bookmarkStart w:id="8" w:name="ref3"/>
      <w:r>
        <w:t>Ponchio</w:t>
      </w:r>
      <w:bookmarkEnd w:id="8"/>
      <w:r>
        <w:t xml:space="preserve">, F. 2024. “Relight: Relightable Images (RTI)” [online]. Visual Computing Lab, accessed September 28, 2025. Available from:  </w:t>
      </w:r>
      <w:hyperlink r:id="rId9" w:history="1">
        <w:r w:rsidR="00DE3982" w:rsidRPr="00053D62">
          <w:rPr>
            <w:rStyle w:val="Hyperlink"/>
          </w:rPr>
          <w:t>https://vcg.isti.cnr.it/vcgtools/relight//</w:t>
        </w:r>
      </w:hyperlink>
    </w:p>
    <w:p w14:paraId="3AC2D6FC" w14:textId="77777777" w:rsidR="002F0ABC" w:rsidRDefault="00C9418D">
      <w:pPr>
        <w:numPr>
          <w:ilvl w:val="0"/>
          <w:numId w:val="1"/>
        </w:numPr>
        <w:spacing w:after="0" w:line="480" w:lineRule="auto"/>
        <w:rPr>
          <w:sz w:val="20"/>
          <w:szCs w:val="20"/>
        </w:rPr>
      </w:pPr>
      <w:bookmarkStart w:id="9" w:name="ref4"/>
      <w:r>
        <w:t xml:space="preserve">Mudge </w:t>
      </w:r>
      <w:bookmarkEnd w:id="9"/>
      <w:r>
        <w:t xml:space="preserve">M, Malzbender T, Chalmers A, Scopigno R, Davis J, Wang O, et al. Image-Based Empirical Information Acquisition, Scientific Reliability, and Long-Term </w:t>
      </w:r>
      <w:r>
        <w:t xml:space="preserve">Digital Preservation for the Natural Sciences and Cultural Heritage. In: Roussou M, Leigh J, editors. EUROGRAPHICS 2008 – Tutorials. Crete, Greece: The Eurographics Association; 2008. </w:t>
      </w:r>
    </w:p>
    <w:p w14:paraId="758ED33B" w14:textId="2293A223" w:rsidR="00DE3982" w:rsidRPr="00DE3982" w:rsidRDefault="00C9418D" w:rsidP="00DE3982">
      <w:pPr>
        <w:numPr>
          <w:ilvl w:val="0"/>
          <w:numId w:val="1"/>
        </w:numPr>
        <w:spacing w:after="0" w:line="480" w:lineRule="auto"/>
        <w:rPr>
          <w:sz w:val="20"/>
          <w:szCs w:val="20"/>
        </w:rPr>
      </w:pPr>
      <w:bookmarkStart w:id="10" w:name="ref5"/>
      <w:r>
        <w:t xml:space="preserve">Desmond </w:t>
      </w:r>
      <w:bookmarkEnd w:id="10"/>
      <w:r>
        <w:t>A, Cartwright I, Allen R. Documenting Functional Use-Wear on Bo</w:t>
      </w:r>
      <w:r>
        <w:t xml:space="preserve">ne Tools: An RTI Approach.  J Comput Appl Archaeol. 2021;4(7): 214-229. </w:t>
      </w:r>
      <w:hyperlink r:id="rId10" w:history="1">
        <w:r w:rsidR="00DE3982" w:rsidRPr="00053D62">
          <w:rPr>
            <w:rStyle w:val="Hyperlink"/>
          </w:rPr>
          <w:t>https://doi.org/10.5334/jcaa.80</w:t>
        </w:r>
      </w:hyperlink>
      <w:r>
        <w:t>.</w:t>
      </w:r>
    </w:p>
    <w:p w14:paraId="1EC111B0" w14:textId="21488565" w:rsidR="00DE3982" w:rsidRDefault="00C9418D" w:rsidP="00DE3982">
      <w:pPr>
        <w:numPr>
          <w:ilvl w:val="0"/>
          <w:numId w:val="1"/>
        </w:numPr>
        <w:spacing w:after="0" w:line="480" w:lineRule="auto"/>
      </w:pPr>
      <w:bookmarkStart w:id="11" w:name="ref6"/>
      <w:r>
        <w:t xml:space="preserve">Palma </w:t>
      </w:r>
      <w:bookmarkEnd w:id="11"/>
      <w:r>
        <w:t>G, Corsini M, Cignoni P, Scopigno R, Mudge M. Dynamic shading enhancement for reflectance transfo</w:t>
      </w:r>
      <w:r>
        <w:t>rmation imaging. J Comput Cult Herit</w:t>
      </w:r>
      <w:r w:rsidRPr="00DE3982">
        <w:rPr>
          <w:i/>
          <w:iCs/>
        </w:rPr>
        <w:t>.</w:t>
      </w:r>
      <w:r>
        <w:t xml:space="preserve"> 2010;3(2): 1-20. </w:t>
      </w:r>
      <w:hyperlink r:id="rId11" w:history="1">
        <w:r w:rsidR="00DE3982" w:rsidRPr="00053D62">
          <w:rPr>
            <w:rStyle w:val="Hyperlink"/>
          </w:rPr>
          <w:t>https://doi.org/10.1145/1841317.1841321</w:t>
        </w:r>
      </w:hyperlink>
      <w:r>
        <w:t>.</w:t>
      </w:r>
    </w:p>
    <w:p w14:paraId="66C50E82" w14:textId="7AAE21A8" w:rsidR="002F0ABC" w:rsidRDefault="00C9418D">
      <w:pPr>
        <w:numPr>
          <w:ilvl w:val="0"/>
          <w:numId w:val="1"/>
        </w:numPr>
        <w:spacing w:after="0" w:line="480" w:lineRule="auto"/>
      </w:pPr>
      <w:bookmarkStart w:id="12" w:name="ref7"/>
      <w:r>
        <w:t xml:space="preserve">Mytum </w:t>
      </w:r>
      <w:bookmarkEnd w:id="12"/>
      <w:r>
        <w:t>H, Peterson JR. The Application of Reflectance Transformation Imaging (RTI) in Historical Archaeol</w:t>
      </w:r>
      <w:r>
        <w:t xml:space="preserve">ogy. Hist Archaeol. 2018;52: 489-503. </w:t>
      </w:r>
      <w:hyperlink r:id="rId12" w:history="1">
        <w:r w:rsidR="00DE3982" w:rsidRPr="00053D62">
          <w:rPr>
            <w:rStyle w:val="Hyperlink"/>
            <w:highlight w:val="white"/>
          </w:rPr>
          <w:t>https://doi.org/10.1007/s41636-018-0107-x</w:t>
        </w:r>
      </w:hyperlink>
      <w:r>
        <w:t>.</w:t>
      </w:r>
    </w:p>
    <w:p w14:paraId="7CDED0BF" w14:textId="77777777" w:rsidR="00DE3982" w:rsidRDefault="00DE3982" w:rsidP="00DE3982">
      <w:pPr>
        <w:spacing w:after="0" w:line="480" w:lineRule="auto"/>
        <w:ind w:left="720"/>
      </w:pPr>
    </w:p>
    <w:p w14:paraId="30CA7196" w14:textId="77777777" w:rsidR="002F0ABC" w:rsidRDefault="002F0ABC">
      <w:pPr>
        <w:spacing w:after="0" w:line="480" w:lineRule="auto"/>
      </w:pPr>
    </w:p>
    <w:p w14:paraId="61745198" w14:textId="77777777" w:rsidR="002F0ABC" w:rsidRDefault="002F0ABC">
      <w:pPr>
        <w:spacing w:after="0" w:line="480" w:lineRule="auto"/>
      </w:pPr>
    </w:p>
    <w:p w14:paraId="466B26B6" w14:textId="77777777" w:rsidR="002F0ABC" w:rsidRDefault="002F0ABC">
      <w:pPr>
        <w:spacing w:after="0" w:line="480" w:lineRule="auto"/>
      </w:pPr>
    </w:p>
    <w:p w14:paraId="17B8DC93" w14:textId="77777777" w:rsidR="002F0ABC" w:rsidRDefault="002F0ABC">
      <w:pPr>
        <w:spacing w:line="480" w:lineRule="auto"/>
      </w:pPr>
    </w:p>
    <w:sectPr w:rsidR="002F0ABC">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AB087" w14:textId="77777777" w:rsidR="00C9418D" w:rsidRDefault="00C9418D">
      <w:pPr>
        <w:spacing w:after="0" w:line="240" w:lineRule="auto"/>
      </w:pPr>
      <w:r>
        <w:separator/>
      </w:r>
    </w:p>
  </w:endnote>
  <w:endnote w:type="continuationSeparator" w:id="0">
    <w:p w14:paraId="21489CF0" w14:textId="77777777" w:rsidR="00C9418D" w:rsidRDefault="00C94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751D936-4BB0-4BA3-93A4-0A8ADD26B319}"/>
    <w:embedBold r:id="rId2" w:fontKey="{80DD4A82-FD83-4E38-81BE-1805ABAF2686}"/>
    <w:embedItalic r:id="rId3" w:fontKey="{90E6445A-F474-4AD8-805E-30BA762EAFFC}"/>
  </w:font>
  <w:font w:name="Georgia">
    <w:panose1 w:val="02040502050405020303"/>
    <w:charset w:val="00"/>
    <w:family w:val="roman"/>
    <w:pitch w:val="variable"/>
    <w:sig w:usb0="00000287" w:usb1="00000000" w:usb2="00000000" w:usb3="00000000" w:csb0="0000009F" w:csb1="00000000"/>
    <w:embedItalic r:id="rId4" w:fontKey="{5C067915-AC45-4504-B289-1A17FF5155CE}"/>
  </w:font>
  <w:font w:name="Cambria">
    <w:panose1 w:val="02040503050406030204"/>
    <w:charset w:val="00"/>
    <w:family w:val="roman"/>
    <w:pitch w:val="variable"/>
    <w:sig w:usb0="E00006FF" w:usb1="420024FF" w:usb2="02000000" w:usb3="00000000" w:csb0="0000019F" w:csb1="00000000"/>
    <w:embedRegular r:id="rId5" w:fontKey="{BB2BF5B1-FA5F-4DAA-BAAF-44FA3D39698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81A1B" w14:textId="2C606175" w:rsidR="002F0ABC" w:rsidRDefault="00C9418D">
    <w:pPr>
      <w:jc w:val="right"/>
    </w:pPr>
    <w:r>
      <w:fldChar w:fldCharType="begin"/>
    </w:r>
    <w:r>
      <w:instrText>PAGE</w:instrText>
    </w:r>
    <w:r>
      <w:fldChar w:fldCharType="separate"/>
    </w:r>
    <w:r w:rsidR="0084722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F33FE" w14:textId="77777777" w:rsidR="00C9418D" w:rsidRDefault="00C9418D">
      <w:pPr>
        <w:spacing w:after="0" w:line="240" w:lineRule="auto"/>
      </w:pPr>
      <w:r>
        <w:separator/>
      </w:r>
    </w:p>
  </w:footnote>
  <w:footnote w:type="continuationSeparator" w:id="0">
    <w:p w14:paraId="438F3661" w14:textId="77777777" w:rsidR="00C9418D" w:rsidRDefault="00C941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351D0"/>
    <w:multiLevelType w:val="multilevel"/>
    <w:tmpl w:val="A3440F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ABC"/>
    <w:rsid w:val="000931C7"/>
    <w:rsid w:val="001C6496"/>
    <w:rsid w:val="00230526"/>
    <w:rsid w:val="002508C3"/>
    <w:rsid w:val="002F0ABC"/>
    <w:rsid w:val="004B3DD4"/>
    <w:rsid w:val="00641608"/>
    <w:rsid w:val="0084722D"/>
    <w:rsid w:val="008A6A7F"/>
    <w:rsid w:val="009E4A82"/>
    <w:rsid w:val="00A929E1"/>
    <w:rsid w:val="00C91E84"/>
    <w:rsid w:val="00C9418D"/>
    <w:rsid w:val="00D77CF7"/>
    <w:rsid w:val="00DE3982"/>
    <w:rsid w:val="00E81069"/>
    <w:rsid w:val="00FD59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73885"/>
  <w15:docId w15:val="{4133298B-2936-7245-9D4E-E25296FB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C91E84"/>
    <w:pPr>
      <w:spacing w:after="0" w:line="240" w:lineRule="auto"/>
    </w:pPr>
  </w:style>
  <w:style w:type="character" w:styleId="Hyperlink">
    <w:name w:val="Hyperlink"/>
    <w:basedOn w:val="DefaultParagraphFont"/>
    <w:uiPriority w:val="99"/>
    <w:unhideWhenUsed/>
    <w:rsid w:val="00FD59B9"/>
    <w:rPr>
      <w:color w:val="0000FF" w:themeColor="hyperlink"/>
      <w:u w:val="single"/>
    </w:rPr>
  </w:style>
  <w:style w:type="character" w:customStyle="1" w:styleId="UnresolvedMention">
    <w:name w:val="Unresolved Mention"/>
    <w:basedOn w:val="DefaultParagraphFont"/>
    <w:uiPriority w:val="99"/>
    <w:semiHidden/>
    <w:unhideWhenUsed/>
    <w:rsid w:val="00FD59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culturalheritageimaging.org/Technologies/RT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016/j.jofri.2016.11.004" TargetMode="External"/><Relationship Id="rId12" Type="http://schemas.openxmlformats.org/officeDocument/2006/relationships/hyperlink" Target="https://doi.org/10.1007/s41636-018-0107-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45/1841317.184132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5334/jcaa.80" TargetMode="External"/><Relationship Id="rId4" Type="http://schemas.openxmlformats.org/officeDocument/2006/relationships/webSettings" Target="webSettings.xml"/><Relationship Id="rId9" Type="http://schemas.openxmlformats.org/officeDocument/2006/relationships/hyperlink" Target="https://vcg.isti.cnr.it/vcgtools/relight//"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Analou Raagas</dc:creator>
  <cp:lastModifiedBy>Analou Raagas</cp:lastModifiedBy>
  <cp:revision>2</cp:revision>
  <dcterms:created xsi:type="dcterms:W3CDTF">2026-08-25T00:51:00Z</dcterms:created>
  <dcterms:modified xsi:type="dcterms:W3CDTF">2026-08-25T00:51:00Z</dcterms:modified>
</cp:coreProperties>
</file>