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4E06C" w14:textId="157A455D" w:rsidR="0086326B" w:rsidRPr="005F562F" w:rsidRDefault="0019013C" w:rsidP="003D6421">
      <w:pPr>
        <w:jc w:val="center"/>
        <w:rPr>
          <w:rFonts w:ascii="Times New Roman" w:hAnsi="Times New Roman" w:cs="Times New Roman"/>
          <w:sz w:val="28"/>
          <w:szCs w:val="28"/>
          <w:lang w:val="en-AU"/>
        </w:rPr>
      </w:pPr>
      <w:r w:rsidRPr="005F562F">
        <w:rPr>
          <w:rFonts w:ascii="Times New Roman" w:hAnsi="Times New Roman" w:cs="Times New Roman"/>
          <w:sz w:val="28"/>
          <w:szCs w:val="28"/>
          <w:lang w:val="en-AU"/>
        </w:rPr>
        <w:br/>
      </w:r>
      <w:r w:rsidR="003D6421" w:rsidRPr="005F562F">
        <w:rPr>
          <w:rFonts w:ascii="Times New Roman" w:hAnsi="Times New Roman" w:cs="Times New Roman"/>
          <w:sz w:val="28"/>
          <w:szCs w:val="28"/>
          <w:lang w:val="en-AU"/>
        </w:rPr>
        <w:t>Responses to the referees</w:t>
      </w:r>
    </w:p>
    <w:p w14:paraId="637234B0" w14:textId="2F5C3EE5" w:rsidR="003D6421" w:rsidRPr="005F562F" w:rsidRDefault="003D6421" w:rsidP="003D6421">
      <w:pPr>
        <w:jc w:val="center"/>
        <w:rPr>
          <w:rFonts w:ascii="Times New Roman" w:hAnsi="Times New Roman" w:cs="Times New Roman"/>
          <w:sz w:val="28"/>
          <w:szCs w:val="28"/>
          <w:lang w:val="en-AU"/>
        </w:rPr>
      </w:pPr>
    </w:p>
    <w:p w14:paraId="00E5B3CF" w14:textId="7C431F44" w:rsidR="003D6421" w:rsidRDefault="003D6421" w:rsidP="003D6421">
      <w:pPr>
        <w:jc w:val="center"/>
        <w:rPr>
          <w:rFonts w:ascii="Times New Roman" w:hAnsi="Times New Roman" w:cs="Times New Roman"/>
          <w:sz w:val="28"/>
          <w:szCs w:val="28"/>
          <w:lang w:val="en-AU"/>
        </w:rPr>
      </w:pPr>
      <w:r w:rsidRPr="003D6421">
        <w:rPr>
          <w:rFonts w:ascii="Times New Roman" w:hAnsi="Times New Roman" w:cs="Times New Roman"/>
          <w:sz w:val="28"/>
          <w:szCs w:val="28"/>
          <w:lang w:val="en-AU"/>
        </w:rPr>
        <w:t>Th</w:t>
      </w:r>
      <w:r>
        <w:rPr>
          <w:rFonts w:ascii="Times New Roman" w:hAnsi="Times New Roman" w:cs="Times New Roman"/>
          <w:sz w:val="28"/>
          <w:szCs w:val="28"/>
          <w:lang w:val="en-AU"/>
        </w:rPr>
        <w:t>e first referee</w:t>
      </w:r>
      <w:r w:rsidR="006831FC">
        <w:rPr>
          <w:rFonts w:ascii="Times New Roman" w:hAnsi="Times New Roman" w:cs="Times New Roman"/>
          <w:sz w:val="28"/>
          <w:szCs w:val="28"/>
          <w:lang w:val="en-AU"/>
        </w:rPr>
        <w:t>’s comments:</w:t>
      </w:r>
    </w:p>
    <w:p w14:paraId="255A39F0" w14:textId="6F1B97C8" w:rsidR="00B01B66" w:rsidRPr="00175B56" w:rsidRDefault="00B01B66" w:rsidP="00EA55C3">
      <w:pPr>
        <w:pStyle w:val="Akapitzlist"/>
        <w:numPr>
          <w:ilvl w:val="0"/>
          <w:numId w:val="7"/>
        </w:numPr>
        <w:jc w:val="both"/>
        <w:rPr>
          <w:rFonts w:ascii="Times New Roman" w:eastAsia="Times New Roman" w:hAnsi="Times New Roman" w:cs="Times New Roman"/>
          <w:color w:val="2D2D2D"/>
          <w:lang w:val="en-AU" w:eastAsia="en-AU"/>
        </w:rPr>
      </w:pPr>
      <w:r w:rsidRPr="00175B56">
        <w:rPr>
          <w:rFonts w:ascii="Times New Roman" w:hAnsi="Times New Roman" w:cs="Times New Roman"/>
          <w:b/>
          <w:bCs/>
          <w:lang w:val="en-US"/>
        </w:rPr>
        <w:t>The reviewer’s comment</w:t>
      </w:r>
      <w:r w:rsidRPr="00175B56">
        <w:rPr>
          <w:rFonts w:ascii="Times New Roman" w:hAnsi="Times New Roman" w:cs="Times New Roman"/>
          <w:lang w:val="en-US"/>
        </w:rPr>
        <w:t>: Major issue 2: Satisfactorily addressed in the response in the memo and in footnote 24. I suggest a slight change in footnote 24: Instead of “playing bridge when it rains or when the sun shines“, it would perhaps be more instructive to mention two options which the agent would have some power over, e.g. “playing bridge in the kitchen or playing bridge in the living room“.</w:t>
      </w:r>
    </w:p>
    <w:p w14:paraId="109AD07D" w14:textId="0635A338" w:rsidR="00175B56" w:rsidRPr="00175B56" w:rsidRDefault="00175B56" w:rsidP="00175B56">
      <w:pPr>
        <w:pStyle w:val="Akapitzlist"/>
        <w:ind w:left="1080"/>
        <w:jc w:val="both"/>
        <w:rPr>
          <w:rFonts w:ascii="Times New Roman" w:eastAsia="Times New Roman" w:hAnsi="Times New Roman" w:cs="Times New Roman"/>
          <w:color w:val="2D2D2D"/>
          <w:lang w:val="en-AU" w:eastAsia="en-AU"/>
        </w:rPr>
      </w:pPr>
      <w:r>
        <w:rPr>
          <w:rFonts w:ascii="Times New Roman" w:hAnsi="Times New Roman" w:cs="Times New Roman"/>
          <w:b/>
          <w:bCs/>
          <w:lang w:val="en-US"/>
        </w:rPr>
        <w:t>Our response</w:t>
      </w:r>
      <w:r w:rsidRPr="00175B56">
        <w:rPr>
          <w:rFonts w:ascii="Times New Roman" w:eastAsia="Times New Roman" w:hAnsi="Times New Roman" w:cs="Times New Roman"/>
          <w:color w:val="2D2D2D"/>
          <w:lang w:val="en-AU" w:eastAsia="en-AU"/>
        </w:rPr>
        <w:t>:</w:t>
      </w:r>
      <w:r>
        <w:rPr>
          <w:rFonts w:ascii="Times New Roman" w:eastAsia="Times New Roman" w:hAnsi="Times New Roman" w:cs="Times New Roman"/>
          <w:color w:val="2D2D2D"/>
          <w:lang w:val="en-AU" w:eastAsia="en-AU"/>
        </w:rPr>
        <w:t xml:space="preserve"> </w:t>
      </w:r>
      <w:r w:rsidR="00162489">
        <w:rPr>
          <w:rFonts w:ascii="Times New Roman" w:eastAsia="Times New Roman" w:hAnsi="Times New Roman" w:cs="Times New Roman"/>
          <w:color w:val="2D2D2D"/>
          <w:lang w:val="en-AU" w:eastAsia="en-AU"/>
        </w:rPr>
        <w:t>We remedied the problem by coming up with the circumstances over which an agent has</w:t>
      </w:r>
      <w:r w:rsidR="000C4777">
        <w:rPr>
          <w:rFonts w:ascii="Times New Roman" w:eastAsia="Times New Roman" w:hAnsi="Times New Roman" w:cs="Times New Roman"/>
          <w:color w:val="2D2D2D"/>
          <w:lang w:val="en-AU" w:eastAsia="en-AU"/>
        </w:rPr>
        <w:t xml:space="preserve"> some</w:t>
      </w:r>
      <w:r w:rsidR="00162489">
        <w:rPr>
          <w:rFonts w:ascii="Times New Roman" w:eastAsia="Times New Roman" w:hAnsi="Times New Roman" w:cs="Times New Roman"/>
          <w:color w:val="2D2D2D"/>
          <w:lang w:val="en-AU" w:eastAsia="en-AU"/>
        </w:rPr>
        <w:t xml:space="preserve"> power; that is, “playing bridge indoors” and “playing bridge outdoors”. </w:t>
      </w:r>
    </w:p>
    <w:p w14:paraId="7194D313" w14:textId="4CB05FDB" w:rsidR="00BD6029" w:rsidRDefault="00BD6029" w:rsidP="00EA55C3">
      <w:pPr>
        <w:pStyle w:val="Akapitzlist"/>
        <w:numPr>
          <w:ilvl w:val="0"/>
          <w:numId w:val="7"/>
        </w:numPr>
        <w:jc w:val="both"/>
        <w:rPr>
          <w:rFonts w:ascii="Times New Roman" w:eastAsia="Times New Roman" w:hAnsi="Times New Roman" w:cs="Times New Roman"/>
          <w:color w:val="2D2D2D"/>
          <w:lang w:val="en-AU" w:eastAsia="en-AU"/>
        </w:rPr>
      </w:pPr>
      <w:r w:rsidRPr="00BD6029">
        <w:rPr>
          <w:rFonts w:ascii="Times New Roman" w:hAnsi="Times New Roman" w:cs="Times New Roman"/>
          <w:b/>
          <w:bCs/>
          <w:lang w:val="en-AU"/>
        </w:rPr>
        <w:t>The reviewer’s comment</w:t>
      </w:r>
      <w:r>
        <w:rPr>
          <w:rFonts w:ascii="Times New Roman" w:hAnsi="Times New Roman" w:cs="Times New Roman"/>
          <w:lang w:val="en-AU"/>
        </w:rPr>
        <w:t>: “</w:t>
      </w:r>
      <w:r w:rsidRPr="00BD6029">
        <w:rPr>
          <w:rFonts w:ascii="Times New Roman" w:eastAsia="Times New Roman" w:hAnsi="Times New Roman" w:cs="Times New Roman"/>
          <w:color w:val="2D2D2D"/>
          <w:lang w:val="en-AU" w:eastAsia="en-AU"/>
        </w:rPr>
        <w:t>Major issue: Footnote 23 (in response to reviewer 2) partially addresses the point and should perhaps be announced earlier (~ on p 15). Having said that, my (and, as I understand it, also reviewer 2’s) worry remains: The authors only consider “an economic actor is free to choose a value scale … note that this […] invokes the notion of choice [and higher order value scales] (p 15)“. Alternatively, instead of a choice between pre-existing value scales one might speak of a creative construction of a value scale or of an “indeterminate process that is not a choice process“ (reviewer 2). Footnote 23 remains in the framework of pre-existing scales and merely considers an indeterministic mode of picking one of them. As mention earlier, I do not think this possibility of “free creation“ of value scales needs to be developed and discussed in the paper but perhaps mentioned. I am not convinced the authors have ruled it out conclusively.</w:t>
      </w:r>
      <w:r>
        <w:rPr>
          <w:rFonts w:ascii="Times New Roman" w:eastAsia="Times New Roman" w:hAnsi="Times New Roman" w:cs="Times New Roman"/>
          <w:color w:val="2D2D2D"/>
          <w:lang w:val="en-AU" w:eastAsia="en-AU"/>
        </w:rPr>
        <w:t>”</w:t>
      </w:r>
    </w:p>
    <w:p w14:paraId="66329873" w14:textId="562820A3" w:rsidR="00BD6029" w:rsidRDefault="00BD6029" w:rsidP="00EA55C3">
      <w:pPr>
        <w:pStyle w:val="Akapitzlist"/>
        <w:ind w:left="1080"/>
        <w:jc w:val="both"/>
        <w:rPr>
          <w:rFonts w:ascii="Times New Roman" w:hAnsi="Times New Roman" w:cs="Times New Roman"/>
          <w:lang w:val="en-AU"/>
        </w:rPr>
      </w:pPr>
      <w:r>
        <w:rPr>
          <w:rFonts w:ascii="Times New Roman" w:hAnsi="Times New Roman" w:cs="Times New Roman"/>
          <w:b/>
          <w:bCs/>
          <w:lang w:val="en-AU"/>
        </w:rPr>
        <w:t xml:space="preserve">Our response: </w:t>
      </w:r>
      <w:r w:rsidR="009E1625">
        <w:rPr>
          <w:rFonts w:ascii="Times New Roman" w:hAnsi="Times New Roman" w:cs="Times New Roman"/>
          <w:lang w:val="en-AU"/>
        </w:rPr>
        <w:t>We respond to the above objection in the add-on to footnote 23</w:t>
      </w:r>
      <w:r w:rsidR="000F0B30">
        <w:rPr>
          <w:rFonts w:ascii="Times New Roman" w:hAnsi="Times New Roman" w:cs="Times New Roman"/>
          <w:lang w:val="en-AU"/>
        </w:rPr>
        <w:t xml:space="preserve"> (marked in yellow). </w:t>
      </w:r>
    </w:p>
    <w:p w14:paraId="5C78E3FB" w14:textId="604E7D22" w:rsidR="00FD5A5E" w:rsidRDefault="00FD5A5E" w:rsidP="00FD5A5E">
      <w:pPr>
        <w:pStyle w:val="Akapitzlist"/>
        <w:numPr>
          <w:ilvl w:val="0"/>
          <w:numId w:val="7"/>
        </w:numPr>
        <w:jc w:val="both"/>
        <w:rPr>
          <w:rFonts w:ascii="Times New Roman" w:hAnsi="Times New Roman" w:cs="Times New Roman"/>
          <w:lang w:val="en-AU"/>
        </w:rPr>
      </w:pPr>
      <w:r w:rsidRPr="00FD5A5E">
        <w:rPr>
          <w:rFonts w:ascii="Times New Roman" w:hAnsi="Times New Roman" w:cs="Times New Roman"/>
          <w:b/>
          <w:bCs/>
          <w:lang w:val="en-AU"/>
        </w:rPr>
        <w:t>The reviewer’s suggestion</w:t>
      </w:r>
      <w:r>
        <w:rPr>
          <w:rFonts w:ascii="Times New Roman" w:hAnsi="Times New Roman" w:cs="Times New Roman"/>
          <w:lang w:val="en-AU"/>
        </w:rPr>
        <w:t xml:space="preserve"> as to announcing our footnote 23 “earlier”; viz., on p. 15.</w:t>
      </w:r>
    </w:p>
    <w:p w14:paraId="3E235C9D" w14:textId="676559E8" w:rsidR="00FD5A5E" w:rsidRPr="00356EA1" w:rsidRDefault="00FD5A5E" w:rsidP="00FD5A5E">
      <w:pPr>
        <w:pStyle w:val="Akapitzlist"/>
        <w:ind w:left="1080"/>
        <w:jc w:val="both"/>
        <w:rPr>
          <w:rFonts w:ascii="Times New Roman" w:hAnsi="Times New Roman" w:cs="Times New Roman"/>
          <w:lang w:val="en-AU"/>
        </w:rPr>
      </w:pPr>
      <w:r w:rsidRPr="00FD5A5E">
        <w:rPr>
          <w:rFonts w:ascii="Times New Roman" w:hAnsi="Times New Roman" w:cs="Times New Roman"/>
          <w:b/>
          <w:bCs/>
          <w:lang w:val="en-AU"/>
        </w:rPr>
        <w:t>Our response</w:t>
      </w:r>
      <w:r>
        <w:rPr>
          <w:rFonts w:ascii="Times New Roman" w:hAnsi="Times New Roman" w:cs="Times New Roman"/>
          <w:lang w:val="en-AU"/>
        </w:rPr>
        <w:t xml:space="preserve">: </w:t>
      </w:r>
      <w:r w:rsidR="00356EA1">
        <w:rPr>
          <w:rFonts w:ascii="Times New Roman" w:hAnsi="Times New Roman" w:cs="Times New Roman"/>
          <w:lang w:val="en-AU"/>
        </w:rPr>
        <w:t xml:space="preserve">On p. 15 we added the following fragment in brackets: </w:t>
      </w:r>
      <w:r w:rsidR="00356EA1" w:rsidRPr="00356EA1">
        <w:rPr>
          <w:rFonts w:ascii="Times New Roman" w:hAnsi="Times New Roman" w:cs="Times New Roman"/>
          <w:lang w:val="en-AU"/>
        </w:rPr>
        <w:t>“</w:t>
      </w:r>
      <w:r w:rsidR="00356EA1" w:rsidRPr="00356EA1">
        <w:rPr>
          <w:rFonts w:ascii="Times New Roman" w:hAnsi="Times New Roman" w:cs="Times New Roman"/>
          <w:color w:val="000000" w:themeColor="text1"/>
          <w:lang w:val="en-AU"/>
        </w:rPr>
        <w:t xml:space="preserve">for an interesting objection suggesting a possibility of the free creation of value scales, which would allegedly not involve a choice </w:t>
      </w:r>
      <w:proofErr w:type="spellStart"/>
      <w:r w:rsidR="00356EA1" w:rsidRPr="00356EA1">
        <w:rPr>
          <w:rFonts w:ascii="Times New Roman" w:hAnsi="Times New Roman" w:cs="Times New Roman"/>
          <w:color w:val="000000" w:themeColor="text1"/>
          <w:lang w:val="en-AU"/>
        </w:rPr>
        <w:t>behavior</w:t>
      </w:r>
      <w:proofErr w:type="spellEnd"/>
      <w:r w:rsidR="00356EA1" w:rsidRPr="00356EA1">
        <w:rPr>
          <w:rFonts w:ascii="Times New Roman" w:hAnsi="Times New Roman" w:cs="Times New Roman"/>
          <w:color w:val="000000" w:themeColor="text1"/>
          <w:lang w:val="en-AU"/>
        </w:rPr>
        <w:t xml:space="preserve">, see footnote 23”. </w:t>
      </w:r>
      <w:r w:rsidR="00356EA1">
        <w:rPr>
          <w:rFonts w:ascii="Times New Roman" w:hAnsi="Times New Roman" w:cs="Times New Roman"/>
          <w:color w:val="000000" w:themeColor="text1"/>
          <w:lang w:val="en-AU"/>
        </w:rPr>
        <w:t xml:space="preserve">The fragment is marked in yellow. </w:t>
      </w:r>
    </w:p>
    <w:p w14:paraId="47AB936B" w14:textId="6CD6CC21" w:rsidR="00D031D9" w:rsidRPr="00D031D9" w:rsidRDefault="00D031D9" w:rsidP="00EA55C3">
      <w:pPr>
        <w:pStyle w:val="Akapitzlist"/>
        <w:numPr>
          <w:ilvl w:val="0"/>
          <w:numId w:val="7"/>
        </w:numPr>
        <w:jc w:val="both"/>
        <w:rPr>
          <w:rFonts w:ascii="Times New Roman" w:eastAsia="Times New Roman" w:hAnsi="Times New Roman" w:cs="Times New Roman"/>
          <w:color w:val="2D2D2D"/>
          <w:lang w:val="en-AU" w:eastAsia="en-AU"/>
        </w:rPr>
      </w:pPr>
      <w:r w:rsidRPr="00D031D9">
        <w:rPr>
          <w:rFonts w:ascii="Times New Roman" w:eastAsia="Times New Roman" w:hAnsi="Times New Roman" w:cs="Times New Roman"/>
          <w:b/>
          <w:bCs/>
          <w:color w:val="2D2D2D"/>
          <w:lang w:val="en-AU" w:eastAsia="en-AU"/>
        </w:rPr>
        <w:t>The reviewer’s comment</w:t>
      </w:r>
      <w:r w:rsidRPr="00D031D9">
        <w:rPr>
          <w:rFonts w:ascii="Times New Roman" w:eastAsia="Times New Roman" w:hAnsi="Times New Roman" w:cs="Times New Roman"/>
          <w:color w:val="2D2D2D"/>
          <w:lang w:val="en-AU" w:eastAsia="en-AU"/>
        </w:rPr>
        <w:t>: “Minor issue 8: On p5, l 50-51, I suggest inserting „according to Rothbard“ for clarification (or a similar revision). It would then read: „For, according to Rothbard, praxeology is possible …“</w:t>
      </w:r>
    </w:p>
    <w:p w14:paraId="0329101D" w14:textId="7BAF6FDB" w:rsidR="00D031D9" w:rsidRDefault="00D031D9" w:rsidP="00EA55C3">
      <w:pPr>
        <w:pStyle w:val="Akapitzlist"/>
        <w:ind w:left="1080"/>
        <w:jc w:val="both"/>
        <w:rPr>
          <w:rFonts w:ascii="Times New Roman" w:eastAsia="Times New Roman" w:hAnsi="Times New Roman" w:cs="Times New Roman"/>
          <w:color w:val="2D2D2D"/>
          <w:lang w:val="en-AU" w:eastAsia="en-AU"/>
        </w:rPr>
      </w:pPr>
      <w:r w:rsidRPr="00D031D9">
        <w:rPr>
          <w:rFonts w:ascii="Times New Roman" w:eastAsia="Times New Roman" w:hAnsi="Times New Roman" w:cs="Times New Roman"/>
          <w:b/>
          <w:bCs/>
          <w:color w:val="2D2D2D"/>
          <w:lang w:val="en-AU" w:eastAsia="en-AU"/>
        </w:rPr>
        <w:t>Our response</w:t>
      </w:r>
      <w:r>
        <w:rPr>
          <w:rFonts w:ascii="Times New Roman" w:eastAsia="Times New Roman" w:hAnsi="Times New Roman" w:cs="Times New Roman"/>
          <w:color w:val="2D2D2D"/>
          <w:lang w:val="en-AU" w:eastAsia="en-AU"/>
        </w:rPr>
        <w:t xml:space="preserve">: We followed the referee’s advice and changed the mentioned fragment accordingly. </w:t>
      </w:r>
    </w:p>
    <w:p w14:paraId="14632A9C" w14:textId="58B79965" w:rsidR="00F31B81" w:rsidRDefault="00F31B81" w:rsidP="00EA55C3">
      <w:pPr>
        <w:pStyle w:val="Akapitzlist"/>
        <w:numPr>
          <w:ilvl w:val="0"/>
          <w:numId w:val="7"/>
        </w:numPr>
        <w:jc w:val="both"/>
        <w:rPr>
          <w:rFonts w:ascii="Times New Roman" w:eastAsia="Times New Roman" w:hAnsi="Times New Roman" w:cs="Times New Roman"/>
          <w:color w:val="2D2D2D"/>
          <w:lang w:val="en-AU" w:eastAsia="en-AU"/>
        </w:rPr>
      </w:pPr>
      <w:r w:rsidRPr="00F31B81">
        <w:rPr>
          <w:rFonts w:ascii="Times New Roman" w:eastAsia="Times New Roman" w:hAnsi="Times New Roman" w:cs="Times New Roman"/>
          <w:b/>
          <w:bCs/>
          <w:color w:val="2D2D2D"/>
          <w:lang w:val="en-AU" w:eastAsia="en-AU"/>
        </w:rPr>
        <w:t>The reviewer’s comment</w:t>
      </w:r>
      <w:r w:rsidRPr="00F31B81">
        <w:rPr>
          <w:rFonts w:ascii="Times New Roman" w:eastAsia="Times New Roman" w:hAnsi="Times New Roman" w:cs="Times New Roman"/>
          <w:color w:val="2D2D2D"/>
          <w:lang w:val="en-AU" w:eastAsia="en-AU"/>
        </w:rPr>
        <w:t>: Formulation: P25, l 7: “this“ –&gt; “the“</w:t>
      </w:r>
      <w:r>
        <w:rPr>
          <w:rFonts w:ascii="Times New Roman" w:eastAsia="Times New Roman" w:hAnsi="Times New Roman" w:cs="Times New Roman"/>
          <w:color w:val="2D2D2D"/>
          <w:lang w:val="en-AU" w:eastAsia="en-AU"/>
        </w:rPr>
        <w:t>?</w:t>
      </w:r>
    </w:p>
    <w:p w14:paraId="27395B15" w14:textId="361F666F" w:rsidR="003D6421" w:rsidRDefault="00F31B81" w:rsidP="00EA55C3">
      <w:pPr>
        <w:pStyle w:val="Akapitzlist"/>
        <w:ind w:left="1080"/>
        <w:jc w:val="both"/>
        <w:rPr>
          <w:rFonts w:ascii="Times New Roman" w:eastAsia="Times New Roman" w:hAnsi="Times New Roman" w:cs="Times New Roman"/>
          <w:color w:val="2D2D2D"/>
          <w:lang w:val="en-AU" w:eastAsia="en-AU"/>
        </w:rPr>
      </w:pPr>
      <w:r>
        <w:rPr>
          <w:rFonts w:ascii="Times New Roman" w:eastAsia="Times New Roman" w:hAnsi="Times New Roman" w:cs="Times New Roman"/>
          <w:b/>
          <w:bCs/>
          <w:color w:val="2D2D2D"/>
          <w:lang w:val="en-AU" w:eastAsia="en-AU"/>
        </w:rPr>
        <w:t xml:space="preserve">Our response: </w:t>
      </w:r>
      <w:r>
        <w:rPr>
          <w:rFonts w:ascii="Times New Roman" w:eastAsia="Times New Roman" w:hAnsi="Times New Roman" w:cs="Times New Roman"/>
          <w:color w:val="2D2D2D"/>
          <w:lang w:val="en-AU" w:eastAsia="en-AU"/>
        </w:rPr>
        <w:t xml:space="preserve">Indeed. “This” was a slight infelicity. We fixed the problem. </w:t>
      </w:r>
    </w:p>
    <w:p w14:paraId="144F715D" w14:textId="34003BE8" w:rsidR="00206D57" w:rsidRPr="00206D57" w:rsidRDefault="00206D57" w:rsidP="00EA55C3">
      <w:pPr>
        <w:pStyle w:val="Akapitzlist"/>
        <w:numPr>
          <w:ilvl w:val="0"/>
          <w:numId w:val="7"/>
        </w:numPr>
        <w:jc w:val="both"/>
        <w:rPr>
          <w:rFonts w:ascii="Times New Roman" w:eastAsia="Times New Roman" w:hAnsi="Times New Roman" w:cs="Times New Roman"/>
          <w:color w:val="2D2D2D"/>
          <w:lang w:val="en-AU" w:eastAsia="en-AU"/>
        </w:rPr>
      </w:pPr>
      <w:r w:rsidRPr="00206D57">
        <w:rPr>
          <w:rFonts w:ascii="Times New Roman" w:eastAsia="Times New Roman" w:hAnsi="Times New Roman" w:cs="Times New Roman"/>
          <w:b/>
          <w:bCs/>
          <w:color w:val="2D2D2D"/>
          <w:lang w:val="en-AU" w:eastAsia="en-AU"/>
        </w:rPr>
        <w:t>The reviewer’s comment</w:t>
      </w:r>
      <w:r w:rsidRPr="00206D57">
        <w:rPr>
          <w:rFonts w:ascii="Times New Roman" w:eastAsia="Times New Roman" w:hAnsi="Times New Roman" w:cs="Times New Roman"/>
          <w:color w:val="2D2D2D"/>
          <w:lang w:val="en-AU" w:eastAsia="en-AU"/>
        </w:rPr>
        <w:t>: “Formulation: P25, l 17: “whom“ -&gt; “whom a“ ?</w:t>
      </w:r>
    </w:p>
    <w:p w14:paraId="6DA975C8" w14:textId="210B798F" w:rsidR="00206D57" w:rsidRDefault="00206D57" w:rsidP="00EA55C3">
      <w:pPr>
        <w:pStyle w:val="Akapitzlist"/>
        <w:ind w:left="1080"/>
        <w:jc w:val="both"/>
        <w:rPr>
          <w:rFonts w:ascii="Times New Roman" w:eastAsia="Times New Roman" w:hAnsi="Times New Roman" w:cs="Times New Roman"/>
          <w:color w:val="2D2D2D"/>
          <w:lang w:val="en-AU" w:eastAsia="en-AU"/>
        </w:rPr>
      </w:pPr>
      <w:r w:rsidRPr="004103A3">
        <w:rPr>
          <w:rFonts w:ascii="Times New Roman" w:eastAsia="Times New Roman" w:hAnsi="Times New Roman" w:cs="Times New Roman"/>
          <w:b/>
          <w:bCs/>
          <w:color w:val="2D2D2D"/>
          <w:lang w:val="en-AU" w:eastAsia="en-AU"/>
        </w:rPr>
        <w:t>Our response</w:t>
      </w:r>
      <w:r>
        <w:rPr>
          <w:rFonts w:ascii="Times New Roman" w:eastAsia="Times New Roman" w:hAnsi="Times New Roman" w:cs="Times New Roman"/>
          <w:color w:val="2D2D2D"/>
          <w:lang w:val="en-AU" w:eastAsia="en-AU"/>
        </w:rPr>
        <w:t xml:space="preserve">: Granted. The article was missing. We fixed the problem accordingly. </w:t>
      </w:r>
    </w:p>
    <w:p w14:paraId="06A854D3" w14:textId="66794F0A" w:rsidR="00B2499D" w:rsidRDefault="00B2499D" w:rsidP="00EA55C3">
      <w:pPr>
        <w:pStyle w:val="Akapitzlist"/>
        <w:numPr>
          <w:ilvl w:val="0"/>
          <w:numId w:val="7"/>
        </w:numPr>
        <w:jc w:val="both"/>
        <w:rPr>
          <w:rFonts w:ascii="Times New Roman" w:hAnsi="Times New Roman" w:cs="Times New Roman"/>
          <w:lang w:val="en-US"/>
        </w:rPr>
      </w:pPr>
      <w:r w:rsidRPr="00B2499D">
        <w:rPr>
          <w:rFonts w:ascii="Times New Roman" w:eastAsia="Times New Roman" w:hAnsi="Times New Roman" w:cs="Times New Roman"/>
          <w:b/>
          <w:bCs/>
          <w:color w:val="2D2D2D"/>
          <w:lang w:val="en-AU" w:eastAsia="en-AU"/>
        </w:rPr>
        <w:t>The reviewer’s comment</w:t>
      </w:r>
      <w:r w:rsidRPr="00B2499D">
        <w:rPr>
          <w:rFonts w:ascii="Times New Roman" w:eastAsia="Times New Roman" w:hAnsi="Times New Roman" w:cs="Times New Roman"/>
          <w:color w:val="2D2D2D"/>
          <w:lang w:val="en-AU" w:eastAsia="en-AU"/>
        </w:rPr>
        <w:t>: “</w:t>
      </w:r>
      <w:r w:rsidRPr="00B2499D">
        <w:rPr>
          <w:rFonts w:ascii="Times New Roman" w:hAnsi="Times New Roman" w:cs="Times New Roman"/>
          <w:b/>
          <w:bCs/>
          <w:lang w:val="en-US"/>
        </w:rPr>
        <w:t>P26, l 31-38</w:t>
      </w:r>
      <w:r w:rsidRPr="00B2499D">
        <w:rPr>
          <w:rFonts w:ascii="Times New Roman" w:hAnsi="Times New Roman" w:cs="Times New Roman"/>
          <w:lang w:val="en-US"/>
        </w:rPr>
        <w:t xml:space="preserve"> is not implausible but – since at first sight it seems to contradict the preceding quote - requires substantiation.</w:t>
      </w:r>
      <w:r>
        <w:rPr>
          <w:rFonts w:ascii="Times New Roman" w:hAnsi="Times New Roman" w:cs="Times New Roman"/>
          <w:lang w:val="en-US"/>
        </w:rPr>
        <w:t>”</w:t>
      </w:r>
    </w:p>
    <w:p w14:paraId="56DA19E2" w14:textId="2719E618" w:rsidR="00B2499D" w:rsidRDefault="00B2499D" w:rsidP="00EA55C3">
      <w:pPr>
        <w:pStyle w:val="Akapitzlist"/>
        <w:ind w:left="1080"/>
        <w:jc w:val="both"/>
        <w:rPr>
          <w:rFonts w:ascii="Times New Roman" w:hAnsi="Times New Roman" w:cs="Times New Roman"/>
          <w:lang w:val="en-AU"/>
        </w:rPr>
      </w:pPr>
      <w:r w:rsidRPr="00365524">
        <w:rPr>
          <w:rFonts w:ascii="Times New Roman" w:eastAsia="Times New Roman" w:hAnsi="Times New Roman" w:cs="Times New Roman"/>
          <w:b/>
          <w:bCs/>
          <w:color w:val="2D2D2D"/>
          <w:lang w:val="en-AU" w:eastAsia="en-AU"/>
        </w:rPr>
        <w:t>Our response</w:t>
      </w:r>
      <w:r>
        <w:rPr>
          <w:rFonts w:ascii="Times New Roman" w:eastAsia="Times New Roman" w:hAnsi="Times New Roman" w:cs="Times New Roman"/>
          <w:color w:val="2D2D2D"/>
          <w:lang w:val="en-AU" w:eastAsia="en-AU"/>
        </w:rPr>
        <w:t xml:space="preserve">: </w:t>
      </w:r>
      <w:r w:rsidR="00365524">
        <w:rPr>
          <w:rFonts w:ascii="Times New Roman" w:eastAsia="Times New Roman" w:hAnsi="Times New Roman" w:cs="Times New Roman"/>
          <w:color w:val="2D2D2D"/>
          <w:lang w:val="en-AU" w:eastAsia="en-AU"/>
        </w:rPr>
        <w:t xml:space="preserve">We believe that what follows the quote does not contradict it. After all, Mises said that action involves substituting “a more satisfactory states of affairs for a less satisfactory one”, which is not contradicted by our commentary to the effect that “Mises </w:t>
      </w:r>
      <w:r w:rsidR="00365524" w:rsidRPr="00365524">
        <w:rPr>
          <w:rFonts w:ascii="Times New Roman" w:hAnsi="Times New Roman" w:cs="Times New Roman"/>
          <w:lang w:val="en-AU"/>
        </w:rPr>
        <w:t xml:space="preserve">does </w:t>
      </w:r>
      <w:r w:rsidR="00365524" w:rsidRPr="009136F9">
        <w:rPr>
          <w:rFonts w:ascii="Times New Roman" w:hAnsi="Times New Roman" w:cs="Times New Roman"/>
          <w:b/>
          <w:bCs/>
          <w:lang w:val="en-AU"/>
        </w:rPr>
        <w:t>not</w:t>
      </w:r>
      <w:r w:rsidR="00365524" w:rsidRPr="00365524">
        <w:rPr>
          <w:rFonts w:ascii="Times New Roman" w:hAnsi="Times New Roman" w:cs="Times New Roman"/>
          <w:lang w:val="en-AU"/>
        </w:rPr>
        <w:t xml:space="preserve"> say that action might involve substituting a </w:t>
      </w:r>
      <w:r w:rsidR="00365524" w:rsidRPr="00365524">
        <w:rPr>
          <w:rFonts w:ascii="Times New Roman" w:hAnsi="Times New Roman" w:cs="Times New Roman"/>
          <w:b/>
          <w:bCs/>
          <w:lang w:val="en-AU"/>
        </w:rPr>
        <w:t>less</w:t>
      </w:r>
      <w:r w:rsidR="00365524" w:rsidRPr="00365524">
        <w:rPr>
          <w:rFonts w:ascii="Times New Roman" w:hAnsi="Times New Roman" w:cs="Times New Roman"/>
          <w:lang w:val="en-AU"/>
        </w:rPr>
        <w:t xml:space="preserve"> satisfactory state of affairs for a </w:t>
      </w:r>
      <w:r w:rsidR="00365524" w:rsidRPr="00365524">
        <w:rPr>
          <w:rFonts w:ascii="Times New Roman" w:hAnsi="Times New Roman" w:cs="Times New Roman"/>
          <w:b/>
          <w:bCs/>
          <w:lang w:val="en-AU"/>
        </w:rPr>
        <w:t>more</w:t>
      </w:r>
      <w:r w:rsidR="00365524" w:rsidRPr="00365524">
        <w:rPr>
          <w:rFonts w:ascii="Times New Roman" w:hAnsi="Times New Roman" w:cs="Times New Roman"/>
          <w:lang w:val="en-AU"/>
        </w:rPr>
        <w:t xml:space="preserve"> satisfactory one</w:t>
      </w:r>
      <w:r w:rsidR="00365524">
        <w:rPr>
          <w:rFonts w:ascii="Times New Roman" w:hAnsi="Times New Roman" w:cs="Times New Roman"/>
          <w:lang w:val="en-AU"/>
        </w:rPr>
        <w:t xml:space="preserve">.” </w:t>
      </w:r>
      <w:r w:rsidR="009136F9">
        <w:rPr>
          <w:rFonts w:ascii="Times New Roman" w:hAnsi="Times New Roman" w:cs="Times New Roman"/>
          <w:lang w:val="en-AU"/>
        </w:rPr>
        <w:t xml:space="preserve">In other words, for Mises, and we acknowledge it, action is about replacing a less satisfactory state for a more satisfactory one. </w:t>
      </w:r>
      <w:r w:rsidR="00BE2BA3">
        <w:rPr>
          <w:rFonts w:ascii="Times New Roman" w:hAnsi="Times New Roman" w:cs="Times New Roman"/>
          <w:lang w:val="en-AU"/>
        </w:rPr>
        <w:t xml:space="preserve">We resort to a negative statement in order to show that Mises does not subscribe to MLF. For, if he believes in MLF, he would have to allow for the possibility of substituting a less satisfactory state of affairs for a more satisfactory one. In other words, MLF would predict the possibility of the </w:t>
      </w:r>
      <w:r w:rsidR="00BE2BA3">
        <w:rPr>
          <w:rFonts w:ascii="Times New Roman" w:hAnsi="Times New Roman" w:cs="Times New Roman"/>
          <w:lang w:val="en-AU"/>
        </w:rPr>
        <w:lastRenderedPageBreak/>
        <w:t xml:space="preserve">agent replacing a more satisfactory state of affairs with a less satisfactory one. </w:t>
      </w:r>
      <w:r w:rsidR="003B0A7A">
        <w:rPr>
          <w:rFonts w:ascii="Times New Roman" w:hAnsi="Times New Roman" w:cs="Times New Roman"/>
          <w:lang w:val="en-AU"/>
        </w:rPr>
        <w:t xml:space="preserve">However, if the formulation is still somewhat awkward, we would be happy to change it. </w:t>
      </w:r>
    </w:p>
    <w:p w14:paraId="279CEB0E" w14:textId="5A539B58" w:rsidR="00F12971" w:rsidRPr="005E79EB" w:rsidRDefault="00F12971" w:rsidP="00EA55C3">
      <w:pPr>
        <w:pStyle w:val="Akapitzlist"/>
        <w:numPr>
          <w:ilvl w:val="0"/>
          <w:numId w:val="7"/>
        </w:numPr>
        <w:jc w:val="both"/>
        <w:rPr>
          <w:rFonts w:ascii="Times New Roman" w:hAnsi="Times New Roman" w:cs="Times New Roman"/>
          <w:lang w:val="en-US"/>
        </w:rPr>
      </w:pPr>
      <w:r>
        <w:rPr>
          <w:rFonts w:ascii="Times New Roman" w:eastAsia="Times New Roman" w:hAnsi="Times New Roman" w:cs="Times New Roman"/>
          <w:b/>
          <w:bCs/>
          <w:color w:val="2D2D2D"/>
          <w:lang w:val="en-AU" w:eastAsia="en-AU"/>
        </w:rPr>
        <w:t>The reviewer’s comment</w:t>
      </w:r>
      <w:r w:rsidRPr="005E79EB">
        <w:rPr>
          <w:rFonts w:ascii="Times New Roman" w:eastAsia="Times New Roman" w:hAnsi="Times New Roman" w:cs="Times New Roman"/>
          <w:b/>
          <w:bCs/>
          <w:color w:val="2D2D2D"/>
          <w:lang w:val="en-AU" w:eastAsia="en-AU"/>
        </w:rPr>
        <w:t xml:space="preserve">: </w:t>
      </w:r>
      <w:r w:rsidR="00755B7B" w:rsidRPr="005E79EB">
        <w:rPr>
          <w:rFonts w:ascii="Times New Roman" w:hAnsi="Times New Roman" w:cs="Times New Roman"/>
          <w:lang w:val="en-US"/>
        </w:rPr>
        <w:t xml:space="preserve">P29, </w:t>
      </w:r>
      <w:proofErr w:type="spellStart"/>
      <w:r w:rsidR="00755B7B" w:rsidRPr="005E79EB">
        <w:rPr>
          <w:rFonts w:ascii="Times New Roman" w:hAnsi="Times New Roman" w:cs="Times New Roman"/>
          <w:lang w:val="en-US"/>
        </w:rPr>
        <w:t>fn</w:t>
      </w:r>
      <w:proofErr w:type="spellEnd"/>
      <w:r w:rsidR="00755B7B" w:rsidRPr="005E79EB">
        <w:rPr>
          <w:rFonts w:ascii="Times New Roman" w:hAnsi="Times New Roman" w:cs="Times New Roman"/>
          <w:lang w:val="en-US"/>
        </w:rPr>
        <w:t xml:space="preserve"> 35: Perhaps the authors would also like to include a reference to Rothbard’s rejection of punishment as a (future-oriented) means for deterring. See e.g. his </w:t>
      </w:r>
      <w:r w:rsidR="00755B7B" w:rsidRPr="005E79EB">
        <w:rPr>
          <w:rFonts w:ascii="Times New Roman" w:hAnsi="Times New Roman" w:cs="Times New Roman"/>
          <w:i/>
          <w:iCs/>
          <w:lang w:val="en-US"/>
        </w:rPr>
        <w:t>Ethics of Liberty</w:t>
      </w:r>
      <w:r w:rsidR="00755B7B" w:rsidRPr="005E79EB">
        <w:rPr>
          <w:rFonts w:ascii="Times New Roman" w:hAnsi="Times New Roman" w:cs="Times New Roman"/>
          <w:lang w:val="en-US"/>
        </w:rPr>
        <w:t>.</w:t>
      </w:r>
    </w:p>
    <w:p w14:paraId="547B768E" w14:textId="43A6C6EC" w:rsidR="00755B7B" w:rsidRPr="00365524" w:rsidRDefault="00755B7B" w:rsidP="00EA55C3">
      <w:pPr>
        <w:pStyle w:val="Akapitzlist"/>
        <w:ind w:left="1080"/>
        <w:jc w:val="both"/>
        <w:rPr>
          <w:rFonts w:ascii="Times New Roman" w:hAnsi="Times New Roman" w:cs="Times New Roman"/>
          <w:lang w:val="en-US"/>
        </w:rPr>
      </w:pPr>
      <w:r>
        <w:rPr>
          <w:rFonts w:ascii="Times New Roman" w:eastAsia="Times New Roman" w:hAnsi="Times New Roman" w:cs="Times New Roman"/>
          <w:b/>
          <w:bCs/>
          <w:color w:val="2D2D2D"/>
          <w:lang w:val="en-AU" w:eastAsia="en-AU"/>
        </w:rPr>
        <w:t>Our response:</w:t>
      </w:r>
      <w:r>
        <w:rPr>
          <w:rFonts w:ascii="Times New Roman" w:hAnsi="Times New Roman" w:cs="Times New Roman"/>
          <w:lang w:val="en-US"/>
        </w:rPr>
        <w:t xml:space="preserve"> We did add to </w:t>
      </w:r>
      <w:proofErr w:type="spellStart"/>
      <w:r>
        <w:rPr>
          <w:rFonts w:ascii="Times New Roman" w:hAnsi="Times New Roman" w:cs="Times New Roman"/>
          <w:lang w:val="en-US"/>
        </w:rPr>
        <w:t>fn</w:t>
      </w:r>
      <w:proofErr w:type="spellEnd"/>
      <w:r>
        <w:rPr>
          <w:rFonts w:ascii="Times New Roman" w:hAnsi="Times New Roman" w:cs="Times New Roman"/>
          <w:lang w:val="en-US"/>
        </w:rPr>
        <w:t xml:space="preserve"> 35 by including a short exposition of the Rothbardian retributivism as contrasting with the Hayekian forward-looking justification of the institution of punishment. All the changes in the footnote are marked in yellow. </w:t>
      </w:r>
    </w:p>
    <w:p w14:paraId="504323C3" w14:textId="02CAD3CF" w:rsidR="00B2499D" w:rsidRPr="00365524" w:rsidRDefault="00B2499D" w:rsidP="00EA55C3">
      <w:pPr>
        <w:pStyle w:val="Akapitzlist"/>
        <w:ind w:left="1080"/>
        <w:jc w:val="both"/>
        <w:rPr>
          <w:rFonts w:ascii="Times New Roman" w:eastAsia="Times New Roman" w:hAnsi="Times New Roman" w:cs="Times New Roman"/>
          <w:color w:val="2D2D2D"/>
          <w:lang w:val="en-US" w:eastAsia="en-AU"/>
        </w:rPr>
      </w:pPr>
    </w:p>
    <w:p w14:paraId="595E8C9C" w14:textId="151B33C7" w:rsidR="00206D57" w:rsidRPr="00365524" w:rsidRDefault="00206D57" w:rsidP="00206D57">
      <w:pPr>
        <w:pStyle w:val="Akapitzlist"/>
        <w:ind w:left="1080"/>
        <w:jc w:val="both"/>
        <w:rPr>
          <w:rFonts w:ascii="Times New Roman" w:hAnsi="Times New Roman" w:cs="Times New Roman"/>
          <w:lang w:val="en-AU"/>
        </w:rPr>
      </w:pPr>
    </w:p>
    <w:p w14:paraId="54489995" w14:textId="77777777" w:rsidR="003D6421" w:rsidRPr="003D6421" w:rsidRDefault="003D6421" w:rsidP="003D6421">
      <w:pPr>
        <w:jc w:val="center"/>
        <w:rPr>
          <w:rFonts w:ascii="Times New Roman" w:hAnsi="Times New Roman" w:cs="Times New Roman"/>
          <w:sz w:val="28"/>
          <w:szCs w:val="28"/>
          <w:lang w:val="en-AU"/>
        </w:rPr>
      </w:pPr>
    </w:p>
    <w:p w14:paraId="27BA730C" w14:textId="164EA9B7" w:rsidR="003D6421" w:rsidRDefault="003D6421" w:rsidP="003D6421">
      <w:pPr>
        <w:jc w:val="center"/>
        <w:rPr>
          <w:rFonts w:ascii="Times New Roman" w:hAnsi="Times New Roman" w:cs="Times New Roman"/>
          <w:sz w:val="28"/>
          <w:szCs w:val="28"/>
          <w:lang w:val="en-AU"/>
        </w:rPr>
      </w:pPr>
      <w:r w:rsidRPr="003D6421">
        <w:rPr>
          <w:rFonts w:ascii="Times New Roman" w:hAnsi="Times New Roman" w:cs="Times New Roman"/>
          <w:sz w:val="28"/>
          <w:szCs w:val="28"/>
          <w:lang w:val="en-AU"/>
        </w:rPr>
        <w:t>The second referee’s comments:</w:t>
      </w:r>
    </w:p>
    <w:p w14:paraId="62D19FEE" w14:textId="77777777" w:rsidR="006E2044" w:rsidRPr="003D6421" w:rsidRDefault="006E2044" w:rsidP="003D6421">
      <w:pPr>
        <w:jc w:val="center"/>
        <w:rPr>
          <w:rFonts w:ascii="Times New Roman" w:hAnsi="Times New Roman" w:cs="Times New Roman"/>
          <w:sz w:val="28"/>
          <w:szCs w:val="28"/>
          <w:lang w:val="en-AU"/>
        </w:rPr>
      </w:pPr>
    </w:p>
    <w:p w14:paraId="71B9618D" w14:textId="415410B7" w:rsidR="0095172B" w:rsidRDefault="0095172B" w:rsidP="00EA55C3">
      <w:pPr>
        <w:pStyle w:val="Akapitzlist"/>
        <w:numPr>
          <w:ilvl w:val="0"/>
          <w:numId w:val="5"/>
        </w:numPr>
        <w:shd w:val="clear" w:color="auto" w:fill="FFFFFF"/>
        <w:spacing w:after="0" w:line="240" w:lineRule="auto"/>
        <w:jc w:val="both"/>
        <w:rPr>
          <w:rFonts w:ascii="Times New Roman" w:eastAsia="Times New Roman" w:hAnsi="Times New Roman" w:cs="Times New Roman"/>
          <w:color w:val="2D2D2D"/>
          <w:lang w:val="en-AU" w:eastAsia="en-AU"/>
        </w:rPr>
      </w:pPr>
      <w:r>
        <w:rPr>
          <w:rFonts w:ascii="Times New Roman" w:eastAsia="Times New Roman" w:hAnsi="Times New Roman" w:cs="Times New Roman"/>
          <w:b/>
          <w:bCs/>
          <w:color w:val="2D2D2D"/>
          <w:lang w:val="en-AU" w:eastAsia="en-AU"/>
        </w:rPr>
        <w:t xml:space="preserve">The reviewer </w:t>
      </w:r>
      <w:r>
        <w:rPr>
          <w:rFonts w:ascii="Times New Roman" w:eastAsia="Times New Roman" w:hAnsi="Times New Roman" w:cs="Times New Roman"/>
          <w:color w:val="2D2D2D"/>
          <w:lang w:val="en-AU" w:eastAsia="en-AU"/>
        </w:rPr>
        <w:t xml:space="preserve">correctly observes that in our footnote 8 we mischaracterize the Rothbardian epistemological stance as “apriorism”. </w:t>
      </w:r>
    </w:p>
    <w:p w14:paraId="30F09371" w14:textId="6DB9FCAB" w:rsidR="00EA289B" w:rsidRPr="0095172B" w:rsidRDefault="00EA289B" w:rsidP="00EA55C3">
      <w:pPr>
        <w:pStyle w:val="Akapitzlist"/>
        <w:shd w:val="clear" w:color="auto" w:fill="FFFFFF"/>
        <w:spacing w:after="0" w:line="240" w:lineRule="auto"/>
        <w:jc w:val="both"/>
        <w:rPr>
          <w:rFonts w:ascii="Times New Roman" w:eastAsia="Times New Roman" w:hAnsi="Times New Roman" w:cs="Times New Roman"/>
          <w:color w:val="2D2D2D"/>
          <w:lang w:val="en-AU" w:eastAsia="en-AU"/>
        </w:rPr>
      </w:pPr>
      <w:r>
        <w:rPr>
          <w:rFonts w:ascii="Times New Roman" w:eastAsia="Times New Roman" w:hAnsi="Times New Roman" w:cs="Times New Roman"/>
          <w:b/>
          <w:bCs/>
          <w:color w:val="2D2D2D"/>
          <w:lang w:val="en-AU" w:eastAsia="en-AU"/>
        </w:rPr>
        <w:t xml:space="preserve">Our response: </w:t>
      </w:r>
      <w:r>
        <w:rPr>
          <w:rFonts w:ascii="Times New Roman" w:eastAsia="Times New Roman" w:hAnsi="Times New Roman" w:cs="Times New Roman"/>
          <w:color w:val="2D2D2D"/>
          <w:lang w:val="en-AU" w:eastAsia="en-AU"/>
        </w:rPr>
        <w:t xml:space="preserve">To remedy the problem we added profusely to the footnote 8 as it stood before. We argue in the new add-on that a case can be made for construing Rothbard’s epistemology as aprioristic, while carefully distinguishing his (sort of Aristotelian-Thomistic) apriorism from the Kantian one embraced by Mises. </w:t>
      </w:r>
      <w:r w:rsidR="008F192F">
        <w:rPr>
          <w:rFonts w:ascii="Times New Roman" w:eastAsia="Times New Roman" w:hAnsi="Times New Roman" w:cs="Times New Roman"/>
          <w:color w:val="2D2D2D"/>
          <w:lang w:val="en-AU" w:eastAsia="en-AU"/>
        </w:rPr>
        <w:t xml:space="preserve">All the changes in the footnote are marked in yellow. </w:t>
      </w:r>
    </w:p>
    <w:p w14:paraId="51121904" w14:textId="1855263A" w:rsidR="00EA289B" w:rsidRPr="0095172B" w:rsidRDefault="00EA289B" w:rsidP="00EA55C3">
      <w:pPr>
        <w:pStyle w:val="Akapitzlist"/>
        <w:shd w:val="clear" w:color="auto" w:fill="FFFFFF"/>
        <w:spacing w:after="0" w:line="240" w:lineRule="auto"/>
        <w:jc w:val="both"/>
        <w:rPr>
          <w:rFonts w:ascii="Times New Roman" w:eastAsia="Times New Roman" w:hAnsi="Times New Roman" w:cs="Times New Roman"/>
          <w:color w:val="2D2D2D"/>
          <w:lang w:val="en-AU" w:eastAsia="en-AU"/>
        </w:rPr>
      </w:pPr>
    </w:p>
    <w:p w14:paraId="2B2152C8" w14:textId="56CF81F4" w:rsidR="003D6421" w:rsidRPr="006E2044" w:rsidRDefault="003D6421" w:rsidP="00EA55C3">
      <w:pPr>
        <w:pStyle w:val="Akapitzlist"/>
        <w:numPr>
          <w:ilvl w:val="0"/>
          <w:numId w:val="5"/>
        </w:numPr>
        <w:shd w:val="clear" w:color="auto" w:fill="FFFFFF"/>
        <w:spacing w:after="0" w:line="240" w:lineRule="auto"/>
        <w:jc w:val="both"/>
        <w:rPr>
          <w:rFonts w:ascii="Times New Roman" w:eastAsia="Times New Roman" w:hAnsi="Times New Roman" w:cs="Times New Roman"/>
          <w:color w:val="2D2D2D"/>
          <w:lang w:val="en-AU" w:eastAsia="en-AU"/>
        </w:rPr>
      </w:pPr>
      <w:r w:rsidRPr="006E2044">
        <w:rPr>
          <w:rFonts w:ascii="Times New Roman" w:eastAsia="Times New Roman" w:hAnsi="Times New Roman" w:cs="Times New Roman"/>
          <w:b/>
          <w:bCs/>
          <w:color w:val="2D2D2D"/>
          <w:lang w:val="en-AU" w:eastAsia="en-AU"/>
        </w:rPr>
        <w:t>The reviewer’s comment</w:t>
      </w:r>
      <w:r w:rsidRPr="006E2044">
        <w:rPr>
          <w:rFonts w:ascii="Times New Roman" w:eastAsia="Times New Roman" w:hAnsi="Times New Roman" w:cs="Times New Roman"/>
          <w:color w:val="2D2D2D"/>
          <w:lang w:val="en-AU" w:eastAsia="en-AU"/>
        </w:rPr>
        <w:t xml:space="preserve">: </w:t>
      </w:r>
      <w:r w:rsidR="006E2044" w:rsidRPr="006E2044">
        <w:rPr>
          <w:rFonts w:ascii="Times New Roman" w:eastAsia="Times New Roman" w:hAnsi="Times New Roman" w:cs="Times New Roman"/>
          <w:color w:val="2D2D2D"/>
          <w:lang w:val="en-AU" w:eastAsia="en-AU"/>
        </w:rPr>
        <w:t>“</w:t>
      </w:r>
      <w:r w:rsidRPr="006E2044">
        <w:rPr>
          <w:rFonts w:ascii="Times New Roman" w:eastAsia="Times New Roman" w:hAnsi="Times New Roman" w:cs="Times New Roman"/>
          <w:color w:val="2D2D2D"/>
          <w:lang w:val="en-AU" w:eastAsia="en-AU"/>
        </w:rPr>
        <w:t>The sentence after footnote 11: "And it must be borne in mind</w:t>
      </w:r>
      <w:r w:rsidR="006E2044" w:rsidRPr="006E2044">
        <w:rPr>
          <w:rFonts w:ascii="Times New Roman" w:eastAsia="Times New Roman" w:hAnsi="Times New Roman" w:cs="Times New Roman"/>
          <w:color w:val="2D2D2D"/>
          <w:lang w:val="en-AU" w:eastAsia="en-AU"/>
        </w:rPr>
        <w:t xml:space="preserve"> </w:t>
      </w:r>
      <w:r w:rsidRPr="006E2044">
        <w:rPr>
          <w:rFonts w:ascii="Times New Roman" w:eastAsia="Times New Roman" w:hAnsi="Times New Roman" w:cs="Times New Roman"/>
          <w:color w:val="2D2D2D"/>
          <w:lang w:val="en-AU" w:eastAsia="en-AU"/>
        </w:rPr>
        <w:t>that Austrian economics</w:t>
      </w:r>
    </w:p>
    <w:p w14:paraId="070D0B4E" w14:textId="77777777" w:rsidR="00F118B6" w:rsidRDefault="003D6421" w:rsidP="00F118B6">
      <w:pPr>
        <w:shd w:val="clear" w:color="auto" w:fill="FFFFFF"/>
        <w:spacing w:after="0" w:line="240" w:lineRule="auto"/>
        <w:ind w:left="708"/>
        <w:jc w:val="both"/>
        <w:rPr>
          <w:rFonts w:ascii="Times New Roman" w:eastAsia="Times New Roman" w:hAnsi="Times New Roman" w:cs="Times New Roman"/>
          <w:color w:val="2D2D2D"/>
          <w:lang w:val="en-AU" w:eastAsia="en-AU"/>
        </w:rPr>
      </w:pPr>
      <w:r w:rsidRPr="003D6421">
        <w:rPr>
          <w:rFonts w:ascii="Times New Roman" w:eastAsia="Times New Roman" w:hAnsi="Times New Roman" w:cs="Times New Roman"/>
          <w:color w:val="2D2D2D"/>
          <w:lang w:val="en-AU" w:eastAsia="en-AU"/>
        </w:rPr>
        <w:t>by virtue of its very praxeological nature strips the human action down to its bare essentials (e.g. Mises [1949] 1998; Rothbard [1962] 2009)" since not all Austrian Economics happens in the tradition of praxeology, this sentence should be modified accordingly.</w:t>
      </w:r>
      <w:r w:rsidR="006E2044">
        <w:rPr>
          <w:rFonts w:ascii="Times New Roman" w:eastAsia="Times New Roman" w:hAnsi="Times New Roman" w:cs="Times New Roman"/>
          <w:color w:val="2D2D2D"/>
          <w:lang w:val="en-AU" w:eastAsia="en-AU"/>
        </w:rPr>
        <w:t xml:space="preserve"> </w:t>
      </w:r>
      <w:r w:rsidR="006E2044" w:rsidRPr="00DB1C8D">
        <w:rPr>
          <w:rFonts w:ascii="Verdana" w:eastAsia="Times New Roman" w:hAnsi="Verdana" w:cs="Times New Roman"/>
          <w:color w:val="2D2D2D"/>
          <w:sz w:val="17"/>
          <w:szCs w:val="17"/>
          <w:lang w:val="en-AU" w:eastAsia="en-AU"/>
        </w:rPr>
        <w:t>(</w:t>
      </w:r>
      <w:r w:rsidR="006E2044" w:rsidRPr="006E2044">
        <w:rPr>
          <w:rFonts w:ascii="Times New Roman" w:eastAsia="Times New Roman" w:hAnsi="Times New Roman" w:cs="Times New Roman"/>
          <w:color w:val="2D2D2D"/>
          <w:lang w:val="en-AU" w:eastAsia="en-AU"/>
        </w:rPr>
        <w:t>Maybe: And it must be borne in mind that the praxeological branch of Austrian economics, by virtue of its nature, strips the human action down to its bare essentials. Or Maybe just delete the "praxeological" from the sentence.)</w:t>
      </w:r>
      <w:r w:rsidR="006E2044">
        <w:rPr>
          <w:rFonts w:ascii="Times New Roman" w:eastAsia="Times New Roman" w:hAnsi="Times New Roman" w:cs="Times New Roman"/>
          <w:color w:val="2D2D2D"/>
          <w:lang w:val="en-AU" w:eastAsia="en-AU"/>
        </w:rPr>
        <w:t>”</w:t>
      </w:r>
    </w:p>
    <w:p w14:paraId="27F2F722" w14:textId="3BFD7F65" w:rsidR="003D6421" w:rsidRPr="00715260" w:rsidRDefault="003D6421" w:rsidP="00F118B6">
      <w:pPr>
        <w:shd w:val="clear" w:color="auto" w:fill="FFFFFF"/>
        <w:spacing w:after="0" w:line="240" w:lineRule="auto"/>
        <w:ind w:left="708"/>
        <w:jc w:val="both"/>
        <w:rPr>
          <w:rFonts w:ascii="Times New Roman" w:eastAsia="Times New Roman" w:hAnsi="Times New Roman" w:cs="Times New Roman"/>
          <w:color w:val="2D2D2D"/>
          <w:lang w:val="en-AU" w:eastAsia="en-AU"/>
        </w:rPr>
      </w:pPr>
      <w:r w:rsidRPr="003D6421">
        <w:rPr>
          <w:rFonts w:ascii="Times New Roman" w:eastAsia="Times New Roman" w:hAnsi="Times New Roman" w:cs="Times New Roman"/>
          <w:b/>
          <w:bCs/>
          <w:color w:val="2D2D2D"/>
          <w:lang w:val="en-AU" w:eastAsia="en-AU"/>
        </w:rPr>
        <w:t>Our response</w:t>
      </w:r>
      <w:r>
        <w:rPr>
          <w:rFonts w:ascii="Times New Roman" w:eastAsia="Times New Roman" w:hAnsi="Times New Roman" w:cs="Times New Roman"/>
          <w:color w:val="2D2D2D"/>
          <w:lang w:val="en-AU" w:eastAsia="en-AU"/>
        </w:rPr>
        <w:t xml:space="preserve">: </w:t>
      </w:r>
      <w:r w:rsidR="006E2044">
        <w:rPr>
          <w:rFonts w:ascii="Times New Roman" w:eastAsia="Times New Roman" w:hAnsi="Times New Roman" w:cs="Times New Roman"/>
          <w:color w:val="2D2D2D"/>
          <w:lang w:val="en-AU" w:eastAsia="en-AU"/>
        </w:rPr>
        <w:t>We followed the referee’s advice and deleted the phrase “very praxeological”. Now the sentence reads: “</w:t>
      </w:r>
      <w:r w:rsidR="00715260" w:rsidRPr="00715260">
        <w:rPr>
          <w:rFonts w:ascii="Times New Roman" w:eastAsia="Times New Roman" w:hAnsi="Times New Roman" w:cs="Times New Roman"/>
          <w:color w:val="2D2D2D"/>
          <w:lang w:val="en-AU" w:eastAsia="en-AU"/>
        </w:rPr>
        <w:t>And it must be borne in mind that Austrian economics by virtue of its nature strips the human action down to its bare essentials (e.g. Mises [1949] 1998; Rothbard [1962] 2009).”</w:t>
      </w:r>
    </w:p>
    <w:p w14:paraId="608712A3" w14:textId="38E2DB52" w:rsidR="003D6421" w:rsidRDefault="003D6421" w:rsidP="003D6421">
      <w:pPr>
        <w:shd w:val="clear" w:color="auto" w:fill="FFFFFF"/>
        <w:spacing w:after="0" w:line="240" w:lineRule="auto"/>
        <w:rPr>
          <w:rFonts w:ascii="Times New Roman" w:eastAsia="Times New Roman" w:hAnsi="Times New Roman" w:cs="Times New Roman"/>
          <w:color w:val="2D2D2D"/>
          <w:lang w:val="en-AU" w:eastAsia="en-AU"/>
        </w:rPr>
      </w:pPr>
    </w:p>
    <w:p w14:paraId="7204A60A" w14:textId="68CC94DD" w:rsidR="003D6421" w:rsidRDefault="003D6421" w:rsidP="003D6421">
      <w:pPr>
        <w:shd w:val="clear" w:color="auto" w:fill="FFFFFF"/>
        <w:spacing w:after="0" w:line="240" w:lineRule="auto"/>
        <w:rPr>
          <w:rFonts w:ascii="Times New Roman" w:eastAsia="Times New Roman" w:hAnsi="Times New Roman" w:cs="Times New Roman"/>
          <w:color w:val="2D2D2D"/>
          <w:lang w:val="en-AU" w:eastAsia="en-AU"/>
        </w:rPr>
      </w:pPr>
    </w:p>
    <w:p w14:paraId="0B77C3FF" w14:textId="0CA6BBB9" w:rsidR="0019013C" w:rsidRDefault="0019013C" w:rsidP="003D6421">
      <w:pPr>
        <w:shd w:val="clear" w:color="auto" w:fill="FFFFFF"/>
        <w:spacing w:after="0" w:line="240" w:lineRule="auto"/>
        <w:rPr>
          <w:rFonts w:ascii="Times New Roman" w:eastAsia="Times New Roman" w:hAnsi="Times New Roman" w:cs="Times New Roman"/>
          <w:color w:val="2D2D2D"/>
          <w:lang w:val="en-AU" w:eastAsia="en-AU"/>
        </w:rPr>
      </w:pPr>
    </w:p>
    <w:p w14:paraId="737C5084" w14:textId="1E9C2516" w:rsidR="0019013C" w:rsidRDefault="005F562F" w:rsidP="003D6421">
      <w:pPr>
        <w:shd w:val="clear" w:color="auto" w:fill="FFFFFF"/>
        <w:spacing w:after="0" w:line="240" w:lineRule="auto"/>
        <w:rPr>
          <w:rFonts w:ascii="Times New Roman" w:eastAsia="Times New Roman" w:hAnsi="Times New Roman" w:cs="Times New Roman"/>
          <w:color w:val="2D2D2D"/>
          <w:lang w:val="en-AU" w:eastAsia="en-AU"/>
        </w:rPr>
      </w:pPr>
      <w:r>
        <w:rPr>
          <w:rFonts w:ascii="Times New Roman" w:eastAsia="Times New Roman" w:hAnsi="Times New Roman" w:cs="Times New Roman"/>
          <w:color w:val="2D2D2D"/>
          <w:lang w:val="en-AU" w:eastAsia="en-AU"/>
        </w:rPr>
        <w:t xml:space="preserve">We are very grateful to the anonymous referees for pressing us yet again on a couple of subtle issues. </w:t>
      </w:r>
    </w:p>
    <w:p w14:paraId="0F94AF2E" w14:textId="69536E5E" w:rsidR="00FE125D" w:rsidRPr="003D6421" w:rsidRDefault="006E1FBB" w:rsidP="003D6421">
      <w:pPr>
        <w:shd w:val="clear" w:color="auto" w:fill="FFFFFF"/>
        <w:spacing w:after="0" w:line="240" w:lineRule="auto"/>
        <w:rPr>
          <w:rFonts w:ascii="Times New Roman" w:eastAsia="Times New Roman" w:hAnsi="Times New Roman" w:cs="Times New Roman"/>
          <w:color w:val="2D2D2D"/>
          <w:lang w:val="en-AU" w:eastAsia="en-AU"/>
        </w:rPr>
      </w:pPr>
      <w:r>
        <w:rPr>
          <w:rFonts w:ascii="Times New Roman" w:eastAsia="Times New Roman" w:hAnsi="Times New Roman" w:cs="Times New Roman"/>
          <w:color w:val="2D2D2D"/>
          <w:lang w:val="en-AU" w:eastAsia="en-AU"/>
        </w:rPr>
        <w:t xml:space="preserve"> </w:t>
      </w:r>
    </w:p>
    <w:sectPr w:rsidR="00FE125D" w:rsidRPr="003D64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A4E05"/>
    <w:multiLevelType w:val="hybridMultilevel"/>
    <w:tmpl w:val="B2F876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1C94636"/>
    <w:multiLevelType w:val="hybridMultilevel"/>
    <w:tmpl w:val="F65A77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1602F91"/>
    <w:multiLevelType w:val="hybridMultilevel"/>
    <w:tmpl w:val="1E5C3638"/>
    <w:lvl w:ilvl="0" w:tplc="B39AAA0C">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283634C"/>
    <w:multiLevelType w:val="hybridMultilevel"/>
    <w:tmpl w:val="2CCE4B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65C4B55"/>
    <w:multiLevelType w:val="hybridMultilevel"/>
    <w:tmpl w:val="7D3CE8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8115C90"/>
    <w:multiLevelType w:val="hybridMultilevel"/>
    <w:tmpl w:val="08DAE6BE"/>
    <w:lvl w:ilvl="0" w:tplc="08CCEAA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703166F2"/>
    <w:multiLevelType w:val="hybridMultilevel"/>
    <w:tmpl w:val="6E566E9E"/>
    <w:lvl w:ilvl="0" w:tplc="A6AA41E6">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25702494">
    <w:abstractNumId w:val="1"/>
  </w:num>
  <w:num w:numId="2" w16cid:durableId="654652813">
    <w:abstractNumId w:val="3"/>
  </w:num>
  <w:num w:numId="3" w16cid:durableId="434636348">
    <w:abstractNumId w:val="0"/>
  </w:num>
  <w:num w:numId="4" w16cid:durableId="47801042">
    <w:abstractNumId w:val="2"/>
  </w:num>
  <w:num w:numId="5" w16cid:durableId="271328273">
    <w:abstractNumId w:val="6"/>
  </w:num>
  <w:num w:numId="6" w16cid:durableId="285549875">
    <w:abstractNumId w:val="4"/>
  </w:num>
  <w:num w:numId="7" w16cid:durableId="6456716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421"/>
    <w:rsid w:val="000C4777"/>
    <w:rsid w:val="000F0B30"/>
    <w:rsid w:val="000F45BC"/>
    <w:rsid w:val="00162489"/>
    <w:rsid w:val="00175B56"/>
    <w:rsid w:val="0019013C"/>
    <w:rsid w:val="00192435"/>
    <w:rsid w:val="00196EFA"/>
    <w:rsid w:val="00206D57"/>
    <w:rsid w:val="00245148"/>
    <w:rsid w:val="00356EA1"/>
    <w:rsid w:val="00365524"/>
    <w:rsid w:val="003B0A7A"/>
    <w:rsid w:val="003D6421"/>
    <w:rsid w:val="004103A3"/>
    <w:rsid w:val="005E79EB"/>
    <w:rsid w:val="005F562F"/>
    <w:rsid w:val="006831FC"/>
    <w:rsid w:val="006E1FBB"/>
    <w:rsid w:val="006E2044"/>
    <w:rsid w:val="00715260"/>
    <w:rsid w:val="00755B7B"/>
    <w:rsid w:val="0077759A"/>
    <w:rsid w:val="0086326B"/>
    <w:rsid w:val="008F192F"/>
    <w:rsid w:val="009136F9"/>
    <w:rsid w:val="0095172B"/>
    <w:rsid w:val="009E1625"/>
    <w:rsid w:val="00B01B66"/>
    <w:rsid w:val="00B2499D"/>
    <w:rsid w:val="00BD6029"/>
    <w:rsid w:val="00BE2BA3"/>
    <w:rsid w:val="00C31FF2"/>
    <w:rsid w:val="00D031D9"/>
    <w:rsid w:val="00EA289B"/>
    <w:rsid w:val="00EA55C3"/>
    <w:rsid w:val="00F118B6"/>
    <w:rsid w:val="00F12971"/>
    <w:rsid w:val="00F31B81"/>
    <w:rsid w:val="00FD5A5E"/>
    <w:rsid w:val="00FE12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AE159"/>
  <w15:chartTrackingRefBased/>
  <w15:docId w15:val="{0CE1D2A2-9B5B-4B51-B617-D541EC93F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D6421"/>
    <w:pPr>
      <w:ind w:left="720"/>
      <w:contextualSpacing/>
    </w:pPr>
  </w:style>
  <w:style w:type="character" w:styleId="Hipercze">
    <w:name w:val="Hyperlink"/>
    <w:basedOn w:val="Domylnaczcionkaakapitu"/>
    <w:uiPriority w:val="99"/>
    <w:semiHidden/>
    <w:unhideWhenUsed/>
    <w:rsid w:val="003D64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2</Pages>
  <Words>867</Words>
  <Characters>4944</Characters>
  <Application>Microsoft Office Word</Application>
  <DocSecurity>0</DocSecurity>
  <Lines>41</Lines>
  <Paragraphs>11</Paragraphs>
  <ScaleCrop>false</ScaleCrop>
  <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Wysocki</dc:creator>
  <cp:keywords/>
  <dc:description/>
  <cp:lastModifiedBy>Igor Wysocki</cp:lastModifiedBy>
  <cp:revision>41</cp:revision>
  <dcterms:created xsi:type="dcterms:W3CDTF">2022-12-22T08:25:00Z</dcterms:created>
  <dcterms:modified xsi:type="dcterms:W3CDTF">2022-12-23T18:10:00Z</dcterms:modified>
</cp:coreProperties>
</file>