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7B0" w:rsidRPr="008D7CF2" w:rsidRDefault="004B57B0" w:rsidP="004B57B0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A41F3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Table S1.</w:t>
      </w:r>
      <w:r w:rsidRPr="008D7C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D25A5D">
        <w:rPr>
          <w:rFonts w:ascii="Times New Roman" w:hAnsi="Times New Roman" w:cs="Times New Roman"/>
          <w:sz w:val="24"/>
          <w:szCs w:val="24"/>
          <w:lang w:val="en-GB"/>
        </w:rPr>
        <w:t>Spearman’s rank correlation coefficients among predictor variables used in GLMMs. Values represent pairwise correlations between vegetation structure and microclimatic variables.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5"/>
        <w:gridCol w:w="732"/>
        <w:gridCol w:w="871"/>
        <w:gridCol w:w="873"/>
        <w:gridCol w:w="873"/>
        <w:gridCol w:w="873"/>
        <w:gridCol w:w="873"/>
        <w:gridCol w:w="873"/>
        <w:gridCol w:w="843"/>
      </w:tblGrid>
      <w:tr w:rsidR="004B57B0" w:rsidRPr="008D7CF2" w:rsidTr="00211C39"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Predictor variable</w:t>
            </w:r>
          </w:p>
        </w:tc>
        <w:tc>
          <w:tcPr>
            <w:tcW w:w="60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Correlation matrix</w:t>
            </w:r>
          </w:p>
        </w:tc>
      </w:tr>
      <w:tr w:rsidR="004B57B0" w:rsidRPr="008D7CF2" w:rsidTr="00211C39"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DBH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C096B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09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4B57B0" w:rsidRPr="008D7CF2" w:rsidTr="00211C39"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C096B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09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4B57B0" w:rsidRPr="008D7CF2" w:rsidTr="00211C39"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NFL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C096B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09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4B57B0" w:rsidRPr="008D7CF2" w:rsidTr="00211C39"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NFR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C096B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09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4B57B0" w:rsidRPr="008D7CF2" w:rsidTr="00211C39"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RH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C096B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09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-0.076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-0.071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-0.084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4B57B0" w:rsidRPr="008D7CF2" w:rsidTr="00211C39"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C096B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09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-0.194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-0.227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-0.172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-0.142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-0.340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4B57B0" w:rsidRPr="008D7CF2" w:rsidTr="00211C39"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C096B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09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-0.128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-0.175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-0.105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-0.070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-0.857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0.407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4B57B0" w:rsidRPr="008D7CF2" w:rsidTr="00211C39">
        <w:tc>
          <w:tcPr>
            <w:tcW w:w="2205" w:type="dxa"/>
            <w:tcBorders>
              <w:top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4B57B0" w:rsidRPr="008D7CF2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C096B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09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C096B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09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C096B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09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C096B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09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C096B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09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C096B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09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57B0" w:rsidRPr="008C096B" w:rsidRDefault="004B57B0" w:rsidP="00211C3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09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</w:tbl>
    <w:p w:rsidR="004B57B0" w:rsidRDefault="004B57B0" w:rsidP="004B57B0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75919">
        <w:rPr>
          <w:rFonts w:ascii="Times New Roman" w:hAnsi="Times New Roman" w:cs="Times New Roman"/>
          <w:sz w:val="24"/>
          <w:szCs w:val="24"/>
          <w:lang w:val="en-GB"/>
        </w:rPr>
        <w:t xml:space="preserve">Note: DBH – diameter at breast height, TH – tree height, NFL – number of </w:t>
      </w:r>
      <w:r>
        <w:rPr>
          <w:rFonts w:ascii="Times New Roman" w:hAnsi="Times New Roman" w:cs="Times New Roman"/>
          <w:sz w:val="24"/>
          <w:szCs w:val="24"/>
          <w:lang w:val="en-GB"/>
        </w:rPr>
        <w:t>inflorescences</w:t>
      </w:r>
      <w:r w:rsidRPr="00D75919">
        <w:rPr>
          <w:rFonts w:ascii="Times New Roman" w:hAnsi="Times New Roman" w:cs="Times New Roman"/>
          <w:sz w:val="24"/>
          <w:szCs w:val="24"/>
          <w:lang w:val="en-GB"/>
        </w:rPr>
        <w:t xml:space="preserve">, NFR – number of fruits, RH – relative humidity,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LI – light intensity, </w:t>
      </w:r>
      <w:r w:rsidRPr="00D75919">
        <w:rPr>
          <w:rFonts w:ascii="Times New Roman" w:hAnsi="Times New Roman" w:cs="Times New Roman"/>
          <w:sz w:val="24"/>
          <w:szCs w:val="24"/>
          <w:lang w:val="en-GB"/>
        </w:rPr>
        <w:t>AT – air temperature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4B57B0" w:rsidRDefault="004B57B0" w:rsidP="004B57B0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4B57B0" w:rsidRDefault="004B57B0" w:rsidP="004B57B0">
      <w:pPr>
        <w:rPr>
          <w:rFonts w:ascii="Times New Roman" w:hAnsi="Times New Roman" w:cs="Times New Roman"/>
          <w:sz w:val="24"/>
          <w:szCs w:val="24"/>
          <w:lang w:val="en-GB"/>
        </w:rPr>
        <w:sectPr w:rsidR="004B57B0" w:rsidSect="00EF29DC">
          <w:pgSz w:w="11906" w:h="16838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:rsidR="004B57B0" w:rsidRDefault="004B57B0" w:rsidP="004B57B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02AE3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S2.</w:t>
      </w:r>
      <w:r w:rsidRPr="00E02AE3">
        <w:rPr>
          <w:rFonts w:ascii="Times New Roman" w:hAnsi="Times New Roman" w:cs="Times New Roman"/>
          <w:sz w:val="24"/>
          <w:szCs w:val="24"/>
        </w:rPr>
        <w:t xml:space="preserve"> Estimated marginal means (EMMs) and Tukey-adjusted pairwise comparisons among season, tree distribution pattern, and urban land-use categories for bee visitation to </w:t>
      </w:r>
      <w:r w:rsidRPr="00E02AE3">
        <w:rPr>
          <w:rFonts w:ascii="Times New Roman" w:hAnsi="Times New Roman" w:cs="Times New Roman"/>
          <w:i/>
          <w:iCs/>
          <w:sz w:val="24"/>
          <w:szCs w:val="24"/>
        </w:rPr>
        <w:t>Muntingia calabura</w:t>
      </w:r>
      <w:r w:rsidRPr="00E02AE3">
        <w:rPr>
          <w:rFonts w:ascii="Times New Roman" w:hAnsi="Times New Roman" w:cs="Times New Roman"/>
          <w:sz w:val="24"/>
          <w:szCs w:val="24"/>
        </w:rPr>
        <w:t>. Means are model-adjusted predictions (± SE) back-transformed from the log-link scale of the final zero-inflated negative binomial generali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02AE3">
        <w:rPr>
          <w:rFonts w:ascii="Times New Roman" w:hAnsi="Times New Roman" w:cs="Times New Roman"/>
          <w:sz w:val="24"/>
          <w:szCs w:val="24"/>
        </w:rPr>
        <w:t xml:space="preserve">ed linear mixed model (ZINB GLMM). Different letters indicate statistically significant differences at </w:t>
      </w:r>
      <w:r w:rsidRPr="00E02AE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E02AE3">
        <w:rPr>
          <w:rFonts w:ascii="Times New Roman" w:hAnsi="Times New Roman" w:cs="Times New Roman"/>
          <w:sz w:val="24"/>
          <w:szCs w:val="24"/>
        </w:rPr>
        <w:t xml:space="preserve"> &lt; 0.05.</w:t>
      </w:r>
    </w:p>
    <w:tbl>
      <w:tblPr>
        <w:tblStyle w:val="PlainTable2"/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23"/>
        <w:gridCol w:w="1403"/>
        <w:gridCol w:w="1233"/>
        <w:gridCol w:w="1284"/>
        <w:gridCol w:w="1150"/>
        <w:gridCol w:w="1483"/>
        <w:gridCol w:w="1150"/>
      </w:tblGrid>
      <w:tr w:rsidR="004B57B0" w:rsidRPr="00D90DD9" w:rsidTr="00211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B57B0" w:rsidRPr="00D90DD9" w:rsidRDefault="004B57B0" w:rsidP="00211C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9">
              <w:rPr>
                <w:rFonts w:ascii="Times New Roman" w:hAnsi="Times New Roman" w:cs="Times New Roman"/>
                <w:sz w:val="24"/>
                <w:szCs w:val="24"/>
              </w:rPr>
              <w:t>Factor</w:t>
            </w:r>
          </w:p>
        </w:tc>
        <w:tc>
          <w:tcPr>
            <w:tcW w:w="595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B57B0" w:rsidRPr="00D90DD9" w:rsidRDefault="004B57B0" w:rsidP="00211C3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9">
              <w:rPr>
                <w:rFonts w:ascii="Times New Roman" w:hAnsi="Times New Roman" w:cs="Times New Roman"/>
                <w:sz w:val="24"/>
                <w:szCs w:val="24"/>
              </w:rPr>
              <w:t>Level</w:t>
            </w:r>
          </w:p>
        </w:tc>
        <w:tc>
          <w:tcPr>
            <w:tcW w:w="842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B57B0" w:rsidRPr="00D90DD9" w:rsidRDefault="004B57B0" w:rsidP="00211C3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9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MM </w:t>
            </w:r>
            <w:r w:rsidRPr="00D90DD9">
              <w:rPr>
                <w:rFonts w:ascii="Times New Roman" w:hAnsi="Times New Roman" w:cs="Times New Roman"/>
                <w:sz w:val="24"/>
                <w:szCs w:val="24"/>
              </w:rPr>
              <w:t>(± SE)</w:t>
            </w:r>
          </w:p>
        </w:tc>
        <w:tc>
          <w:tcPr>
            <w:tcW w:w="869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B57B0" w:rsidRDefault="004B57B0" w:rsidP="00211C3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90DD9">
              <w:rPr>
                <w:rFonts w:ascii="Times New Roman" w:hAnsi="Times New Roman" w:cs="Times New Roman"/>
                <w:sz w:val="24"/>
                <w:szCs w:val="24"/>
              </w:rPr>
              <w:t xml:space="preserve">95 % CI </w:t>
            </w:r>
          </w:p>
          <w:p w:rsidR="004B57B0" w:rsidRPr="00D90DD9" w:rsidRDefault="004B57B0" w:rsidP="00211C3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9">
              <w:rPr>
                <w:rFonts w:ascii="Times New Roman" w:hAnsi="Times New Roman" w:cs="Times New Roman"/>
                <w:sz w:val="24"/>
                <w:szCs w:val="24"/>
              </w:rPr>
              <w:t>(Lower–Upper)</w:t>
            </w:r>
          </w:p>
        </w:tc>
        <w:tc>
          <w:tcPr>
            <w:tcW w:w="773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B57B0" w:rsidRPr="00D90DD9" w:rsidRDefault="004B57B0" w:rsidP="00211C3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9">
              <w:rPr>
                <w:rFonts w:ascii="Times New Roman" w:hAnsi="Times New Roman" w:cs="Times New Roman"/>
                <w:sz w:val="24"/>
                <w:szCs w:val="24"/>
              </w:rPr>
              <w:t>Compact letter display</w:t>
            </w:r>
          </w:p>
        </w:tc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B57B0" w:rsidRPr="00D90DD9" w:rsidRDefault="004B57B0" w:rsidP="00211C3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9">
              <w:rPr>
                <w:rFonts w:ascii="Times New Roman" w:hAnsi="Times New Roman" w:cs="Times New Roman"/>
                <w:sz w:val="24"/>
                <w:szCs w:val="24"/>
              </w:rPr>
              <w:t>Comparison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B57B0" w:rsidRPr="00D90DD9" w:rsidRDefault="004B57B0" w:rsidP="00211C3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9">
              <w:rPr>
                <w:rFonts w:ascii="Times New Roman" w:hAnsi="Times New Roman" w:cs="Times New Roman"/>
                <w:sz w:val="24"/>
                <w:szCs w:val="24"/>
              </w:rPr>
              <w:t xml:space="preserve">Adjusted </w:t>
            </w:r>
            <w:r w:rsidRPr="00D90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</w:tr>
      <w:tr w:rsidR="004B57B0" w:rsidRPr="00D90DD9" w:rsidTr="00211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" w:type="pct"/>
            <w:tcBorders>
              <w:top w:val="single" w:sz="4" w:space="0" w:color="auto"/>
            </w:tcBorders>
            <w:hideMark/>
          </w:tcPr>
          <w:p w:rsidR="004B57B0" w:rsidRPr="00D90DD9" w:rsidRDefault="004B57B0" w:rsidP="00211C39">
            <w:pPr>
              <w:spacing w:after="16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90DD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Season</w:t>
            </w:r>
          </w:p>
        </w:tc>
        <w:tc>
          <w:tcPr>
            <w:tcW w:w="595" w:type="pct"/>
            <w:tcBorders>
              <w:top w:val="single" w:sz="4" w:space="0" w:color="auto"/>
            </w:tcBorders>
            <w:hideMark/>
          </w:tcPr>
          <w:p w:rsidR="004B57B0" w:rsidRPr="00D90DD9" w:rsidRDefault="004B57B0" w:rsidP="00211C39">
            <w:pPr>
              <w:spacing w:after="1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9">
              <w:rPr>
                <w:rFonts w:ascii="Times New Roman" w:hAnsi="Times New Roman" w:cs="Times New Roman"/>
                <w:sz w:val="24"/>
                <w:szCs w:val="24"/>
              </w:rPr>
              <w:t>Dry</w:t>
            </w:r>
          </w:p>
        </w:tc>
        <w:tc>
          <w:tcPr>
            <w:tcW w:w="842" w:type="pct"/>
            <w:tcBorders>
              <w:top w:val="single" w:sz="4" w:space="0" w:color="auto"/>
            </w:tcBorders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0F9F">
              <w:rPr>
                <w:rFonts w:ascii="Times New Roman" w:hAnsi="Times New Roman" w:cs="Times New Roman"/>
                <w:sz w:val="24"/>
                <w:szCs w:val="24"/>
              </w:rPr>
              <w:t>13.4 ± 1.2</w:t>
            </w:r>
          </w:p>
        </w:tc>
        <w:tc>
          <w:tcPr>
            <w:tcW w:w="869" w:type="pct"/>
            <w:tcBorders>
              <w:top w:val="single" w:sz="4" w:space="0" w:color="auto"/>
            </w:tcBorders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0F9F">
              <w:rPr>
                <w:rFonts w:ascii="Times New Roman" w:hAnsi="Times New Roman" w:cs="Times New Roman"/>
                <w:sz w:val="24"/>
                <w:szCs w:val="24"/>
              </w:rPr>
              <w:t xml:space="preserve">~11.0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C0F9F">
              <w:rPr>
                <w:rFonts w:ascii="Times New Roman" w:hAnsi="Times New Roman" w:cs="Times New Roman"/>
                <w:sz w:val="24"/>
                <w:szCs w:val="24"/>
              </w:rPr>
              <w:t xml:space="preserve"> 16.4</w:t>
            </w:r>
          </w:p>
        </w:tc>
        <w:tc>
          <w:tcPr>
            <w:tcW w:w="773" w:type="pct"/>
            <w:tcBorders>
              <w:top w:val="single" w:sz="4" w:space="0" w:color="auto"/>
            </w:tcBorders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2" w:type="pct"/>
            <w:tcBorders>
              <w:top w:val="single" w:sz="4" w:space="0" w:color="auto"/>
            </w:tcBorders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9">
              <w:rPr>
                <w:rFonts w:ascii="Times New Roman" w:hAnsi="Times New Roman" w:cs="Times New Roman"/>
                <w:sz w:val="24"/>
                <w:szCs w:val="24"/>
              </w:rPr>
              <w:t>Dry / Wet</w:t>
            </w:r>
          </w:p>
        </w:tc>
        <w:tc>
          <w:tcPr>
            <w:tcW w:w="593" w:type="pct"/>
            <w:tcBorders>
              <w:top w:val="single" w:sz="4" w:space="0" w:color="auto"/>
            </w:tcBorders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</w:tr>
      <w:tr w:rsidR="004B57B0" w:rsidRPr="00D90DD9" w:rsidTr="0021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" w:type="pct"/>
            <w:hideMark/>
          </w:tcPr>
          <w:p w:rsidR="004B57B0" w:rsidRPr="00D90DD9" w:rsidRDefault="004B57B0" w:rsidP="00211C39">
            <w:pPr>
              <w:spacing w:after="16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" w:type="pct"/>
            <w:hideMark/>
          </w:tcPr>
          <w:p w:rsidR="004B57B0" w:rsidRPr="00D90DD9" w:rsidRDefault="004B57B0" w:rsidP="00211C39">
            <w:pPr>
              <w:spacing w:after="1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9">
              <w:rPr>
                <w:rFonts w:ascii="Times New Roman" w:hAnsi="Times New Roman" w:cs="Times New Roman"/>
                <w:sz w:val="24"/>
                <w:szCs w:val="24"/>
              </w:rPr>
              <w:t>Wet</w:t>
            </w:r>
          </w:p>
        </w:tc>
        <w:tc>
          <w:tcPr>
            <w:tcW w:w="842" w:type="pct"/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9">
              <w:rPr>
                <w:rFonts w:ascii="Times New Roman" w:hAnsi="Times New Roman" w:cs="Times New Roman"/>
                <w:sz w:val="24"/>
                <w:szCs w:val="24"/>
              </w:rPr>
              <w:t>14.1 ± 1.22</w:t>
            </w:r>
          </w:p>
        </w:tc>
        <w:tc>
          <w:tcPr>
            <w:tcW w:w="869" w:type="pct"/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0F9F">
              <w:rPr>
                <w:rFonts w:ascii="Times New Roman" w:hAnsi="Times New Roman" w:cs="Times New Roman"/>
                <w:sz w:val="24"/>
                <w:szCs w:val="24"/>
              </w:rPr>
              <w:t xml:space="preserve">~11.6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C0F9F">
              <w:rPr>
                <w:rFonts w:ascii="Times New Roman" w:hAnsi="Times New Roman" w:cs="Times New Roman"/>
                <w:sz w:val="24"/>
                <w:szCs w:val="24"/>
              </w:rPr>
              <w:t xml:space="preserve"> 17.2</w:t>
            </w:r>
          </w:p>
        </w:tc>
        <w:tc>
          <w:tcPr>
            <w:tcW w:w="773" w:type="pct"/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2" w:type="pct"/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pct"/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57B0" w:rsidRPr="00D90DD9" w:rsidTr="00211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" w:type="pct"/>
            <w:hideMark/>
          </w:tcPr>
          <w:p w:rsidR="004B57B0" w:rsidRPr="00D90DD9" w:rsidRDefault="004B57B0" w:rsidP="00211C39">
            <w:pPr>
              <w:spacing w:after="16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</w:t>
            </w:r>
            <w:r w:rsidRPr="00F3590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ree distribution pattern</w:t>
            </w:r>
          </w:p>
        </w:tc>
        <w:tc>
          <w:tcPr>
            <w:tcW w:w="595" w:type="pct"/>
            <w:hideMark/>
          </w:tcPr>
          <w:p w:rsidR="004B57B0" w:rsidRPr="00D90DD9" w:rsidRDefault="004B57B0" w:rsidP="00211C39">
            <w:pPr>
              <w:spacing w:after="1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9">
              <w:rPr>
                <w:rFonts w:ascii="Times New Roman" w:hAnsi="Times New Roman" w:cs="Times New Roman"/>
                <w:sz w:val="24"/>
                <w:szCs w:val="24"/>
              </w:rPr>
              <w:t>Cluster</w:t>
            </w:r>
          </w:p>
        </w:tc>
        <w:tc>
          <w:tcPr>
            <w:tcW w:w="842" w:type="pct"/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36C0">
              <w:rPr>
                <w:rFonts w:ascii="Times New Roman" w:hAnsi="Times New Roman" w:cs="Times New Roman"/>
                <w:sz w:val="24"/>
                <w:szCs w:val="24"/>
              </w:rPr>
              <w:t>12.6 ± 0.9</w:t>
            </w:r>
          </w:p>
        </w:tc>
        <w:tc>
          <w:tcPr>
            <w:tcW w:w="869" w:type="pct"/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36C0">
              <w:rPr>
                <w:rFonts w:ascii="Times New Roman" w:hAnsi="Times New Roman" w:cs="Times New Roman"/>
                <w:sz w:val="24"/>
                <w:szCs w:val="24"/>
              </w:rPr>
              <w:t xml:space="preserve">~10.9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36C0">
              <w:rPr>
                <w:rFonts w:ascii="Times New Roman" w:hAnsi="Times New Roman" w:cs="Times New Roman"/>
                <w:sz w:val="24"/>
                <w:szCs w:val="24"/>
              </w:rPr>
              <w:t xml:space="preserve"> 14.6</w:t>
            </w:r>
          </w:p>
        </w:tc>
        <w:tc>
          <w:tcPr>
            <w:tcW w:w="773" w:type="pct"/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2" w:type="pct"/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9">
              <w:rPr>
                <w:rFonts w:ascii="Times New Roman" w:hAnsi="Times New Roman" w:cs="Times New Roman"/>
                <w:sz w:val="24"/>
                <w:szCs w:val="24"/>
              </w:rPr>
              <w:t>Cluster / Individual</w:t>
            </w:r>
          </w:p>
        </w:tc>
        <w:tc>
          <w:tcPr>
            <w:tcW w:w="593" w:type="pct"/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0.036</w:t>
            </w:r>
          </w:p>
        </w:tc>
      </w:tr>
      <w:tr w:rsidR="004B57B0" w:rsidRPr="00D90DD9" w:rsidTr="0021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" w:type="pct"/>
            <w:hideMark/>
          </w:tcPr>
          <w:p w:rsidR="004B57B0" w:rsidRPr="00D90DD9" w:rsidRDefault="004B57B0" w:rsidP="00211C39">
            <w:pPr>
              <w:spacing w:after="16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95" w:type="pct"/>
            <w:hideMark/>
          </w:tcPr>
          <w:p w:rsidR="004B57B0" w:rsidRPr="00D90DD9" w:rsidRDefault="004B57B0" w:rsidP="00211C39">
            <w:pPr>
              <w:spacing w:after="1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9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</w:tc>
        <w:tc>
          <w:tcPr>
            <w:tcW w:w="842" w:type="pct"/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7B1">
              <w:rPr>
                <w:rFonts w:ascii="Times New Roman" w:hAnsi="Times New Roman" w:cs="Times New Roman"/>
                <w:sz w:val="24"/>
                <w:szCs w:val="24"/>
              </w:rPr>
              <w:t>17.4 ± 1.3</w:t>
            </w:r>
          </w:p>
        </w:tc>
        <w:tc>
          <w:tcPr>
            <w:tcW w:w="869" w:type="pct"/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7B1">
              <w:rPr>
                <w:rFonts w:ascii="Times New Roman" w:hAnsi="Times New Roman" w:cs="Times New Roman"/>
                <w:sz w:val="24"/>
                <w:szCs w:val="24"/>
              </w:rPr>
              <w:t>~14.3 – 21.1</w:t>
            </w:r>
          </w:p>
        </w:tc>
        <w:tc>
          <w:tcPr>
            <w:tcW w:w="773" w:type="pct"/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652" w:type="pct"/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pct"/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57B0" w:rsidRPr="00D90DD9" w:rsidTr="00211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" w:type="pct"/>
            <w:hideMark/>
          </w:tcPr>
          <w:p w:rsidR="004B57B0" w:rsidRPr="00D90DD9" w:rsidRDefault="004B57B0" w:rsidP="00211C39">
            <w:pPr>
              <w:spacing w:after="16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Urban l</w:t>
            </w:r>
            <w:r w:rsidRPr="00D90DD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and-use</w:t>
            </w:r>
          </w:p>
        </w:tc>
        <w:tc>
          <w:tcPr>
            <w:tcW w:w="595" w:type="pct"/>
            <w:hideMark/>
          </w:tcPr>
          <w:p w:rsidR="004B57B0" w:rsidRPr="00D90DD9" w:rsidRDefault="004B57B0" w:rsidP="00211C39">
            <w:pPr>
              <w:spacing w:after="1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9">
              <w:rPr>
                <w:rFonts w:ascii="Times New Roman" w:hAnsi="Times New Roman" w:cs="Times New Roman"/>
                <w:sz w:val="24"/>
                <w:szCs w:val="24"/>
              </w:rPr>
              <w:t>Commercial area</w:t>
            </w:r>
          </w:p>
        </w:tc>
        <w:tc>
          <w:tcPr>
            <w:tcW w:w="842" w:type="pct"/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5F2">
              <w:rPr>
                <w:rFonts w:ascii="Times New Roman" w:hAnsi="Times New Roman" w:cs="Times New Roman"/>
                <w:sz w:val="24"/>
                <w:szCs w:val="24"/>
              </w:rPr>
              <w:t>23.7 ± 1.8</w:t>
            </w:r>
          </w:p>
        </w:tc>
        <w:tc>
          <w:tcPr>
            <w:tcW w:w="869" w:type="pct"/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67A9">
              <w:rPr>
                <w:rFonts w:ascii="Times New Roman" w:hAnsi="Times New Roman" w:cs="Times New Roman"/>
                <w:sz w:val="24"/>
                <w:szCs w:val="24"/>
              </w:rPr>
              <w:t>~20.0 – 28.1</w:t>
            </w:r>
          </w:p>
        </w:tc>
        <w:tc>
          <w:tcPr>
            <w:tcW w:w="773" w:type="pct"/>
            <w:hideMark/>
          </w:tcPr>
          <w:p w:rsidR="004B57B0" w:rsidRPr="000074B0" w:rsidRDefault="004B57B0" w:rsidP="00211C39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74B0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652" w:type="pct"/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9">
              <w:rPr>
                <w:rFonts w:ascii="Times New Roman" w:hAnsi="Times New Roman" w:cs="Times New Roman"/>
                <w:sz w:val="24"/>
                <w:szCs w:val="24"/>
              </w:rPr>
              <w:t>Commercial / Green</w:t>
            </w:r>
          </w:p>
        </w:tc>
        <w:tc>
          <w:tcPr>
            <w:tcW w:w="593" w:type="pct"/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9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4B57B0" w:rsidRPr="00D90DD9" w:rsidTr="0021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" w:type="pct"/>
            <w:hideMark/>
          </w:tcPr>
          <w:p w:rsidR="004B57B0" w:rsidRPr="00D90DD9" w:rsidRDefault="004B57B0" w:rsidP="00211C39">
            <w:pPr>
              <w:spacing w:after="1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  <w:hideMark/>
          </w:tcPr>
          <w:p w:rsidR="004B57B0" w:rsidRPr="00D90DD9" w:rsidRDefault="004B57B0" w:rsidP="00211C39">
            <w:pPr>
              <w:spacing w:after="1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9">
              <w:rPr>
                <w:rFonts w:ascii="Times New Roman" w:hAnsi="Times New Roman" w:cs="Times New Roman"/>
                <w:sz w:val="24"/>
                <w:szCs w:val="24"/>
              </w:rPr>
              <w:t>Green area</w:t>
            </w:r>
          </w:p>
        </w:tc>
        <w:tc>
          <w:tcPr>
            <w:tcW w:w="842" w:type="pct"/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5F2">
              <w:rPr>
                <w:rFonts w:ascii="Times New Roman" w:hAnsi="Times New Roman" w:cs="Times New Roman"/>
                <w:sz w:val="24"/>
                <w:szCs w:val="24"/>
              </w:rPr>
              <w:t>17.4 ± 1.3</w:t>
            </w:r>
          </w:p>
        </w:tc>
        <w:tc>
          <w:tcPr>
            <w:tcW w:w="869" w:type="pct"/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0FB">
              <w:rPr>
                <w:rFonts w:ascii="Times New Roman" w:hAnsi="Times New Roman" w:cs="Times New Roman"/>
                <w:sz w:val="24"/>
                <w:szCs w:val="24"/>
              </w:rPr>
              <w:t>~14.5 – 20.9</w:t>
            </w:r>
          </w:p>
        </w:tc>
        <w:tc>
          <w:tcPr>
            <w:tcW w:w="773" w:type="pct"/>
            <w:hideMark/>
          </w:tcPr>
          <w:p w:rsidR="004B57B0" w:rsidRPr="000074B0" w:rsidRDefault="004B57B0" w:rsidP="00211C39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74B0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652" w:type="pct"/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9">
              <w:rPr>
                <w:rFonts w:ascii="Times New Roman" w:hAnsi="Times New Roman" w:cs="Times New Roman"/>
                <w:sz w:val="24"/>
                <w:szCs w:val="24"/>
              </w:rPr>
              <w:t>Commercial / Residential</w:t>
            </w:r>
          </w:p>
        </w:tc>
        <w:tc>
          <w:tcPr>
            <w:tcW w:w="593" w:type="pct"/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9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</w:tr>
      <w:tr w:rsidR="004B57B0" w:rsidRPr="00D90DD9" w:rsidTr="00211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" w:type="pct"/>
            <w:hideMark/>
          </w:tcPr>
          <w:p w:rsidR="004B57B0" w:rsidRPr="00D90DD9" w:rsidRDefault="004B57B0" w:rsidP="00211C39">
            <w:pPr>
              <w:spacing w:after="1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  <w:hideMark/>
          </w:tcPr>
          <w:p w:rsidR="004B57B0" w:rsidRPr="00D90DD9" w:rsidRDefault="004B57B0" w:rsidP="00211C39">
            <w:pPr>
              <w:spacing w:after="1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9">
              <w:rPr>
                <w:rFonts w:ascii="Times New Roman" w:hAnsi="Times New Roman" w:cs="Times New Roman"/>
                <w:sz w:val="24"/>
                <w:szCs w:val="24"/>
              </w:rPr>
              <w:t>Residential area</w:t>
            </w:r>
          </w:p>
        </w:tc>
        <w:tc>
          <w:tcPr>
            <w:tcW w:w="842" w:type="pct"/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5F2">
              <w:rPr>
                <w:rFonts w:ascii="Times New Roman" w:hAnsi="Times New Roman" w:cs="Times New Roman"/>
                <w:sz w:val="24"/>
                <w:szCs w:val="24"/>
              </w:rPr>
              <w:t>12.9 ± 1.0</w:t>
            </w:r>
          </w:p>
        </w:tc>
        <w:tc>
          <w:tcPr>
            <w:tcW w:w="869" w:type="pct"/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0FB">
              <w:rPr>
                <w:rFonts w:ascii="Times New Roman" w:hAnsi="Times New Roman" w:cs="Times New Roman"/>
                <w:sz w:val="24"/>
                <w:szCs w:val="24"/>
              </w:rPr>
              <w:t>~10.8 – 15.6</w:t>
            </w:r>
          </w:p>
        </w:tc>
        <w:tc>
          <w:tcPr>
            <w:tcW w:w="773" w:type="pct"/>
            <w:hideMark/>
          </w:tcPr>
          <w:p w:rsidR="004B57B0" w:rsidRPr="000074B0" w:rsidRDefault="004B57B0" w:rsidP="00211C39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74B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2" w:type="pct"/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9">
              <w:rPr>
                <w:rFonts w:ascii="Times New Roman" w:hAnsi="Times New Roman" w:cs="Times New Roman"/>
                <w:sz w:val="24"/>
                <w:szCs w:val="24"/>
              </w:rPr>
              <w:t>Green / Residential</w:t>
            </w:r>
          </w:p>
        </w:tc>
        <w:tc>
          <w:tcPr>
            <w:tcW w:w="593" w:type="pct"/>
            <w:hideMark/>
          </w:tcPr>
          <w:p w:rsidR="004B57B0" w:rsidRPr="00D90DD9" w:rsidRDefault="004B57B0" w:rsidP="00211C39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9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</w:tbl>
    <w:p w:rsidR="004B57B0" w:rsidRDefault="004B57B0" w:rsidP="004B57B0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82D4D">
        <w:rPr>
          <w:rFonts w:ascii="Times New Roman" w:hAnsi="Times New Roman" w:cs="Times New Roman"/>
          <w:sz w:val="24"/>
          <w:szCs w:val="24"/>
        </w:rPr>
        <w:t>Abbreviations: EMM = Estimated Marginal Mean; SE = Standard Error; CI = Confidence Interval.</w:t>
      </w:r>
      <w:r w:rsidRPr="00D82D4D">
        <w:rPr>
          <w:rFonts w:ascii="Times New Roman" w:hAnsi="Times New Roman" w:cs="Times New Roman"/>
          <w:sz w:val="24"/>
          <w:szCs w:val="24"/>
        </w:rPr>
        <w:br/>
        <w:t>Notes: Means sharing</w:t>
      </w:r>
      <w:r w:rsidRPr="00D90DD9">
        <w:rPr>
          <w:rFonts w:ascii="Times New Roman" w:hAnsi="Times New Roman" w:cs="Times New Roman"/>
          <w:sz w:val="24"/>
          <w:szCs w:val="24"/>
        </w:rPr>
        <w:t xml:space="preserve"> the same letter are not significantly different at </w:t>
      </w:r>
      <w:r w:rsidRPr="00D90DD9">
        <w:rPr>
          <w:rFonts w:ascii="Times New Roman" w:hAnsi="Times New Roman" w:cs="Times New Roman"/>
          <w:i/>
          <w:iCs/>
          <w:sz w:val="24"/>
          <w:szCs w:val="24"/>
        </w:rPr>
        <w:t>α</w:t>
      </w:r>
      <w:r w:rsidRPr="00D90DD9">
        <w:rPr>
          <w:rFonts w:ascii="Times New Roman" w:hAnsi="Times New Roman" w:cs="Times New Roman"/>
          <w:sz w:val="24"/>
          <w:szCs w:val="24"/>
        </w:rPr>
        <w:t xml:space="preserve"> = 0.05 (Tukey-adjusted).</w:t>
      </w:r>
    </w:p>
    <w:p w:rsidR="00F90515" w:rsidRDefault="00F90515">
      <w:bookmarkStart w:id="0" w:name="_GoBack"/>
      <w:bookmarkEnd w:id="0"/>
    </w:p>
    <w:sectPr w:rsidR="00F905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7B0"/>
    <w:rsid w:val="003109C8"/>
    <w:rsid w:val="004B57B0"/>
    <w:rsid w:val="00C555EA"/>
    <w:rsid w:val="00F90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1971F9-045D-4AA2-B33C-F265D6DC8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57B0"/>
    <w:rPr>
      <w:lang w:val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57B0"/>
    <w:pPr>
      <w:spacing w:after="0" w:line="240" w:lineRule="auto"/>
    </w:pPr>
    <w:rPr>
      <w:lang w:val="en-M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4B57B0"/>
    <w:pPr>
      <w:spacing w:after="0" w:line="240" w:lineRule="auto"/>
    </w:pPr>
    <w:rPr>
      <w:lang w:val="en-MY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4B57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Nagendran M Muthumani R</dc:creator>
  <cp:keywords/>
  <dc:description/>
  <cp:lastModifiedBy>Nagendran M Muthumani R</cp:lastModifiedBy>
  <cp:revision>1</cp:revision>
  <dcterms:created xsi:type="dcterms:W3CDTF">2026-01-31T10:17:00Z</dcterms:created>
  <dcterms:modified xsi:type="dcterms:W3CDTF">2026-01-31T10:17:00Z</dcterms:modified>
</cp:coreProperties>
</file>