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69D" w:rsidRPr="009850EB" w:rsidRDefault="009850EB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9850EB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Supplementary Figure 1:</w:t>
      </w:r>
    </w:p>
    <w:p w:rsidR="009850EB" w:rsidRDefault="009850EB">
      <w:pPr>
        <w:rPr>
          <w:lang w:val="en-US"/>
        </w:rPr>
      </w:pPr>
      <w:r>
        <w:rPr>
          <w:noProof/>
        </w:rPr>
        <w:drawing>
          <wp:inline distT="0" distB="0" distL="0" distR="0" wp14:anchorId="4799F4D3" wp14:editId="68419561">
            <wp:extent cx="5731510" cy="45726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7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0EB" w:rsidRDefault="009850EB" w:rsidP="009850EB">
      <w:pPr>
        <w:pStyle w:val="ListParagraph"/>
        <w:spacing w:before="100" w:beforeAutospacing="1" w:after="100" w:afterAutospacing="1" w:line="360" w:lineRule="auto"/>
        <w:ind w:left="0"/>
        <w:contextualSpacing w:val="0"/>
        <w:jc w:val="center"/>
        <w:rPr>
          <w:rFonts w:asciiTheme="majorBidi" w:hAnsiTheme="majorBidi" w:cstheme="majorBidi"/>
          <w:sz w:val="20"/>
          <w:szCs w:val="20"/>
          <w:lang w:val="sv-SE" w:bidi="fa-IR"/>
        </w:rPr>
      </w:pPr>
      <w:r w:rsidRPr="00D03513">
        <w:rPr>
          <w:rFonts w:asciiTheme="majorBidi" w:hAnsiTheme="majorBidi" w:cstheme="majorBidi"/>
          <w:sz w:val="20"/>
          <w:szCs w:val="20"/>
          <w:lang w:val="sv-SE" w:bidi="fa-IR"/>
        </w:rPr>
        <w:t xml:space="preserve">SEM </w:t>
      </w:r>
      <w:r w:rsidRPr="00D03513">
        <w:rPr>
          <w:rFonts w:ascii="Times New Roman" w:eastAsia="Calibri" w:hAnsi="Times New Roman" w:cs="Times New Roman"/>
          <w:sz w:val="20"/>
          <w:szCs w:val="20"/>
          <w:lang w:val="sv-SE" w:bidi="fa-IR"/>
        </w:rPr>
        <w:t>images</w:t>
      </w:r>
      <w:r w:rsidRPr="00D03513">
        <w:rPr>
          <w:rFonts w:asciiTheme="majorBidi" w:hAnsiTheme="majorBidi" w:cstheme="majorBidi"/>
          <w:sz w:val="20"/>
          <w:szCs w:val="20"/>
          <w:lang w:val="sv-SE" w:bidi="fa-IR"/>
        </w:rPr>
        <w:t xml:space="preserve"> </w:t>
      </w:r>
      <w:proofErr w:type="spellStart"/>
      <w:r w:rsidRPr="00D03513">
        <w:rPr>
          <w:rFonts w:asciiTheme="majorBidi" w:hAnsiTheme="majorBidi" w:cstheme="majorBidi"/>
          <w:sz w:val="20"/>
          <w:szCs w:val="20"/>
          <w:lang w:val="sv-SE" w:bidi="fa-IR"/>
        </w:rPr>
        <w:t>of</w:t>
      </w:r>
      <w:proofErr w:type="spellEnd"/>
      <w:r w:rsidRPr="00D03513">
        <w:rPr>
          <w:rFonts w:asciiTheme="majorBidi" w:hAnsiTheme="majorBidi" w:cstheme="majorBidi"/>
          <w:sz w:val="20"/>
          <w:szCs w:val="20"/>
          <w:lang w:val="sv-SE" w:bidi="fa-IR"/>
        </w:rPr>
        <w:t xml:space="preserve"> (</w:t>
      </w:r>
      <w:r>
        <w:rPr>
          <w:rFonts w:asciiTheme="majorBidi" w:hAnsiTheme="majorBidi" w:cstheme="majorBidi"/>
          <w:sz w:val="20"/>
          <w:szCs w:val="20"/>
          <w:lang w:val="sv-SE" w:bidi="fa-IR"/>
        </w:rPr>
        <w:t>a-d</w:t>
      </w:r>
      <w:r w:rsidRPr="00D03513">
        <w:rPr>
          <w:rFonts w:asciiTheme="majorBidi" w:hAnsiTheme="majorBidi" w:cstheme="majorBidi"/>
          <w:sz w:val="20"/>
          <w:szCs w:val="20"/>
          <w:lang w:val="sv-SE" w:bidi="fa-IR"/>
        </w:rPr>
        <w:t>) HA-2, HA-2-RADA-1, HA-2-RADA-5 and HA-2-RADA-10</w:t>
      </w:r>
    </w:p>
    <w:p w:rsidR="009850EB" w:rsidRPr="00BD3EA6" w:rsidRDefault="009850EB" w:rsidP="009850EB">
      <w:pPr>
        <w:spacing w:before="100" w:beforeAutospacing="1" w:after="100" w:afterAutospacing="1"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9850EB">
        <w:rPr>
          <w:rFonts w:asciiTheme="majorBidi" w:hAnsiTheme="majorBidi" w:cstheme="majorBidi"/>
          <w:sz w:val="24"/>
          <w:szCs w:val="24"/>
          <w:lang w:bidi="fa-IR"/>
        </w:rPr>
        <w:t xml:space="preserve">SEM </w:t>
      </w:r>
      <w:r w:rsidRPr="009850EB">
        <w:rPr>
          <w:rFonts w:ascii="Times New Roman" w:eastAsia="Calibri" w:hAnsi="Times New Roman" w:cs="Times New Roman"/>
          <w:sz w:val="24"/>
          <w:szCs w:val="24"/>
          <w:lang w:bidi="fa-IR"/>
        </w:rPr>
        <w:t>images</w:t>
      </w:r>
      <w:r w:rsidRPr="009850EB">
        <w:rPr>
          <w:rFonts w:asciiTheme="majorBidi" w:hAnsiTheme="majorBidi" w:cstheme="majorBidi"/>
          <w:sz w:val="24"/>
          <w:szCs w:val="24"/>
          <w:lang w:bidi="fa-IR"/>
        </w:rPr>
        <w:t xml:space="preserve"> of HA-2 and the IPNs of this hydrogel did not show any aligned or arranged porous structure</w:t>
      </w:r>
      <w:r w:rsidRPr="009850EB">
        <w:rPr>
          <w:rFonts w:ascii="Times New Roman" w:eastAsia="Calibri" w:hAnsi="Times New Roman" w:cs="Times New Roman"/>
          <w:sz w:val="24"/>
          <w:szCs w:val="24"/>
          <w:lang w:bidi="fa-IR"/>
        </w:rPr>
        <w:t>;</w:t>
      </w:r>
      <w:r w:rsidRPr="009850EB">
        <w:rPr>
          <w:rFonts w:asciiTheme="majorBidi" w:hAnsiTheme="majorBidi" w:cstheme="majorBidi"/>
          <w:sz w:val="24"/>
          <w:szCs w:val="24"/>
          <w:lang w:bidi="fa-IR"/>
        </w:rPr>
        <w:t xml:space="preserve"> it was porous</w:t>
      </w:r>
      <w:r w:rsidRPr="009850EB">
        <w:rPr>
          <w:rFonts w:ascii="Times New Roman" w:eastAsia="Calibri" w:hAnsi="Times New Roman" w:cs="Times New Roman"/>
          <w:sz w:val="24"/>
          <w:szCs w:val="24"/>
          <w:lang w:bidi="fa-IR"/>
        </w:rPr>
        <w:t>,</w:t>
      </w:r>
      <w:r w:rsidRPr="009850EB">
        <w:rPr>
          <w:rFonts w:asciiTheme="majorBidi" w:hAnsiTheme="majorBidi" w:cstheme="majorBidi"/>
          <w:sz w:val="24"/>
          <w:szCs w:val="24"/>
          <w:lang w:bidi="fa-IR"/>
        </w:rPr>
        <w:t xml:space="preserve"> but the porosity did not have any orientation. With </w:t>
      </w:r>
      <w:r w:rsidRPr="009850EB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the </w:t>
      </w:r>
      <w:r w:rsidRPr="009850EB">
        <w:rPr>
          <w:rFonts w:asciiTheme="majorBidi" w:hAnsiTheme="majorBidi" w:cstheme="majorBidi"/>
          <w:sz w:val="24"/>
          <w:szCs w:val="24"/>
          <w:lang w:bidi="fa-IR"/>
        </w:rPr>
        <w:t>addition of RADA-1 to HA-2, the pores swelled</w:t>
      </w:r>
      <w:r w:rsidRPr="009850EB">
        <w:rPr>
          <w:rFonts w:ascii="Times New Roman" w:eastAsia="Calibri" w:hAnsi="Times New Roman" w:cs="Times New Roman"/>
          <w:sz w:val="24"/>
          <w:szCs w:val="24"/>
          <w:lang w:bidi="fa-IR"/>
        </w:rPr>
        <w:t>,</w:t>
      </w:r>
      <w:r w:rsidRPr="009850EB">
        <w:rPr>
          <w:rFonts w:asciiTheme="majorBidi" w:hAnsiTheme="majorBidi" w:cstheme="majorBidi"/>
          <w:sz w:val="24"/>
          <w:szCs w:val="24"/>
          <w:lang w:bidi="fa-IR"/>
        </w:rPr>
        <w:t xml:space="preserve"> and </w:t>
      </w:r>
      <w:r w:rsidRPr="009850EB">
        <w:rPr>
          <w:rFonts w:ascii="Times New Roman" w:eastAsia="Calibri" w:hAnsi="Times New Roman" w:cs="Times New Roman"/>
          <w:sz w:val="24"/>
          <w:szCs w:val="24"/>
          <w:lang w:bidi="fa-IR"/>
        </w:rPr>
        <w:t>their</w:t>
      </w:r>
      <w:r w:rsidRPr="009850EB">
        <w:rPr>
          <w:rFonts w:asciiTheme="majorBidi" w:hAnsiTheme="majorBidi" w:cstheme="majorBidi"/>
          <w:sz w:val="24"/>
          <w:szCs w:val="24"/>
          <w:lang w:bidi="fa-IR"/>
        </w:rPr>
        <w:t xml:space="preserve"> size increased. When the concentration of RADA was increased to 5 mg/ml, the porous structure collapsed</w:t>
      </w:r>
      <w:r w:rsidRPr="009850EB">
        <w:rPr>
          <w:rFonts w:ascii="Times New Roman" w:eastAsia="Calibri" w:hAnsi="Times New Roman" w:cs="Times New Roman"/>
          <w:sz w:val="24"/>
          <w:szCs w:val="24"/>
          <w:lang w:bidi="fa-IR"/>
        </w:rPr>
        <w:t>,</w:t>
      </w:r>
      <w:r w:rsidRPr="009850EB">
        <w:rPr>
          <w:rFonts w:asciiTheme="majorBidi" w:hAnsiTheme="majorBidi" w:cstheme="majorBidi"/>
          <w:sz w:val="24"/>
          <w:szCs w:val="24"/>
          <w:lang w:bidi="fa-IR"/>
        </w:rPr>
        <w:t xml:space="preserve"> and this concentration of RADA was not effective for fabricating a porous structure. In the case of HA-2-RADA-10, with </w:t>
      </w:r>
      <w:r w:rsidRPr="009850EB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a </w:t>
      </w:r>
      <w:r w:rsidRPr="009850EB">
        <w:rPr>
          <w:rFonts w:asciiTheme="majorBidi" w:hAnsiTheme="majorBidi" w:cstheme="majorBidi"/>
          <w:sz w:val="24"/>
          <w:szCs w:val="24"/>
          <w:lang w:bidi="fa-IR"/>
        </w:rPr>
        <w:t xml:space="preserve">RADA concentration of 10 mg/ml, the porous structure was similar to the porous structure of HA-2, and HA-2 and RADA-10 together generated an IPN with a structure similar to HA-2. It appears that IPN hydrogels were not formed using HA-2, so the other characterization techniques were applied </w:t>
      </w:r>
      <w:r w:rsidRPr="009850EB">
        <w:rPr>
          <w:rFonts w:ascii="Times New Roman" w:eastAsia="Calibri" w:hAnsi="Times New Roman" w:cs="Times New Roman"/>
          <w:sz w:val="24"/>
          <w:szCs w:val="24"/>
          <w:lang w:bidi="fa-IR"/>
        </w:rPr>
        <w:t>only</w:t>
      </w:r>
      <w:r w:rsidRPr="009850EB">
        <w:rPr>
          <w:rFonts w:asciiTheme="majorBidi" w:hAnsiTheme="majorBidi" w:cstheme="majorBidi"/>
          <w:sz w:val="24"/>
          <w:szCs w:val="24"/>
          <w:lang w:bidi="fa-IR"/>
        </w:rPr>
        <w:t xml:space="preserve"> for HA-1 IPN hydrogels.</w:t>
      </w:r>
      <w:bookmarkStart w:id="0" w:name="_GoBack"/>
      <w:bookmarkEnd w:id="0"/>
    </w:p>
    <w:p w:rsidR="009850EB" w:rsidRPr="009850EB" w:rsidRDefault="009850EB" w:rsidP="009850EB">
      <w:pPr>
        <w:pStyle w:val="ListParagraph"/>
        <w:spacing w:before="100" w:beforeAutospacing="1" w:after="100" w:afterAutospacing="1" w:line="360" w:lineRule="auto"/>
        <w:ind w:left="0"/>
        <w:contextualSpacing w:val="0"/>
        <w:rPr>
          <w:rFonts w:asciiTheme="majorBidi" w:hAnsiTheme="majorBidi" w:cstheme="majorBidi"/>
          <w:sz w:val="20"/>
          <w:szCs w:val="20"/>
          <w:lang w:bidi="fa-IR"/>
        </w:rPr>
      </w:pPr>
    </w:p>
    <w:p w:rsidR="009850EB" w:rsidRPr="009850EB" w:rsidRDefault="009850EB">
      <w:pPr>
        <w:rPr>
          <w:lang w:val="en-US"/>
        </w:rPr>
      </w:pPr>
    </w:p>
    <w:sectPr w:rsidR="009850EB" w:rsidRPr="009850E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0EB"/>
    <w:rsid w:val="00512967"/>
    <w:rsid w:val="009850EB"/>
    <w:rsid w:val="00CA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F645F"/>
  <w15:chartTrackingRefBased/>
  <w15:docId w15:val="{8AF655AC-8BB2-4E30-A23C-1BD0AACA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0EB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KTH CBH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Negar Abbasi Aval</dc:creator>
  <cp:keywords/>
  <dc:description/>
  <cp:lastModifiedBy>Negar Abbasi Aval</cp:lastModifiedBy>
  <cp:revision>1</cp:revision>
  <dcterms:created xsi:type="dcterms:W3CDTF">2021-11-01T18:03:00Z</dcterms:created>
  <dcterms:modified xsi:type="dcterms:W3CDTF">2021-11-01T18:11:00Z</dcterms:modified>
</cp:coreProperties>
</file>