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3CFC" w14:textId="1449B98A" w:rsidR="006D7EF4" w:rsidRDefault="006D7EF4" w:rsidP="006D7EF4">
      <w:pPr>
        <w:rPr>
          <w:rFonts w:ascii="Times New Roman" w:hAnsi="Times New Roman" w:cs="Times New Roman"/>
          <w:sz w:val="36"/>
          <w:szCs w:val="36"/>
          <w:lang w:val="en-GB"/>
        </w:rPr>
      </w:pPr>
      <w:r>
        <w:rPr>
          <w:rFonts w:ascii="Times New Roman" w:hAnsi="Times New Roman" w:cs="Times New Roman"/>
          <w:sz w:val="36"/>
          <w:szCs w:val="36"/>
          <w:lang w:val="en-GB"/>
        </w:rPr>
        <w:t xml:space="preserve">Supplementary information </w:t>
      </w:r>
    </w:p>
    <w:p w14:paraId="6B5F922F" w14:textId="77777777" w:rsidR="006D7EF4" w:rsidRDefault="006D7EF4" w:rsidP="006D7EF4">
      <w:pPr>
        <w:rPr>
          <w:rFonts w:ascii="Times New Roman" w:hAnsi="Times New Roman" w:cs="Times New Roman"/>
          <w:sz w:val="36"/>
          <w:szCs w:val="36"/>
          <w:lang w:val="en-GB"/>
        </w:rPr>
      </w:pPr>
    </w:p>
    <w:p w14:paraId="0EA785E2" w14:textId="1A86FD1D" w:rsidR="006D7EF4" w:rsidRPr="00803843" w:rsidRDefault="001B367D" w:rsidP="006D7EF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1B367D">
        <w:rPr>
          <w:rFonts w:ascii="Times New Roman" w:hAnsi="Times New Roman" w:cs="Times New Roman"/>
          <w:sz w:val="28"/>
          <w:szCs w:val="28"/>
          <w:lang w:val="en-GB"/>
        </w:rPr>
        <w:t>Unveiling</w:t>
      </w:r>
      <w:r w:rsidR="006D7EF4" w:rsidRPr="00803843">
        <w:rPr>
          <w:rFonts w:ascii="Times New Roman" w:hAnsi="Times New Roman" w:cs="Times New Roman"/>
          <w:sz w:val="28"/>
          <w:szCs w:val="28"/>
          <w:lang w:val="en-GB"/>
        </w:rPr>
        <w:t xml:space="preserve"> redox mechanism at the iron centres in the mechanochemically activated conversion of CO</w:t>
      </w:r>
      <w:r w:rsidR="006D7EF4" w:rsidRPr="00803843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</w:t>
      </w:r>
      <w:r w:rsidR="006D7EF4" w:rsidRPr="00803843">
        <w:rPr>
          <w:rFonts w:ascii="Times New Roman" w:hAnsi="Times New Roman" w:cs="Times New Roman"/>
          <w:sz w:val="28"/>
          <w:szCs w:val="28"/>
          <w:lang w:val="en-GB"/>
        </w:rPr>
        <w:t xml:space="preserve"> in the presence of olivine. </w:t>
      </w:r>
    </w:p>
    <w:p w14:paraId="4BC7D5EA" w14:textId="32E9223D" w:rsidR="006D7EF4" w:rsidRPr="006D7EF4" w:rsidRDefault="006D7EF4" w:rsidP="006D7EF4">
      <w:pPr>
        <w:rPr>
          <w:rFonts w:ascii="Times New Roman" w:hAnsi="Times New Roman" w:cs="Times New Roman"/>
        </w:rPr>
      </w:pPr>
      <w:r w:rsidRPr="006D7EF4">
        <w:rPr>
          <w:rFonts w:ascii="Times New Roman" w:hAnsi="Times New Roman" w:cs="Times New Roman"/>
        </w:rPr>
        <w:t>Valeria Farina</w:t>
      </w:r>
      <w:r w:rsidRPr="006D7EF4">
        <w:rPr>
          <w:rFonts w:ascii="Times New Roman" w:hAnsi="Times New Roman" w:cs="Times New Roman"/>
          <w:vertAlign w:val="superscript"/>
        </w:rPr>
        <w:t>1</w:t>
      </w:r>
      <w:r w:rsidRPr="006D7EF4">
        <w:rPr>
          <w:rFonts w:ascii="Times New Roman" w:hAnsi="Times New Roman" w:cs="Times New Roman"/>
        </w:rPr>
        <w:t>, Maria Domenica Simula</w:t>
      </w:r>
      <w:r w:rsidRPr="006D7EF4">
        <w:rPr>
          <w:rFonts w:ascii="Times New Roman" w:hAnsi="Times New Roman" w:cs="Times New Roman"/>
          <w:vertAlign w:val="superscript"/>
        </w:rPr>
        <w:t>1</w:t>
      </w:r>
      <w:r w:rsidRPr="006D7EF4">
        <w:rPr>
          <w:rFonts w:ascii="Times New Roman" w:hAnsi="Times New Roman" w:cs="Times New Roman"/>
        </w:rPr>
        <w:t>, Alessandro Taras</w:t>
      </w:r>
      <w:r w:rsidRPr="006D7EF4">
        <w:rPr>
          <w:rFonts w:ascii="Times New Roman" w:hAnsi="Times New Roman" w:cs="Times New Roman"/>
          <w:vertAlign w:val="superscript"/>
        </w:rPr>
        <w:t>1</w:t>
      </w:r>
      <w:r w:rsidRPr="006D7EF4">
        <w:rPr>
          <w:rFonts w:ascii="Times New Roman" w:hAnsi="Times New Roman" w:cs="Times New Roman"/>
        </w:rPr>
        <w:t>,</w:t>
      </w:r>
      <w:r w:rsidR="001B367D">
        <w:rPr>
          <w:rFonts w:ascii="Times New Roman" w:hAnsi="Times New Roman" w:cs="Times New Roman"/>
        </w:rPr>
        <w:t xml:space="preserve"> Luca Cappai</w:t>
      </w:r>
      <w:r w:rsidR="001B367D">
        <w:rPr>
          <w:rFonts w:ascii="Times New Roman" w:hAnsi="Times New Roman" w:cs="Times New Roman"/>
          <w:vertAlign w:val="superscript"/>
        </w:rPr>
        <w:t>1</w:t>
      </w:r>
      <w:r w:rsidR="001B367D">
        <w:rPr>
          <w:rFonts w:ascii="Times New Roman" w:hAnsi="Times New Roman" w:cs="Times New Roman"/>
        </w:rPr>
        <w:t>,</w:t>
      </w:r>
      <w:r w:rsidRPr="006D7EF4">
        <w:rPr>
          <w:rFonts w:ascii="Times New Roman" w:hAnsi="Times New Roman" w:cs="Times New Roman"/>
        </w:rPr>
        <w:t xml:space="preserve"> Moulay Tahar Sougrati</w:t>
      </w:r>
      <w:r w:rsidRPr="006D7EF4">
        <w:rPr>
          <w:rFonts w:ascii="Times New Roman" w:hAnsi="Times New Roman" w:cs="Times New Roman"/>
          <w:vertAlign w:val="superscript"/>
        </w:rPr>
        <w:t>2</w:t>
      </w:r>
      <w:r w:rsidRPr="006D7EF4">
        <w:rPr>
          <w:rFonts w:ascii="Times New Roman" w:hAnsi="Times New Roman" w:cs="Times New Roman"/>
        </w:rPr>
        <w:t>, Gabriele Mulas</w:t>
      </w:r>
      <w:r w:rsidRPr="006D7EF4">
        <w:rPr>
          <w:rFonts w:ascii="Times New Roman" w:hAnsi="Times New Roman" w:cs="Times New Roman"/>
          <w:vertAlign w:val="superscript"/>
        </w:rPr>
        <w:t>1</w:t>
      </w:r>
      <w:r w:rsidRPr="006D7EF4">
        <w:rPr>
          <w:rFonts w:ascii="Times New Roman" w:hAnsi="Times New Roman" w:cs="Times New Roman"/>
        </w:rPr>
        <w:t>, Sebastiano Garroni</w:t>
      </w:r>
      <w:r w:rsidRPr="006D7EF4">
        <w:rPr>
          <w:rFonts w:ascii="Times New Roman" w:hAnsi="Times New Roman" w:cs="Times New Roman"/>
          <w:vertAlign w:val="superscript"/>
        </w:rPr>
        <w:t>1*</w:t>
      </w:r>
      <w:r w:rsidRPr="006D7EF4">
        <w:rPr>
          <w:rFonts w:ascii="Times New Roman" w:hAnsi="Times New Roman" w:cs="Times New Roman"/>
        </w:rPr>
        <w:t>, Stefano Enzo</w:t>
      </w:r>
      <w:r w:rsidRPr="006D7EF4">
        <w:rPr>
          <w:rFonts w:ascii="Times New Roman" w:hAnsi="Times New Roman" w:cs="Times New Roman"/>
          <w:vertAlign w:val="superscript"/>
        </w:rPr>
        <w:t>1</w:t>
      </w:r>
      <w:r w:rsidRPr="006D7EF4">
        <w:rPr>
          <w:rFonts w:ascii="Times New Roman" w:hAnsi="Times New Roman" w:cs="Times New Roman"/>
        </w:rPr>
        <w:t>, Lorenzo Stievano</w:t>
      </w:r>
      <w:r w:rsidRPr="006D7EF4">
        <w:rPr>
          <w:rFonts w:ascii="Times New Roman" w:hAnsi="Times New Roman" w:cs="Times New Roman"/>
          <w:vertAlign w:val="superscript"/>
        </w:rPr>
        <w:t>2</w:t>
      </w:r>
    </w:p>
    <w:p w14:paraId="4C664F4B" w14:textId="77777777" w:rsidR="006D7EF4" w:rsidRPr="00CE69F5" w:rsidRDefault="006D7EF4" w:rsidP="006D7EF4">
      <w:pPr>
        <w:rPr>
          <w:rFonts w:ascii="Times New Roman" w:hAnsi="Times New Roman" w:cs="Times New Roman"/>
          <w:sz w:val="28"/>
          <w:szCs w:val="28"/>
        </w:rPr>
      </w:pPr>
    </w:p>
    <w:p w14:paraId="0BFCCF8F" w14:textId="77777777" w:rsidR="006D7EF4" w:rsidRPr="006D7EF4" w:rsidRDefault="006D7EF4" w:rsidP="006D7EF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D7EF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6D7EF4">
        <w:rPr>
          <w:rFonts w:ascii="Times New Roman" w:hAnsi="Times New Roman" w:cs="Times New Roman"/>
          <w:sz w:val="20"/>
          <w:szCs w:val="20"/>
          <w:lang w:val="en-GB"/>
        </w:rPr>
        <w:t xml:space="preserve"> Department of Chemistry and Pharmacy, </w:t>
      </w:r>
      <w:proofErr w:type="spellStart"/>
      <w:r w:rsidRPr="006D7EF4">
        <w:rPr>
          <w:rFonts w:ascii="Times New Roman" w:hAnsi="Times New Roman" w:cs="Times New Roman"/>
          <w:sz w:val="20"/>
          <w:szCs w:val="20"/>
          <w:lang w:val="en-GB"/>
        </w:rPr>
        <w:t>Università</w:t>
      </w:r>
      <w:proofErr w:type="spellEnd"/>
      <w:r w:rsidRPr="006D7EF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D7EF4">
        <w:rPr>
          <w:rFonts w:ascii="Times New Roman" w:hAnsi="Times New Roman" w:cs="Times New Roman"/>
          <w:sz w:val="20"/>
          <w:szCs w:val="20"/>
          <w:lang w:val="en-GB"/>
        </w:rPr>
        <w:t>degli</w:t>
      </w:r>
      <w:proofErr w:type="spellEnd"/>
      <w:r w:rsidRPr="006D7EF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D7EF4">
        <w:rPr>
          <w:rFonts w:ascii="Times New Roman" w:hAnsi="Times New Roman" w:cs="Times New Roman"/>
          <w:sz w:val="20"/>
          <w:szCs w:val="20"/>
          <w:lang w:val="en-GB"/>
        </w:rPr>
        <w:t>Studi</w:t>
      </w:r>
      <w:proofErr w:type="spellEnd"/>
      <w:r w:rsidRPr="006D7EF4">
        <w:rPr>
          <w:rFonts w:ascii="Times New Roman" w:hAnsi="Times New Roman" w:cs="Times New Roman"/>
          <w:sz w:val="20"/>
          <w:szCs w:val="20"/>
          <w:lang w:val="en-GB"/>
        </w:rPr>
        <w:t xml:space="preserve"> di Sassari and INSTM, Sassari, Italy. </w:t>
      </w:r>
    </w:p>
    <w:p w14:paraId="7CB35638" w14:textId="2508E8F5" w:rsidR="006D7EF4" w:rsidRPr="001323E9" w:rsidRDefault="006D7EF4" w:rsidP="006D7EF4">
      <w:pPr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6D7EF4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2</w:t>
      </w:r>
      <w:r w:rsidRPr="006D7EF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531A3C">
        <w:rPr>
          <w:rFonts w:ascii="Times New Roman" w:hAnsi="Times New Roman" w:cs="Times New Roman"/>
          <w:sz w:val="20"/>
          <w:szCs w:val="20"/>
          <w:lang w:val="fr-FR"/>
        </w:rPr>
        <w:t>ICGM, Univ. Montpellier, CNRS, ENSCM, Montpellier, France.</w:t>
      </w:r>
    </w:p>
    <w:p w14:paraId="216B3760" w14:textId="208089A7" w:rsidR="002C29CD" w:rsidRDefault="002C29CD" w:rsidP="002C29CD">
      <w:pPr>
        <w:rPr>
          <w:lang w:val="fr-FR"/>
        </w:rPr>
      </w:pPr>
    </w:p>
    <w:p w14:paraId="3ABD7F25" w14:textId="1661B338" w:rsidR="00D56CA0" w:rsidRPr="00B34D49" w:rsidRDefault="006D7EF4" w:rsidP="00D56CA0">
      <w:pPr>
        <w:spacing w:after="0"/>
        <w:rPr>
          <w:sz w:val="24"/>
          <w:szCs w:val="24"/>
          <w:u w:val="single"/>
          <w:lang w:val="en-GB"/>
        </w:rPr>
      </w:pPr>
      <w:r w:rsidRPr="00B34D49">
        <w:rPr>
          <w:sz w:val="24"/>
          <w:szCs w:val="24"/>
          <w:u w:val="single"/>
          <w:lang w:val="en-GB"/>
        </w:rPr>
        <w:t>Composition of pristine olivine</w:t>
      </w:r>
    </w:p>
    <w:p w14:paraId="4EFEBD67" w14:textId="1DB4FC4D" w:rsidR="006D7EF4" w:rsidRDefault="006D7EF4" w:rsidP="00D56CA0">
      <w:pPr>
        <w:spacing w:after="0"/>
        <w:rPr>
          <w:sz w:val="24"/>
          <w:szCs w:val="24"/>
          <w:lang w:val="en-GB"/>
        </w:rPr>
      </w:pPr>
    </w:p>
    <w:p w14:paraId="3FF76007" w14:textId="63F75E87" w:rsidR="006D7EF4" w:rsidRPr="00803843" w:rsidRDefault="006D7EF4" w:rsidP="0080384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The composition of the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pristine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 commercial olivine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was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provided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 by the supplier (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Satef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) and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it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is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fr-FR"/>
        </w:rPr>
        <w:t>reported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fr-FR"/>
        </w:rPr>
        <w:t xml:space="preserve"> in Table S1. 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 xml:space="preserve">The same composition was also checked by EDX-SEM by averaging the analysis over several large representative areas of the sample as well as by XRF on the pristine powder. A quite good correspondence between the two analyses and the data provided by the supplier can be observed. </w:t>
      </w:r>
    </w:p>
    <w:p w14:paraId="102BD093" w14:textId="77777777" w:rsidR="006D7EF4" w:rsidRDefault="006D7EF4" w:rsidP="006D7EF4">
      <w:pPr>
        <w:rPr>
          <w:lang w:val="fr-FR"/>
        </w:rPr>
      </w:pPr>
    </w:p>
    <w:p w14:paraId="7BED5DAF" w14:textId="3BB21774" w:rsidR="006D7EF4" w:rsidRPr="006D7EF4" w:rsidRDefault="006D7EF4" w:rsidP="006D7EF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D7EF4">
        <w:rPr>
          <w:rFonts w:ascii="Times New Roman" w:hAnsi="Times New Roman" w:cs="Times New Roman"/>
          <w:sz w:val="20"/>
          <w:szCs w:val="20"/>
          <w:lang w:val="en-US"/>
        </w:rPr>
        <w:t>Table S1. Composition of the pristine olivine provided by the supplier and measured by SEM-EDX and XRF.</w:t>
      </w:r>
    </w:p>
    <w:tbl>
      <w:tblPr>
        <w:tblStyle w:val="PlainTable3"/>
        <w:tblW w:w="9356" w:type="dxa"/>
        <w:jc w:val="center"/>
        <w:tblLook w:val="04A0" w:firstRow="1" w:lastRow="0" w:firstColumn="1" w:lastColumn="0" w:noHBand="0" w:noVBand="1"/>
      </w:tblPr>
      <w:tblGrid>
        <w:gridCol w:w="2499"/>
        <w:gridCol w:w="2103"/>
        <w:gridCol w:w="1481"/>
        <w:gridCol w:w="1220"/>
        <w:gridCol w:w="2053"/>
      </w:tblGrid>
      <w:tr w:rsidR="006D7EF4" w:rsidRPr="003179F5" w14:paraId="2397FCC3" w14:textId="77777777" w:rsidTr="009A5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</w:tcPr>
          <w:p w14:paraId="5C2FEAF3" w14:textId="77777777" w:rsidR="006D7EF4" w:rsidRPr="004E1C1B" w:rsidRDefault="006D7EF4" w:rsidP="009A5775">
            <w:pPr>
              <w:rPr>
                <w:rFonts w:ascii="Palatino Linotype" w:hAnsi="Palatino Linotype" w:cstheme="minorHAnsi"/>
                <w:b w:val="0"/>
                <w:sz w:val="24"/>
                <w:szCs w:val="24"/>
              </w:rPr>
            </w:pPr>
            <w:r w:rsidRPr="004E1C1B">
              <w:rPr>
                <w:rFonts w:ascii="Palatino Linotype" w:hAnsi="Palatino Linotype" w:cstheme="minorHAnsi"/>
                <w:sz w:val="24"/>
                <w:szCs w:val="24"/>
              </w:rPr>
              <w:t>Element</w:t>
            </w:r>
          </w:p>
        </w:tc>
        <w:tc>
          <w:tcPr>
            <w:tcW w:w="0" w:type="dxa"/>
            <w:gridSpan w:val="4"/>
          </w:tcPr>
          <w:p w14:paraId="3555472B" w14:textId="77777777" w:rsidR="006D7EF4" w:rsidRPr="004E1C1B" w:rsidRDefault="006D7EF4" w:rsidP="009A57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b w:val="0"/>
                <w:sz w:val="24"/>
                <w:szCs w:val="24"/>
              </w:rPr>
            </w:pPr>
            <w:r w:rsidRPr="004E1C1B">
              <w:rPr>
                <w:rFonts w:ascii="Palatino Linotype" w:hAnsi="Palatino Linotype" w:cstheme="minorHAnsi"/>
                <w:sz w:val="24"/>
                <w:szCs w:val="24"/>
              </w:rPr>
              <w:t>Elemental content</w:t>
            </w:r>
          </w:p>
        </w:tc>
      </w:tr>
      <w:tr w:rsidR="006D7EF4" w:rsidRPr="003179F5" w14:paraId="026DA4CB" w14:textId="77777777" w:rsidTr="009A5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8C88AE7" w14:textId="77777777" w:rsidR="006D7EF4" w:rsidRPr="004E1C1B" w:rsidRDefault="006D7EF4" w:rsidP="009A5775">
            <w:pPr>
              <w:rPr>
                <w:rFonts w:ascii="Palatino Linotype" w:hAnsi="Palatino Linotype" w:cstheme="minorHAnsi"/>
                <w:b w:val="0"/>
                <w:sz w:val="24"/>
                <w:szCs w:val="24"/>
              </w:rPr>
            </w:pPr>
          </w:p>
        </w:tc>
        <w:tc>
          <w:tcPr>
            <w:tcW w:w="0" w:type="dxa"/>
            <w:vAlign w:val="center"/>
          </w:tcPr>
          <w:p w14:paraId="60856D06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</w:pPr>
            <w:r w:rsidRPr="004E1C1B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Supplier (%)</w:t>
            </w:r>
          </w:p>
        </w:tc>
        <w:tc>
          <w:tcPr>
            <w:tcW w:w="0" w:type="dxa"/>
            <w:vAlign w:val="center"/>
          </w:tcPr>
          <w:p w14:paraId="79B4665A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</w:pPr>
            <w:r w:rsidRPr="004E1C1B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SEM-EDX (%)</w:t>
            </w:r>
          </w:p>
        </w:tc>
        <w:tc>
          <w:tcPr>
            <w:tcW w:w="0" w:type="dxa"/>
            <w:vAlign w:val="center"/>
          </w:tcPr>
          <w:p w14:paraId="18C78F79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</w:pPr>
            <w:r w:rsidRPr="004E1C1B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XRF (%)</w:t>
            </w:r>
          </w:p>
        </w:tc>
        <w:tc>
          <w:tcPr>
            <w:tcW w:w="0" w:type="dxa"/>
            <w:vAlign w:val="center"/>
          </w:tcPr>
          <w:p w14:paraId="3AD7C357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</w:pPr>
            <w:r w:rsidRPr="004E1C1B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Rietveld (%)</w:t>
            </w:r>
          </w:p>
        </w:tc>
      </w:tr>
      <w:tr w:rsidR="006D7EF4" w:rsidRPr="003179F5" w14:paraId="47581EFE" w14:textId="77777777" w:rsidTr="009A577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357BE76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Mg</w:t>
            </w:r>
          </w:p>
        </w:tc>
        <w:tc>
          <w:tcPr>
            <w:tcW w:w="0" w:type="dxa"/>
            <w:vAlign w:val="center"/>
          </w:tcPr>
          <w:p w14:paraId="18328FFC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30.15</w:t>
            </w:r>
          </w:p>
        </w:tc>
        <w:tc>
          <w:tcPr>
            <w:tcW w:w="0" w:type="dxa"/>
            <w:vAlign w:val="center"/>
          </w:tcPr>
          <w:p w14:paraId="66CA7C3A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23.0 – 29.5</w:t>
            </w:r>
          </w:p>
        </w:tc>
        <w:tc>
          <w:tcPr>
            <w:tcW w:w="0" w:type="dxa"/>
            <w:vAlign w:val="center"/>
          </w:tcPr>
          <w:p w14:paraId="010CBA6E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30.1</w:t>
            </w:r>
          </w:p>
        </w:tc>
        <w:tc>
          <w:tcPr>
            <w:tcW w:w="0" w:type="dxa"/>
            <w:vAlign w:val="center"/>
          </w:tcPr>
          <w:p w14:paraId="6058BD04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31.7</w:t>
            </w:r>
          </w:p>
        </w:tc>
      </w:tr>
      <w:tr w:rsidR="006D7EF4" w:rsidRPr="003179F5" w14:paraId="33B127B5" w14:textId="77777777" w:rsidTr="009A5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AA9C1BB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Si</w:t>
            </w:r>
          </w:p>
        </w:tc>
        <w:tc>
          <w:tcPr>
            <w:tcW w:w="0" w:type="dxa"/>
            <w:vAlign w:val="center"/>
          </w:tcPr>
          <w:p w14:paraId="7D79D309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19.38</w:t>
            </w:r>
          </w:p>
        </w:tc>
        <w:tc>
          <w:tcPr>
            <w:tcW w:w="0" w:type="dxa"/>
            <w:vAlign w:val="center"/>
          </w:tcPr>
          <w:p w14:paraId="45A1F1A3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15.9 – 16.5</w:t>
            </w:r>
          </w:p>
        </w:tc>
        <w:tc>
          <w:tcPr>
            <w:tcW w:w="0" w:type="dxa"/>
            <w:vAlign w:val="center"/>
          </w:tcPr>
          <w:p w14:paraId="70BFCD4F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20.5</w:t>
            </w:r>
          </w:p>
        </w:tc>
        <w:tc>
          <w:tcPr>
            <w:tcW w:w="0" w:type="dxa"/>
            <w:vAlign w:val="center"/>
          </w:tcPr>
          <w:p w14:paraId="09343A67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19.3</w:t>
            </w:r>
          </w:p>
        </w:tc>
      </w:tr>
      <w:tr w:rsidR="006D7EF4" w:rsidRPr="003179F5" w14:paraId="0BD0276E" w14:textId="77777777" w:rsidTr="009A577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E4D1DA0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Fe</w:t>
            </w:r>
          </w:p>
        </w:tc>
        <w:tc>
          <w:tcPr>
            <w:tcW w:w="0" w:type="dxa"/>
            <w:vAlign w:val="center"/>
          </w:tcPr>
          <w:p w14:paraId="5F7658EB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5.11</w:t>
            </w:r>
          </w:p>
        </w:tc>
        <w:tc>
          <w:tcPr>
            <w:tcW w:w="0" w:type="dxa"/>
            <w:vAlign w:val="center"/>
          </w:tcPr>
          <w:p w14:paraId="5A3E0862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4.7 – 6.3</w:t>
            </w:r>
          </w:p>
        </w:tc>
        <w:tc>
          <w:tcPr>
            <w:tcW w:w="0" w:type="dxa"/>
            <w:vAlign w:val="center"/>
          </w:tcPr>
          <w:p w14:paraId="18D48FB7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9.2</w:t>
            </w:r>
          </w:p>
        </w:tc>
        <w:tc>
          <w:tcPr>
            <w:tcW w:w="0" w:type="dxa"/>
            <w:vAlign w:val="center"/>
          </w:tcPr>
          <w:p w14:paraId="2D9A197A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4.2</w:t>
            </w:r>
          </w:p>
        </w:tc>
      </w:tr>
      <w:tr w:rsidR="006D7EF4" w:rsidRPr="003179F5" w14:paraId="5D411AD0" w14:textId="77777777" w:rsidTr="009A5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B854CB9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Cr</w:t>
            </w:r>
          </w:p>
        </w:tc>
        <w:tc>
          <w:tcPr>
            <w:tcW w:w="0" w:type="dxa"/>
            <w:vAlign w:val="center"/>
          </w:tcPr>
          <w:p w14:paraId="53DD4406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0.20</w:t>
            </w:r>
          </w:p>
        </w:tc>
        <w:tc>
          <w:tcPr>
            <w:tcW w:w="0" w:type="dxa"/>
            <w:vAlign w:val="center"/>
          </w:tcPr>
          <w:p w14:paraId="6A878CD1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  <w:tc>
          <w:tcPr>
            <w:tcW w:w="0" w:type="dxa"/>
            <w:vAlign w:val="center"/>
          </w:tcPr>
          <w:p w14:paraId="6D322AAE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0.4</w:t>
            </w:r>
          </w:p>
        </w:tc>
        <w:tc>
          <w:tcPr>
            <w:tcW w:w="0" w:type="dxa"/>
            <w:vAlign w:val="center"/>
          </w:tcPr>
          <w:p w14:paraId="389C3F9C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</w:tr>
      <w:tr w:rsidR="006D7EF4" w:rsidRPr="003179F5" w14:paraId="194D547B" w14:textId="77777777" w:rsidTr="009A577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AE80EB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Al</w:t>
            </w:r>
          </w:p>
        </w:tc>
        <w:tc>
          <w:tcPr>
            <w:tcW w:w="0" w:type="dxa"/>
            <w:vAlign w:val="center"/>
          </w:tcPr>
          <w:p w14:paraId="32948BAB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0.21</w:t>
            </w:r>
          </w:p>
        </w:tc>
        <w:tc>
          <w:tcPr>
            <w:tcW w:w="0" w:type="dxa"/>
            <w:vAlign w:val="center"/>
          </w:tcPr>
          <w:p w14:paraId="07BEDFDD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2.4 – 4.9</w:t>
            </w:r>
          </w:p>
        </w:tc>
        <w:tc>
          <w:tcPr>
            <w:tcW w:w="0" w:type="dxa"/>
            <w:vAlign w:val="center"/>
          </w:tcPr>
          <w:p w14:paraId="409ED25D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0.4</w:t>
            </w:r>
          </w:p>
        </w:tc>
        <w:tc>
          <w:tcPr>
            <w:tcW w:w="0" w:type="dxa"/>
            <w:vAlign w:val="center"/>
          </w:tcPr>
          <w:p w14:paraId="27F912A7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0.2</w:t>
            </w:r>
          </w:p>
        </w:tc>
      </w:tr>
      <w:tr w:rsidR="006D7EF4" w:rsidRPr="003179F5" w14:paraId="1EA16188" w14:textId="77777777" w:rsidTr="009A5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6AEB4EC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Ni</w:t>
            </w:r>
          </w:p>
        </w:tc>
        <w:tc>
          <w:tcPr>
            <w:tcW w:w="0" w:type="dxa"/>
            <w:vAlign w:val="center"/>
          </w:tcPr>
          <w:p w14:paraId="375F8B17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0.24</w:t>
            </w:r>
          </w:p>
        </w:tc>
        <w:tc>
          <w:tcPr>
            <w:tcW w:w="0" w:type="dxa"/>
            <w:vAlign w:val="center"/>
          </w:tcPr>
          <w:p w14:paraId="6767C486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  <w:tc>
          <w:tcPr>
            <w:tcW w:w="0" w:type="dxa"/>
            <w:vAlign w:val="center"/>
          </w:tcPr>
          <w:p w14:paraId="12EB3A59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0.6</w:t>
            </w:r>
          </w:p>
        </w:tc>
        <w:tc>
          <w:tcPr>
            <w:tcW w:w="0" w:type="dxa"/>
            <w:vAlign w:val="center"/>
          </w:tcPr>
          <w:p w14:paraId="652A30DC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</w:tr>
      <w:tr w:rsidR="006D7EF4" w:rsidRPr="003179F5" w14:paraId="17AE25C8" w14:textId="77777777" w:rsidTr="009A577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02770AE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Mn</w:t>
            </w:r>
          </w:p>
        </w:tc>
        <w:tc>
          <w:tcPr>
            <w:tcW w:w="0" w:type="dxa"/>
            <w:vAlign w:val="center"/>
          </w:tcPr>
          <w:p w14:paraId="741A879E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0.08</w:t>
            </w:r>
          </w:p>
        </w:tc>
        <w:tc>
          <w:tcPr>
            <w:tcW w:w="0" w:type="dxa"/>
            <w:vAlign w:val="center"/>
          </w:tcPr>
          <w:p w14:paraId="38D1B262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  <w:tc>
          <w:tcPr>
            <w:tcW w:w="0" w:type="dxa"/>
            <w:vAlign w:val="center"/>
          </w:tcPr>
          <w:p w14:paraId="5FB52859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0.1</w:t>
            </w:r>
          </w:p>
        </w:tc>
        <w:tc>
          <w:tcPr>
            <w:tcW w:w="0" w:type="dxa"/>
            <w:vAlign w:val="center"/>
          </w:tcPr>
          <w:p w14:paraId="43D9DADD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</w:tr>
      <w:tr w:rsidR="006D7EF4" w:rsidRPr="003179F5" w14:paraId="7DFB9C69" w14:textId="77777777" w:rsidTr="009A5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EC26CD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Ca</w:t>
            </w:r>
          </w:p>
        </w:tc>
        <w:tc>
          <w:tcPr>
            <w:tcW w:w="0" w:type="dxa"/>
            <w:vAlign w:val="center"/>
          </w:tcPr>
          <w:p w14:paraId="14994258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0.07</w:t>
            </w:r>
          </w:p>
        </w:tc>
        <w:tc>
          <w:tcPr>
            <w:tcW w:w="0" w:type="dxa"/>
            <w:vAlign w:val="center"/>
          </w:tcPr>
          <w:p w14:paraId="5692E277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  <w:tc>
          <w:tcPr>
            <w:tcW w:w="0" w:type="dxa"/>
            <w:vAlign w:val="center"/>
          </w:tcPr>
          <w:p w14:paraId="5C06C76B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0.2</w:t>
            </w:r>
          </w:p>
        </w:tc>
        <w:tc>
          <w:tcPr>
            <w:tcW w:w="0" w:type="dxa"/>
            <w:vAlign w:val="center"/>
          </w:tcPr>
          <w:p w14:paraId="0B1D4C0F" w14:textId="77777777" w:rsidR="006D7EF4" w:rsidRPr="004E1C1B" w:rsidRDefault="006D7EF4" w:rsidP="009A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-</w:t>
            </w:r>
          </w:p>
        </w:tc>
      </w:tr>
      <w:tr w:rsidR="006D7EF4" w:rsidRPr="003179F5" w14:paraId="127E57EF" w14:textId="77777777" w:rsidTr="009A577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8AC547E" w14:textId="77777777" w:rsidR="006D7EF4" w:rsidRPr="004E1C1B" w:rsidRDefault="006D7EF4" w:rsidP="009A5775">
            <w:pPr>
              <w:rPr>
                <w:rFonts w:ascii="Palatino Linotype" w:hAnsi="Palatino Linotype" w:cstheme="minorHAnsi"/>
              </w:rPr>
            </w:pPr>
            <w:r w:rsidRPr="00731C73">
              <w:rPr>
                <w:rFonts w:ascii="Palatino Linotype" w:hAnsi="Palatino Linotype" w:cstheme="minorHAnsi"/>
                <w:caps w:val="0"/>
              </w:rPr>
              <w:t>O</w:t>
            </w:r>
          </w:p>
        </w:tc>
        <w:tc>
          <w:tcPr>
            <w:tcW w:w="0" w:type="dxa"/>
            <w:vAlign w:val="center"/>
          </w:tcPr>
          <w:p w14:paraId="4632326D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  <w:sz w:val="20"/>
                <w:szCs w:val="20"/>
              </w:rPr>
            </w:pPr>
            <w:r w:rsidRPr="004E1C1B">
              <w:rPr>
                <w:rFonts w:ascii="Palatino Linotype" w:hAnsi="Palatino Linotype" w:cstheme="minorHAnsi"/>
              </w:rPr>
              <w:t>44.55</w:t>
            </w:r>
          </w:p>
        </w:tc>
        <w:tc>
          <w:tcPr>
            <w:tcW w:w="0" w:type="dxa"/>
            <w:vAlign w:val="center"/>
          </w:tcPr>
          <w:p w14:paraId="0EC55279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45.9 – 47.8</w:t>
            </w:r>
          </w:p>
        </w:tc>
        <w:tc>
          <w:tcPr>
            <w:tcW w:w="0" w:type="dxa"/>
            <w:vAlign w:val="center"/>
          </w:tcPr>
          <w:p w14:paraId="42F99B63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</w:p>
        </w:tc>
        <w:tc>
          <w:tcPr>
            <w:tcW w:w="0" w:type="dxa"/>
            <w:vAlign w:val="center"/>
          </w:tcPr>
          <w:p w14:paraId="7CCAFDFA" w14:textId="77777777" w:rsidR="006D7EF4" w:rsidRPr="004E1C1B" w:rsidRDefault="006D7EF4" w:rsidP="009A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HAnsi"/>
              </w:rPr>
            </w:pPr>
            <w:r w:rsidRPr="004E1C1B">
              <w:rPr>
                <w:rFonts w:ascii="Palatino Linotype" w:hAnsi="Palatino Linotype" w:cstheme="minorHAnsi"/>
              </w:rPr>
              <w:t>44.3</w:t>
            </w:r>
          </w:p>
        </w:tc>
      </w:tr>
    </w:tbl>
    <w:p w14:paraId="140025E6" w14:textId="77777777" w:rsidR="006D7EF4" w:rsidRDefault="006D7EF4" w:rsidP="006D7EF4">
      <w:pPr>
        <w:rPr>
          <w:lang w:val="en-GB"/>
        </w:rPr>
      </w:pPr>
    </w:p>
    <w:p w14:paraId="64BA9343" w14:textId="65B89A31" w:rsidR="006D7EF4" w:rsidRPr="00803843" w:rsidRDefault="006D7EF4" w:rsidP="0080384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03843">
        <w:rPr>
          <w:rFonts w:ascii="Times New Roman" w:hAnsi="Times New Roman" w:cs="Times New Roman"/>
          <w:sz w:val="24"/>
          <w:szCs w:val="24"/>
          <w:lang w:val="en-GB"/>
        </w:rPr>
        <w:t xml:space="preserve">These compositional values can be compared to those calculated from the phase compositions obtained by quantitative Rietveld refinement of the diffraction pattern of pristine olivine, achieved 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lastRenderedPageBreak/>
        <w:t>using the following refined stoichiometries for the different crystalline phases detected in the pattern: Forsterite</w:t>
      </w:r>
      <w:r w:rsidR="006A1515">
        <w:rPr>
          <w:rFonts w:ascii="Times New Roman" w:hAnsi="Times New Roman" w:cs="Times New Roman"/>
          <w:sz w:val="24"/>
          <w:szCs w:val="24"/>
          <w:lang w:val="en-GB"/>
        </w:rPr>
        <w:t xml:space="preserve"> ferroan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 xml:space="preserve"> (Mg</w:t>
      </w:r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1.9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>Fe</w:t>
      </w:r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0.</w:t>
      </w:r>
      <w:proofErr w:type="gramStart"/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>)SiO</w:t>
      </w:r>
      <w:proofErr w:type="gramEnd"/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="006A151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 xml:space="preserve"> Enstatite, (Mg</w:t>
      </w:r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1.7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>Fe</w:t>
      </w:r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0.3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>)Si</w:t>
      </w:r>
      <w:r w:rsidRPr="008038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803843">
        <w:rPr>
          <w:rFonts w:ascii="Times New Roman" w:hAnsi="Times New Roman" w:cs="Times New Roman"/>
          <w:sz w:val="24"/>
          <w:szCs w:val="24"/>
          <w:lang w:val="en-GB"/>
        </w:rPr>
        <w:t xml:space="preserve">O6;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en-GB"/>
        </w:rPr>
        <w:t>Clinochlore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>Al</w:t>
      </w:r>
      <w:r w:rsidRPr="00803843">
        <w:rPr>
          <w:rFonts w:ascii="Times New Roman" w:hAnsi="Times New Roman" w:cs="Times New Roman"/>
          <w:iCs/>
          <w:sz w:val="24"/>
          <w:szCs w:val="28"/>
          <w:vertAlign w:val="subscript"/>
          <w:lang w:val="en-GB"/>
        </w:rPr>
        <w:t>1.84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>Fe</w:t>
      </w:r>
      <w:r w:rsidRPr="00803843">
        <w:rPr>
          <w:rFonts w:ascii="Times New Roman" w:hAnsi="Times New Roman" w:cs="Times New Roman"/>
          <w:iCs/>
          <w:sz w:val="24"/>
          <w:szCs w:val="28"/>
          <w:vertAlign w:val="subscript"/>
          <w:lang w:val="en-GB"/>
        </w:rPr>
        <w:t>0.5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>H</w:t>
      </w:r>
      <w:r w:rsidRPr="00803843">
        <w:rPr>
          <w:rFonts w:ascii="Times New Roman" w:hAnsi="Times New Roman" w:cs="Times New Roman"/>
          <w:iCs/>
          <w:sz w:val="24"/>
          <w:szCs w:val="28"/>
          <w:vertAlign w:val="subscript"/>
          <w:lang w:val="en-GB"/>
        </w:rPr>
        <w:t>8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>Mg</w:t>
      </w:r>
      <w:r w:rsidRPr="00803843">
        <w:rPr>
          <w:rFonts w:ascii="Times New Roman" w:hAnsi="Times New Roman" w:cs="Times New Roman"/>
          <w:iCs/>
          <w:sz w:val="24"/>
          <w:szCs w:val="28"/>
          <w:vertAlign w:val="subscript"/>
          <w:lang w:val="en-GB"/>
        </w:rPr>
        <w:t>4.5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>O</w:t>
      </w:r>
      <w:r w:rsidRPr="00803843">
        <w:rPr>
          <w:rFonts w:ascii="Times New Roman" w:hAnsi="Times New Roman" w:cs="Times New Roman"/>
          <w:iCs/>
          <w:sz w:val="24"/>
          <w:szCs w:val="28"/>
          <w:vertAlign w:val="subscript"/>
          <w:lang w:val="en-GB"/>
        </w:rPr>
        <w:t>18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>Si</w:t>
      </w:r>
      <w:r w:rsidRPr="00803843">
        <w:rPr>
          <w:rFonts w:ascii="Times New Roman" w:hAnsi="Times New Roman" w:cs="Times New Roman"/>
          <w:iCs/>
          <w:sz w:val="24"/>
          <w:szCs w:val="28"/>
          <w:vertAlign w:val="subscript"/>
          <w:lang w:val="en-GB"/>
        </w:rPr>
        <w:t>3.16</w:t>
      </w:r>
      <w:r w:rsidRPr="00803843">
        <w:rPr>
          <w:rFonts w:ascii="Times New Roman" w:hAnsi="Times New Roman" w:cs="Times New Roman"/>
          <w:iCs/>
          <w:sz w:val="24"/>
          <w:szCs w:val="28"/>
          <w:lang w:val="en-GB"/>
        </w:rPr>
        <w:t xml:space="preserve">. A very good agreement between these values and those of the different chemical analyses can be observed. </w:t>
      </w:r>
    </w:p>
    <w:p w14:paraId="313B6A0F" w14:textId="4F609F1C" w:rsidR="006D7EF4" w:rsidRDefault="006D7EF4" w:rsidP="002C29CD">
      <w:pPr>
        <w:rPr>
          <w:lang w:val="en-GB"/>
        </w:rPr>
      </w:pPr>
    </w:p>
    <w:p w14:paraId="41913466" w14:textId="77777777" w:rsidR="006D7EF4" w:rsidRPr="00B34D49" w:rsidRDefault="006D7EF4" w:rsidP="006D7EF4">
      <w:pPr>
        <w:spacing w:after="0"/>
        <w:rPr>
          <w:sz w:val="24"/>
          <w:szCs w:val="24"/>
          <w:u w:val="single"/>
          <w:lang w:val="en-GB"/>
        </w:rPr>
      </w:pPr>
      <w:r w:rsidRPr="00B34D49">
        <w:rPr>
          <w:sz w:val="24"/>
          <w:szCs w:val="24"/>
          <w:u w:val="single"/>
          <w:lang w:val="en-GB"/>
        </w:rPr>
        <w:t xml:space="preserve">Olivine crystal structure </w:t>
      </w:r>
    </w:p>
    <w:p w14:paraId="037E54E2" w14:textId="77777777" w:rsidR="006D7EF4" w:rsidRPr="00803843" w:rsidRDefault="006D7EF4" w:rsidP="0080384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03843">
        <w:rPr>
          <w:rFonts w:ascii="Times New Roman" w:hAnsi="Times New Roman" w:cs="Times New Roman"/>
          <w:sz w:val="24"/>
          <w:szCs w:val="24"/>
          <w:lang w:val="en-US"/>
        </w:rPr>
        <w:t>Orthorhombic olivine hosts the bivalent cations, Fe</w:t>
      </w:r>
      <w:r w:rsidRPr="008038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 xml:space="preserve"> and Mg</w:t>
      </w:r>
      <w:r w:rsidRPr="008038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>, in the octahedral sites (Figure S1 – orange color), coordinated with six neighboring oxygen atoms of SiO</w:t>
      </w:r>
      <w:r w:rsidRPr="008038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4- 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 xml:space="preserve">tetrahedra (Figure S1 – blue </w:t>
      </w:r>
      <w:proofErr w:type="spellStart"/>
      <w:r w:rsidRPr="00803843">
        <w:rPr>
          <w:rFonts w:ascii="Times New Roman" w:hAnsi="Times New Roman" w:cs="Times New Roman"/>
          <w:sz w:val="24"/>
          <w:szCs w:val="24"/>
          <w:lang w:val="en-US"/>
        </w:rPr>
        <w:t>clor</w:t>
      </w:r>
      <w:proofErr w:type="spellEnd"/>
      <w:r w:rsidRPr="00803843">
        <w:rPr>
          <w:rFonts w:ascii="Times New Roman" w:hAnsi="Times New Roman" w:cs="Times New Roman"/>
          <w:sz w:val="24"/>
          <w:szCs w:val="24"/>
          <w:lang w:val="en-US"/>
        </w:rPr>
        <w:t xml:space="preserve">). Two octahedral sites can be distinguished: one with smaller and regular size (called </w:t>
      </w:r>
      <w:r w:rsidRPr="00803843">
        <w:rPr>
          <w:rFonts w:ascii="Times New Roman" w:hAnsi="Times New Roman" w:cs="Times New Roman"/>
          <w:b/>
          <w:bCs/>
          <w:sz w:val="24"/>
          <w:szCs w:val="24"/>
          <w:lang w:val="en-US"/>
        </w:rPr>
        <w:t>M1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>) typically occupied by Fe</w:t>
      </w:r>
      <w:r w:rsidRPr="008038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 xml:space="preserve"> and another type (called </w:t>
      </w:r>
      <w:r w:rsidRPr="00803843">
        <w:rPr>
          <w:rFonts w:ascii="Times New Roman" w:hAnsi="Times New Roman" w:cs="Times New Roman"/>
          <w:b/>
          <w:bCs/>
          <w:sz w:val="24"/>
          <w:szCs w:val="24"/>
          <w:lang w:val="en-US"/>
        </w:rPr>
        <w:t>M2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>) occupied by Mg</w:t>
      </w:r>
      <w:r w:rsidRPr="0080384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80384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CE32C3" w14:textId="77777777" w:rsidR="006D7EF4" w:rsidRPr="00D56CA0" w:rsidRDefault="006D7EF4" w:rsidP="002C29CD">
      <w:pPr>
        <w:rPr>
          <w:lang w:val="en-GB"/>
        </w:rPr>
      </w:pPr>
    </w:p>
    <w:p w14:paraId="447E8A1C" w14:textId="3B21A317" w:rsidR="004E1C1B" w:rsidRDefault="004E1C1B" w:rsidP="004E1C1B">
      <w:pPr>
        <w:jc w:val="center"/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147A7A6E" wp14:editId="6750381D">
            <wp:extent cx="3506470" cy="36093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841" cy="36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ABBA1" w14:textId="6D12F0A6" w:rsidR="004E1C1B" w:rsidRPr="00D56CA0" w:rsidRDefault="004E1C1B" w:rsidP="004E1C1B">
      <w:pPr>
        <w:pStyle w:val="Caption"/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D56CA0"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  <w:t>Figure S1. Representative arrangement of tetrahedral and octahedral sites in olivine showing the M1 and M2 sites</w:t>
      </w:r>
      <w:r w:rsidR="00D56CA0" w:rsidRPr="00D56CA0"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</w:t>
      </w:r>
      <w:r w:rsidR="008E186D"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  <w:t>The unit cell has been designed by VESTA software [1]</w:t>
      </w:r>
    </w:p>
    <w:p w14:paraId="1F491186" w14:textId="51321779" w:rsidR="004E1C1B" w:rsidRPr="004E1C1B" w:rsidRDefault="004E1C1B" w:rsidP="002C29CD">
      <w:pPr>
        <w:rPr>
          <w:lang w:val="en-GB"/>
        </w:rPr>
      </w:pPr>
    </w:p>
    <w:p w14:paraId="09BB55FA" w14:textId="72DE0333" w:rsidR="004E1C1B" w:rsidRDefault="004E1C1B" w:rsidP="002C29CD">
      <w:pPr>
        <w:rPr>
          <w:lang w:val="fr-FR"/>
        </w:rPr>
      </w:pPr>
    </w:p>
    <w:p w14:paraId="664E1F57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6FDD6DA4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288199D2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310ACECA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0E78370C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3AB3E7A6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53F4A530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1237FB51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0BF6ECAD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7B8C1056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211A4F87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397C6268" w14:textId="77777777" w:rsidR="008B0D84" w:rsidRDefault="008B0D84" w:rsidP="001078FE">
      <w:pPr>
        <w:spacing w:after="0"/>
        <w:rPr>
          <w:sz w:val="24"/>
          <w:szCs w:val="24"/>
          <w:lang w:val="en-GB"/>
        </w:rPr>
      </w:pPr>
    </w:p>
    <w:p w14:paraId="69B567C1" w14:textId="0969C377" w:rsidR="001078FE" w:rsidRPr="00B34D49" w:rsidRDefault="001078FE" w:rsidP="001078FE">
      <w:pPr>
        <w:spacing w:after="0"/>
        <w:rPr>
          <w:sz w:val="24"/>
          <w:szCs w:val="24"/>
          <w:u w:val="single"/>
          <w:lang w:val="en-GB"/>
        </w:rPr>
      </w:pPr>
      <w:r w:rsidRPr="00B34D49">
        <w:rPr>
          <w:sz w:val="24"/>
          <w:szCs w:val="24"/>
          <w:u w:val="single"/>
          <w:lang w:val="en-GB"/>
        </w:rPr>
        <w:t xml:space="preserve">Raman spectra </w:t>
      </w:r>
    </w:p>
    <w:p w14:paraId="68A5085B" w14:textId="203A072D" w:rsidR="00372224" w:rsidRPr="004E1C1B" w:rsidRDefault="00DE265C" w:rsidP="002C29CD">
      <w:pPr>
        <w:rPr>
          <w:rFonts w:eastAsiaTheme="minorEastAsia"/>
          <w:i/>
          <w:iCs/>
          <w:color w:val="44546A" w:themeColor="text2"/>
          <w:sz w:val="18"/>
          <w:szCs w:val="18"/>
          <w:lang w:val="en-GB"/>
        </w:rPr>
      </w:pPr>
      <w:r w:rsidRPr="004E1C1B">
        <w:rPr>
          <w:rFonts w:eastAsiaTheme="minorEastAsia"/>
          <w:i/>
          <w:iCs/>
          <w:noProof/>
          <w:color w:val="44546A" w:themeColor="text2"/>
          <w:sz w:val="18"/>
          <w:szCs w:val="18"/>
          <w:lang w:val="en-GB"/>
        </w:rPr>
        <w:drawing>
          <wp:inline distT="0" distB="0" distL="0" distR="0" wp14:anchorId="5236E2D5" wp14:editId="20D377D0">
            <wp:extent cx="5252085" cy="40227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1D4F9" w14:textId="5BBAA920" w:rsidR="004E1C1B" w:rsidRDefault="004E1C1B" w:rsidP="002C29C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078FE">
        <w:rPr>
          <w:rFonts w:ascii="Times New Roman" w:hAnsi="Times New Roman" w:cs="Times New Roman"/>
          <w:sz w:val="20"/>
          <w:szCs w:val="20"/>
          <w:lang w:val="en-US"/>
        </w:rPr>
        <w:t>Figure S2:</w:t>
      </w:r>
      <w:r w:rsidR="001078FE">
        <w:rPr>
          <w:rFonts w:ascii="Times New Roman" w:hAnsi="Times New Roman" w:cs="Times New Roman"/>
          <w:sz w:val="20"/>
          <w:szCs w:val="20"/>
          <w:lang w:val="en-US"/>
        </w:rPr>
        <w:t xml:space="preserve"> Enlargement </w:t>
      </w:r>
      <w:r w:rsidRPr="001078FE">
        <w:rPr>
          <w:rFonts w:ascii="Times New Roman" w:hAnsi="Times New Roman" w:cs="Times New Roman"/>
          <w:sz w:val="20"/>
          <w:szCs w:val="20"/>
          <w:lang w:val="en-US"/>
        </w:rPr>
        <w:t>of Fig</w:t>
      </w:r>
      <w:r w:rsidR="001078FE">
        <w:rPr>
          <w:rFonts w:ascii="Times New Roman" w:hAnsi="Times New Roman" w:cs="Times New Roman"/>
          <w:sz w:val="20"/>
          <w:szCs w:val="20"/>
          <w:lang w:val="en-US"/>
        </w:rPr>
        <w:t xml:space="preserve">ure </w:t>
      </w:r>
      <w:r w:rsidRPr="001078FE">
        <w:rPr>
          <w:rFonts w:ascii="Times New Roman" w:hAnsi="Times New Roman" w:cs="Times New Roman"/>
          <w:sz w:val="20"/>
          <w:szCs w:val="20"/>
          <w:lang w:val="en-US"/>
        </w:rPr>
        <w:t xml:space="preserve">2: Raman spectra of the samples milled </w:t>
      </w:r>
      <w:r w:rsidR="001078FE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Pr="001078FE">
        <w:rPr>
          <w:rFonts w:ascii="Times New Roman" w:hAnsi="Times New Roman" w:cs="Times New Roman"/>
          <w:sz w:val="20"/>
          <w:szCs w:val="20"/>
          <w:lang w:val="en-US"/>
        </w:rPr>
        <w:t xml:space="preserve">120 min </w:t>
      </w:r>
      <w:r w:rsidR="001078FE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Pr="001078FE">
        <w:rPr>
          <w:rFonts w:ascii="Times New Roman" w:hAnsi="Times New Roman" w:cs="Times New Roman"/>
          <w:sz w:val="20"/>
          <w:szCs w:val="20"/>
          <w:lang w:val="en-US"/>
        </w:rPr>
        <w:t xml:space="preserve"> 240 min. Notes: F = Forsterite, X = hill-defined </w:t>
      </w:r>
      <w:proofErr w:type="gramStart"/>
      <w:r w:rsidRPr="001078FE">
        <w:rPr>
          <w:rFonts w:ascii="Times New Roman" w:hAnsi="Times New Roman" w:cs="Times New Roman"/>
          <w:sz w:val="20"/>
          <w:szCs w:val="20"/>
          <w:lang w:val="en-US"/>
        </w:rPr>
        <w:t>Fe(</w:t>
      </w:r>
      <w:proofErr w:type="gramEnd"/>
      <w:r w:rsidRPr="001078FE">
        <w:rPr>
          <w:rFonts w:ascii="Times New Roman" w:hAnsi="Times New Roman" w:cs="Times New Roman"/>
          <w:sz w:val="20"/>
          <w:szCs w:val="20"/>
          <w:lang w:val="en-US"/>
        </w:rPr>
        <w:t>III) oxides, S = Siderite</w:t>
      </w:r>
    </w:p>
    <w:p w14:paraId="22F718ED" w14:textId="7C840FF0" w:rsidR="008B0D84" w:rsidRDefault="008B0D84" w:rsidP="002C29C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11FAB2" w14:textId="77777777" w:rsidR="00531A3C" w:rsidRDefault="00531A3C" w:rsidP="00531A3C">
      <w:pPr>
        <w:spacing w:after="0"/>
        <w:rPr>
          <w:sz w:val="24"/>
          <w:szCs w:val="24"/>
          <w:lang w:val="en-GB"/>
        </w:rPr>
      </w:pPr>
      <w:r w:rsidRPr="00832665">
        <w:rPr>
          <w:sz w:val="24"/>
          <w:szCs w:val="24"/>
          <w:vertAlign w:val="superscript"/>
          <w:lang w:val="en-GB"/>
        </w:rPr>
        <w:t>57</w:t>
      </w:r>
      <w:r>
        <w:rPr>
          <w:sz w:val="24"/>
          <w:szCs w:val="24"/>
          <w:lang w:val="en-GB"/>
        </w:rPr>
        <w:t xml:space="preserve">Fe </w:t>
      </w:r>
      <w:proofErr w:type="spellStart"/>
      <w:r w:rsidRPr="007B3087">
        <w:rPr>
          <w:sz w:val="24"/>
          <w:szCs w:val="24"/>
          <w:lang w:val="en-GB"/>
        </w:rPr>
        <w:t>Mössbauer</w:t>
      </w:r>
      <w:proofErr w:type="spellEnd"/>
      <w:r>
        <w:rPr>
          <w:sz w:val="24"/>
          <w:szCs w:val="24"/>
          <w:lang w:val="en-GB"/>
        </w:rPr>
        <w:t xml:space="preserve"> spectroscopy analysis</w:t>
      </w:r>
    </w:p>
    <w:p w14:paraId="6D4A2DC4" w14:textId="77777777" w:rsidR="008B0D84" w:rsidRPr="001323E9" w:rsidRDefault="008B0D84" w:rsidP="008B0D84">
      <w:pPr>
        <w:pStyle w:val="Caption"/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1323E9"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  <w:t>Table S1: Summary of the relative area of each doublet plotted in Fig</w:t>
      </w:r>
      <w:r>
        <w:rPr>
          <w:rFonts w:ascii="Times New Roman" w:eastAsiaTheme="minorHAnsi" w:hAnsi="Times New Roman" w:cs="Times New Roman"/>
          <w:i w:val="0"/>
          <w:iCs w:val="0"/>
          <w:color w:val="auto"/>
          <w:sz w:val="20"/>
          <w:szCs w:val="20"/>
          <w:lang w:val="en-US"/>
        </w:rPr>
        <w:t>ure 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32"/>
        <w:gridCol w:w="1965"/>
        <w:gridCol w:w="1951"/>
        <w:gridCol w:w="1751"/>
        <w:gridCol w:w="1751"/>
      </w:tblGrid>
      <w:tr w:rsidR="00F23421" w:rsidRPr="00372649" w14:paraId="6CDFBEF0" w14:textId="77777777" w:rsidTr="00F23421">
        <w:trPr>
          <w:trHeight w:val="540"/>
          <w:jc w:val="center"/>
        </w:trPr>
        <w:tc>
          <w:tcPr>
            <w:tcW w:w="1932" w:type="dxa"/>
            <w:vMerge w:val="restart"/>
          </w:tcPr>
          <w:p w14:paraId="595E54D2" w14:textId="77777777" w:rsid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23E9">
              <w:rPr>
                <w:rFonts w:ascii="Times New Roman" w:hAnsi="Times New Roman" w:cs="Times New Roman"/>
                <w:b/>
                <w:bCs/>
              </w:rPr>
              <w:t xml:space="preserve">Milling Time </w:t>
            </w:r>
          </w:p>
          <w:p w14:paraId="28B2E0EF" w14:textId="35FCE5DC" w:rsidR="00F23421" w:rsidRPr="001323E9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(min)</w:t>
            </w:r>
          </w:p>
        </w:tc>
        <w:tc>
          <w:tcPr>
            <w:tcW w:w="1965" w:type="dxa"/>
          </w:tcPr>
          <w:p w14:paraId="2EEE1024" w14:textId="676A7345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 xml:space="preserve">Olivine site </w:t>
            </w:r>
          </w:p>
          <w:p w14:paraId="716C0856" w14:textId="1D1EBE14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M1</w:t>
            </w:r>
          </w:p>
        </w:tc>
        <w:tc>
          <w:tcPr>
            <w:tcW w:w="1951" w:type="dxa"/>
          </w:tcPr>
          <w:p w14:paraId="458BBEAD" w14:textId="77777777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Olivine site</w:t>
            </w:r>
          </w:p>
          <w:p w14:paraId="5888D170" w14:textId="17CE8A63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M2</w:t>
            </w:r>
          </w:p>
        </w:tc>
        <w:tc>
          <w:tcPr>
            <w:tcW w:w="1751" w:type="dxa"/>
          </w:tcPr>
          <w:p w14:paraId="4FA29937" w14:textId="77777777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Pyroxene</w:t>
            </w:r>
          </w:p>
          <w:p w14:paraId="13D79BD1" w14:textId="23EC41FF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(Mg,Fe)Si</w:t>
            </w:r>
            <w:r w:rsidRPr="00F23421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F23421">
              <w:rPr>
                <w:rFonts w:ascii="Times New Roman" w:hAnsi="Times New Roman" w:cs="Times New Roman"/>
                <w:b/>
                <w:bCs/>
              </w:rPr>
              <w:t>O</w:t>
            </w:r>
            <w:r w:rsidRPr="00F23421">
              <w:rPr>
                <w:rFonts w:ascii="Times New Roman" w:hAnsi="Times New Roman" w:cs="Times New Roman"/>
                <w:b/>
                <w:bCs/>
                <w:vertAlign w:val="subscript"/>
              </w:rPr>
              <w:t>6</w:t>
            </w:r>
          </w:p>
        </w:tc>
        <w:tc>
          <w:tcPr>
            <w:tcW w:w="1751" w:type="dxa"/>
          </w:tcPr>
          <w:p w14:paraId="3FE1117B" w14:textId="77777777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Fe (III)</w:t>
            </w:r>
          </w:p>
          <w:p w14:paraId="51816A81" w14:textId="1F5E5E07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oxides</w:t>
            </w:r>
          </w:p>
        </w:tc>
      </w:tr>
      <w:tr w:rsidR="00F23421" w:rsidRPr="00372649" w14:paraId="4985BBD6" w14:textId="77777777" w:rsidTr="00CD1252">
        <w:trPr>
          <w:trHeight w:val="210"/>
          <w:jc w:val="center"/>
        </w:trPr>
        <w:tc>
          <w:tcPr>
            <w:tcW w:w="1932" w:type="dxa"/>
            <w:vMerge/>
          </w:tcPr>
          <w:p w14:paraId="6C3426E0" w14:textId="77777777" w:rsidR="00F23421" w:rsidRPr="001323E9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18" w:type="dxa"/>
            <w:gridSpan w:val="4"/>
          </w:tcPr>
          <w:p w14:paraId="390D2D0A" w14:textId="0BC6B1F9" w:rsidR="00F23421" w:rsidRPr="00F23421" w:rsidRDefault="00F23421" w:rsidP="00981A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421">
              <w:rPr>
                <w:rFonts w:ascii="Times New Roman" w:hAnsi="Times New Roman" w:cs="Times New Roman"/>
                <w:b/>
                <w:bCs/>
              </w:rPr>
              <w:t>Relative Area (%)</w:t>
            </w:r>
          </w:p>
        </w:tc>
      </w:tr>
      <w:tr w:rsidR="001323E9" w:rsidRPr="00372649" w14:paraId="33738FA3" w14:textId="77777777" w:rsidTr="00981A4E">
        <w:trPr>
          <w:jc w:val="center"/>
        </w:trPr>
        <w:tc>
          <w:tcPr>
            <w:tcW w:w="1932" w:type="dxa"/>
          </w:tcPr>
          <w:p w14:paraId="2979C56E" w14:textId="109CB45E" w:rsidR="001323E9" w:rsidRPr="00372649" w:rsidRDefault="001323E9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65" w:type="dxa"/>
          </w:tcPr>
          <w:p w14:paraId="3F97D5A4" w14:textId="02E65B60" w:rsidR="001323E9" w:rsidRPr="00372649" w:rsidRDefault="00D53810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  <w:r w:rsidR="001323E9"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±.0</w:t>
            </w:r>
            <w:r w:rsidR="001323E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1" w:type="dxa"/>
          </w:tcPr>
          <w:p w14:paraId="3EEBD5C3" w14:textId="06EA292C" w:rsidR="001323E9" w:rsidRPr="00372649" w:rsidRDefault="00D53810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  <w:r w:rsidR="001323E9"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±0</w:t>
            </w:r>
            <w:r w:rsidR="001323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1" w:type="dxa"/>
          </w:tcPr>
          <w:p w14:paraId="787463DE" w14:textId="2E726440" w:rsidR="001323E9" w:rsidRPr="00372649" w:rsidRDefault="001323E9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53810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</w:t>
            </w:r>
            <w:r w:rsidR="00D538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1" w:type="dxa"/>
          </w:tcPr>
          <w:p w14:paraId="2428272C" w14:textId="757CC576" w:rsidR="001323E9" w:rsidRPr="00FD2D47" w:rsidRDefault="001323E9" w:rsidP="00981A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1323E9" w:rsidRPr="00372649" w14:paraId="602B1C9E" w14:textId="77777777" w:rsidTr="00981A4E">
        <w:trPr>
          <w:jc w:val="center"/>
        </w:trPr>
        <w:tc>
          <w:tcPr>
            <w:tcW w:w="1932" w:type="dxa"/>
          </w:tcPr>
          <w:p w14:paraId="6666A8C8" w14:textId="420D5DC3" w:rsidR="001323E9" w:rsidRDefault="001323E9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65" w:type="dxa"/>
          </w:tcPr>
          <w:p w14:paraId="0B66001D" w14:textId="731A1EA7" w:rsidR="001323E9" w:rsidRDefault="00D53810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  <w:r w:rsidR="001323E9"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±0</w:t>
            </w:r>
            <w:r w:rsidR="001323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1" w:type="dxa"/>
          </w:tcPr>
          <w:p w14:paraId="631F0AE3" w14:textId="3F6F9D85" w:rsidR="001323E9" w:rsidRDefault="00D53810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  <w:r w:rsidR="008B0D8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±0</w:t>
            </w:r>
            <w:r w:rsidR="001323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1" w:type="dxa"/>
          </w:tcPr>
          <w:p w14:paraId="38F182B4" w14:textId="1D72FFAA" w:rsidR="001323E9" w:rsidRDefault="00D53810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  <w:r w:rsidR="001323E9"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±0</w:t>
            </w:r>
            <w:r w:rsidR="001323E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242FFDDF" w14:textId="58EF09EA" w:rsidR="001323E9" w:rsidRPr="00FD2D47" w:rsidRDefault="00D53810" w:rsidP="00981A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0.15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1323E9" w:rsidRPr="00372649" w14:paraId="5AB98520" w14:textId="77777777" w:rsidTr="00981A4E">
        <w:trPr>
          <w:jc w:val="center"/>
        </w:trPr>
        <w:tc>
          <w:tcPr>
            <w:tcW w:w="1932" w:type="dxa"/>
          </w:tcPr>
          <w:p w14:paraId="1CF85C30" w14:textId="16805490" w:rsidR="001323E9" w:rsidRPr="00FD2D47" w:rsidRDefault="001323E9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65" w:type="dxa"/>
          </w:tcPr>
          <w:p w14:paraId="7EF5624B" w14:textId="14530D6A" w:rsidR="001323E9" w:rsidRDefault="00500014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  <w:r w:rsidR="001323E9"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±0</w:t>
            </w:r>
            <w:r w:rsidR="001323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1" w:type="dxa"/>
          </w:tcPr>
          <w:p w14:paraId="26C8D4AE" w14:textId="28FE0110" w:rsidR="001323E9" w:rsidRDefault="00500014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  <w:r w:rsidR="001323E9">
              <w:rPr>
                <w:rFonts w:ascii="Times New Roman" w:hAnsi="Times New Roman" w:cs="Times New Roman"/>
              </w:rPr>
              <w:t xml:space="preserve"> </w:t>
            </w:r>
            <w:r w:rsidR="001323E9" w:rsidRPr="00372649">
              <w:rPr>
                <w:rFonts w:ascii="Times New Roman" w:hAnsi="Times New Roman" w:cs="Times New Roman"/>
              </w:rPr>
              <w:t>±0</w:t>
            </w:r>
            <w:r w:rsidR="001323E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1" w:type="dxa"/>
          </w:tcPr>
          <w:p w14:paraId="0193CD63" w14:textId="268377DF" w:rsidR="001323E9" w:rsidRDefault="001323E9" w:rsidP="00981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5000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1E3B0EF5" w14:textId="3B59FB65" w:rsidR="001323E9" w:rsidRPr="00FD2D47" w:rsidRDefault="00500014" w:rsidP="00981A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8B0D8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8B0D84" w:rsidRPr="00372649" w14:paraId="5423F430" w14:textId="77777777" w:rsidTr="00981A4E">
        <w:trPr>
          <w:jc w:val="center"/>
        </w:trPr>
        <w:tc>
          <w:tcPr>
            <w:tcW w:w="1932" w:type="dxa"/>
          </w:tcPr>
          <w:p w14:paraId="7EE11DC7" w14:textId="4AABF9BF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65" w:type="dxa"/>
          </w:tcPr>
          <w:p w14:paraId="1D4050DC" w14:textId="51B71C55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0.28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51" w:type="dxa"/>
          </w:tcPr>
          <w:p w14:paraId="476ABB3F" w14:textId="2C731A7D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0.35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751" w:type="dxa"/>
          </w:tcPr>
          <w:p w14:paraId="649E49FC" w14:textId="395EF80D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0.08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27892A2E" w14:textId="767D0C7A" w:rsidR="008B0D84" w:rsidRPr="00372205" w:rsidRDefault="008B0D84" w:rsidP="008B0D8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64B0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29</w:t>
            </w:r>
            <w:r w:rsidRPr="00564B09">
              <w:rPr>
                <w:rFonts w:ascii="Times New Roman" w:hAnsi="Times New Roman" w:cs="Times New Roman"/>
              </w:rPr>
              <w:t xml:space="preserve"> ±0.01</w:t>
            </w:r>
          </w:p>
        </w:tc>
      </w:tr>
      <w:tr w:rsidR="008B0D84" w:rsidRPr="00372649" w14:paraId="7B20BD4B" w14:textId="77777777" w:rsidTr="00981A4E">
        <w:trPr>
          <w:jc w:val="center"/>
        </w:trPr>
        <w:tc>
          <w:tcPr>
            <w:tcW w:w="1932" w:type="dxa"/>
          </w:tcPr>
          <w:p w14:paraId="322DF1CB" w14:textId="395F17BF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65" w:type="dxa"/>
          </w:tcPr>
          <w:p w14:paraId="27A1C912" w14:textId="6AD653E0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0.26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51" w:type="dxa"/>
          </w:tcPr>
          <w:p w14:paraId="04AB8698" w14:textId="0FBDB866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0.30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751" w:type="dxa"/>
          </w:tcPr>
          <w:p w14:paraId="43571A88" w14:textId="070124EB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0.08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7FA1BEC6" w14:textId="672A4695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 w:rsidRPr="00564B09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6</w:t>
            </w:r>
            <w:r w:rsidRPr="00564B09">
              <w:rPr>
                <w:rFonts w:ascii="Times New Roman" w:hAnsi="Times New Roman" w:cs="Times New Roman"/>
              </w:rPr>
              <w:t xml:space="preserve"> ±0.01</w:t>
            </w:r>
          </w:p>
        </w:tc>
      </w:tr>
      <w:tr w:rsidR="008B0D84" w:rsidRPr="00372649" w14:paraId="3F98D538" w14:textId="77777777" w:rsidTr="00981A4E">
        <w:trPr>
          <w:jc w:val="center"/>
        </w:trPr>
        <w:tc>
          <w:tcPr>
            <w:tcW w:w="1932" w:type="dxa"/>
          </w:tcPr>
          <w:p w14:paraId="171EA115" w14:textId="5E164650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965" w:type="dxa"/>
          </w:tcPr>
          <w:p w14:paraId="0D165668" w14:textId="4CBB5C05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0.17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951" w:type="dxa"/>
          </w:tcPr>
          <w:p w14:paraId="2CFD9AF7" w14:textId="46FADB23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0.26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751" w:type="dxa"/>
          </w:tcPr>
          <w:p w14:paraId="182EBEA3" w14:textId="0FC4970A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0.10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545442F0" w14:textId="1CB2F33A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 w:rsidRPr="00564B0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48</w:t>
            </w:r>
            <w:r w:rsidRPr="00564B09">
              <w:rPr>
                <w:rFonts w:ascii="Times New Roman" w:hAnsi="Times New Roman" w:cs="Times New Roman"/>
              </w:rPr>
              <w:t xml:space="preserve"> ±0.01</w:t>
            </w:r>
          </w:p>
        </w:tc>
      </w:tr>
      <w:tr w:rsidR="008B0D84" w:rsidRPr="00372649" w14:paraId="73413F0C" w14:textId="77777777" w:rsidTr="00981A4E">
        <w:trPr>
          <w:jc w:val="center"/>
        </w:trPr>
        <w:tc>
          <w:tcPr>
            <w:tcW w:w="1932" w:type="dxa"/>
          </w:tcPr>
          <w:p w14:paraId="0E973FC1" w14:textId="315B4CB5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965" w:type="dxa"/>
          </w:tcPr>
          <w:p w14:paraId="5B757E8B" w14:textId="69ED33EC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0.16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951" w:type="dxa"/>
          </w:tcPr>
          <w:p w14:paraId="45847383" w14:textId="5572A020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0.19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751" w:type="dxa"/>
          </w:tcPr>
          <w:p w14:paraId="05503A57" w14:textId="03E303B3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0.20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71DAD599" w14:textId="5044896E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 w:rsidRPr="00564B0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46</w:t>
            </w:r>
            <w:r w:rsidRPr="00564B09">
              <w:rPr>
                <w:rFonts w:ascii="Times New Roman" w:hAnsi="Times New Roman" w:cs="Times New Roman"/>
              </w:rPr>
              <w:t xml:space="preserve"> ±0.01</w:t>
            </w:r>
          </w:p>
        </w:tc>
      </w:tr>
      <w:tr w:rsidR="008B0D84" w:rsidRPr="00372649" w14:paraId="2854DDCC" w14:textId="77777777" w:rsidTr="00981A4E">
        <w:trPr>
          <w:jc w:val="center"/>
        </w:trPr>
        <w:tc>
          <w:tcPr>
            <w:tcW w:w="1932" w:type="dxa"/>
          </w:tcPr>
          <w:p w14:paraId="6F4AFBB4" w14:textId="4502B7A6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965" w:type="dxa"/>
          </w:tcPr>
          <w:p w14:paraId="2AA71543" w14:textId="0A05EBE8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0.17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951" w:type="dxa"/>
          </w:tcPr>
          <w:p w14:paraId="66E78254" w14:textId="062D33AF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0.21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751" w:type="dxa"/>
          </w:tcPr>
          <w:p w14:paraId="5A7FCC4C" w14:textId="5C7B24BF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0.05 </w:t>
            </w:r>
            <w:r w:rsidRPr="00372649">
              <w:rPr>
                <w:rFonts w:ascii="Times New Roman" w:hAnsi="Times New Roman" w:cs="Times New Roman"/>
              </w:rPr>
              <w:t>±0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51" w:type="dxa"/>
          </w:tcPr>
          <w:p w14:paraId="73CD5C25" w14:textId="72AC4A57" w:rsidR="008B0D84" w:rsidRDefault="008B0D84" w:rsidP="008B0D84">
            <w:pPr>
              <w:jc w:val="center"/>
              <w:rPr>
                <w:rFonts w:ascii="Times New Roman" w:hAnsi="Times New Roman" w:cs="Times New Roman"/>
              </w:rPr>
            </w:pPr>
            <w:r w:rsidRPr="00564B0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56</w:t>
            </w:r>
            <w:r w:rsidRPr="00564B09">
              <w:rPr>
                <w:rFonts w:ascii="Times New Roman" w:hAnsi="Times New Roman" w:cs="Times New Roman"/>
              </w:rPr>
              <w:t xml:space="preserve"> ±0.01</w:t>
            </w:r>
          </w:p>
        </w:tc>
      </w:tr>
    </w:tbl>
    <w:p w14:paraId="1E3E6C78" w14:textId="606C3E46" w:rsidR="00372224" w:rsidRDefault="00372224" w:rsidP="002C29CD">
      <w:pPr>
        <w:rPr>
          <w:lang w:val="fr-FR"/>
        </w:rPr>
      </w:pPr>
    </w:p>
    <w:p w14:paraId="4567E5AF" w14:textId="70A220DD" w:rsidR="008E186D" w:rsidRDefault="00B34D49" w:rsidP="00DA1E44">
      <w:pPr>
        <w:rPr>
          <w:rFonts w:cstheme="minorHAnsi"/>
          <w:sz w:val="18"/>
          <w:szCs w:val="18"/>
          <w:lang w:val="en-GB"/>
        </w:rPr>
      </w:pPr>
      <w:r>
        <w:rPr>
          <w:rFonts w:cstheme="minorHAnsi"/>
          <w:noProof/>
          <w:sz w:val="18"/>
          <w:szCs w:val="18"/>
          <w:lang w:val="en-GB"/>
        </w:rPr>
        <w:drawing>
          <wp:inline distT="0" distB="0" distL="0" distR="0" wp14:anchorId="13FC8F55" wp14:editId="04916551">
            <wp:extent cx="5172075" cy="3957673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594" cy="39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2521" w14:textId="4A3C66CC" w:rsidR="00B34D49" w:rsidRPr="00B34D49" w:rsidRDefault="00B34D49" w:rsidP="00B34D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078FE">
        <w:rPr>
          <w:rFonts w:ascii="Times New Roman" w:hAnsi="Times New Roman" w:cs="Times New Roman"/>
          <w:sz w:val="20"/>
          <w:szCs w:val="20"/>
          <w:lang w:val="en-US"/>
        </w:rPr>
        <w:t>Figure S</w:t>
      </w:r>
      <w:r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1078FE">
        <w:rPr>
          <w:rFonts w:ascii="Times New Roman" w:hAnsi="Times New Roman" w:cs="Times New Roman"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4D49">
        <w:rPr>
          <w:rFonts w:ascii="Times New Roman" w:hAnsi="Times New Roman" w:cs="Times New Roman"/>
          <w:sz w:val="20"/>
          <w:szCs w:val="20"/>
          <w:lang w:val="en-US"/>
        </w:rPr>
        <w:t>Plot of Gibbs free energy versus temperature for selected</w:t>
      </w:r>
      <w:r w:rsidR="00E1493E">
        <w:rPr>
          <w:rFonts w:ascii="Times New Roman" w:hAnsi="Times New Roman" w:cs="Times New Roman"/>
          <w:sz w:val="20"/>
          <w:szCs w:val="20"/>
          <w:lang w:val="en-US"/>
        </w:rPr>
        <w:t xml:space="preserve"> hydrogenation</w:t>
      </w:r>
      <w:r w:rsidRPr="00B34D49">
        <w:rPr>
          <w:rFonts w:ascii="Times New Roman" w:hAnsi="Times New Roman" w:cs="Times New Roman"/>
          <w:sz w:val="20"/>
          <w:szCs w:val="20"/>
          <w:lang w:val="en-US"/>
        </w:rPr>
        <w:t xml:space="preserve"> reactions</w:t>
      </w:r>
      <w:r w:rsidR="00B65971">
        <w:rPr>
          <w:rFonts w:ascii="Times New Roman" w:hAnsi="Times New Roman" w:cs="Times New Roman"/>
          <w:sz w:val="20"/>
          <w:szCs w:val="20"/>
          <w:lang w:val="en-US"/>
        </w:rPr>
        <w:t>, calculated by</w:t>
      </w:r>
      <w:r w:rsidR="00E1493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65971">
        <w:rPr>
          <w:rFonts w:ascii="Times New Roman" w:hAnsi="Times New Roman" w:cs="Times New Roman"/>
          <w:sz w:val="20"/>
          <w:szCs w:val="20"/>
          <w:lang w:val="en-US"/>
        </w:rPr>
        <w:t xml:space="preserve">HSC Chemistry 6. </w:t>
      </w:r>
    </w:p>
    <w:p w14:paraId="16D3A17E" w14:textId="77777777" w:rsidR="00B34D49" w:rsidRPr="00B34D49" w:rsidRDefault="00B34D49" w:rsidP="00DA1E44">
      <w:pPr>
        <w:rPr>
          <w:rFonts w:cstheme="minorHAnsi"/>
          <w:sz w:val="18"/>
          <w:szCs w:val="18"/>
          <w:lang w:val="en-US"/>
        </w:rPr>
      </w:pPr>
    </w:p>
    <w:p w14:paraId="4850348A" w14:textId="77777777" w:rsidR="00A83870" w:rsidRDefault="00A83870" w:rsidP="008E186D">
      <w:pPr>
        <w:pStyle w:val="Heading3"/>
      </w:pPr>
    </w:p>
    <w:p w14:paraId="7AE0403B" w14:textId="47FC7783" w:rsidR="008E186D" w:rsidRPr="00372649" w:rsidRDefault="008E186D" w:rsidP="008E186D">
      <w:pPr>
        <w:pStyle w:val="Heading3"/>
        <w:rPr>
          <w:lang w:eastAsia="zh-CN"/>
        </w:rPr>
      </w:pPr>
      <w:r w:rsidRPr="00A72940">
        <w:t>Refere</w:t>
      </w:r>
      <w:sdt>
        <w:sdtPr>
          <w:tag w:val="goog_rdk_0"/>
          <w:id w:val="-824433075"/>
        </w:sdtPr>
        <w:sdtEndPr/>
        <w:sdtContent/>
      </w:sdt>
      <w:r w:rsidRPr="00A72940">
        <w:t>nces</w:t>
      </w:r>
    </w:p>
    <w:p w14:paraId="55034E50" w14:textId="133779E8" w:rsidR="008E186D" w:rsidRPr="008E186D" w:rsidRDefault="008E186D" w:rsidP="001F47A4">
      <w:pPr>
        <w:pStyle w:val="ListParagraph"/>
        <w:numPr>
          <w:ilvl w:val="0"/>
          <w:numId w:val="1"/>
        </w:numPr>
        <w:spacing w:line="360" w:lineRule="auto"/>
        <w:ind w:left="540" w:hanging="720"/>
        <w:rPr>
          <w:rFonts w:cstheme="minorHAnsi"/>
          <w:sz w:val="18"/>
          <w:szCs w:val="18"/>
          <w:lang w:val="it-IT"/>
        </w:rPr>
      </w:pPr>
      <w:r w:rsidRPr="008E186D">
        <w:rPr>
          <w:rFonts w:ascii="Times New Roman" w:hAnsi="Times New Roman" w:cs="Times New Roman"/>
          <w:lang w:val="it-IT"/>
        </w:rPr>
        <w:t>Momma</w:t>
      </w:r>
      <w:r>
        <w:rPr>
          <w:rFonts w:ascii="Times New Roman" w:hAnsi="Times New Roman" w:cs="Times New Roman"/>
          <w:lang w:val="it-IT"/>
        </w:rPr>
        <w:t xml:space="preserve"> K., </w:t>
      </w:r>
      <w:r w:rsidRPr="008E186D">
        <w:rPr>
          <w:rFonts w:ascii="Times New Roman" w:hAnsi="Times New Roman" w:cs="Times New Roman"/>
          <w:lang w:val="it-IT"/>
        </w:rPr>
        <w:t>Izumi</w:t>
      </w:r>
      <w:r>
        <w:rPr>
          <w:rFonts w:ascii="Times New Roman" w:hAnsi="Times New Roman" w:cs="Times New Roman"/>
          <w:lang w:val="it-IT"/>
        </w:rPr>
        <w:t xml:space="preserve"> F.,</w:t>
      </w:r>
      <w:r w:rsidRPr="008E186D">
        <w:rPr>
          <w:rFonts w:ascii="Times New Roman" w:hAnsi="Times New Roman" w:cs="Times New Roman"/>
          <w:lang w:val="it-IT"/>
        </w:rPr>
        <w:t xml:space="preserve"> </w:t>
      </w:r>
      <w:r w:rsidRPr="008E186D">
        <w:rPr>
          <w:rFonts w:ascii="Times New Roman" w:hAnsi="Times New Roman" w:cs="Times New Roman"/>
          <w:i/>
          <w:iCs/>
          <w:lang w:val="it-IT"/>
        </w:rPr>
        <w:t>J. Appl. Crystallogr.</w:t>
      </w:r>
      <w:r>
        <w:rPr>
          <w:rFonts w:ascii="Times New Roman" w:hAnsi="Times New Roman" w:cs="Times New Roman"/>
          <w:lang w:val="it-IT"/>
        </w:rPr>
        <w:t>,</w:t>
      </w:r>
      <w:r w:rsidRPr="008E186D">
        <w:rPr>
          <w:rFonts w:ascii="Times New Roman" w:hAnsi="Times New Roman" w:cs="Times New Roman"/>
          <w:lang w:val="it-IT"/>
        </w:rPr>
        <w:t xml:space="preserve"> </w:t>
      </w:r>
      <w:r w:rsidRPr="008E186D">
        <w:rPr>
          <w:rFonts w:ascii="Times New Roman" w:hAnsi="Times New Roman" w:cs="Times New Roman"/>
          <w:b/>
          <w:bCs/>
          <w:lang w:val="it-IT"/>
        </w:rPr>
        <w:t>44</w:t>
      </w:r>
      <w:r w:rsidRPr="008E186D">
        <w:rPr>
          <w:rFonts w:ascii="Times New Roman" w:hAnsi="Times New Roman" w:cs="Times New Roman"/>
          <w:lang w:val="it-IT"/>
        </w:rPr>
        <w:t>, 1272</w:t>
      </w:r>
      <w:r>
        <w:rPr>
          <w:rFonts w:ascii="Times New Roman" w:hAnsi="Times New Roman" w:cs="Times New Roman"/>
          <w:lang w:val="it-IT"/>
        </w:rPr>
        <w:t xml:space="preserve"> (2011)</w:t>
      </w:r>
      <w:r w:rsidRPr="008E186D">
        <w:rPr>
          <w:rFonts w:ascii="Times New Roman" w:hAnsi="Times New Roman" w:cs="Times New Roman"/>
          <w:lang w:val="it-IT"/>
        </w:rPr>
        <w:t>.</w:t>
      </w:r>
    </w:p>
    <w:sectPr w:rsidR="008E186D" w:rsidRPr="008E18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F3412"/>
    <w:multiLevelType w:val="hybridMultilevel"/>
    <w:tmpl w:val="35B23634"/>
    <w:lvl w:ilvl="0" w:tplc="10E467D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2NTa1MLAwNTA2NzVV0lEKTi0uzszPAymwqAUAUCSltiwAAAA="/>
  </w:docVars>
  <w:rsids>
    <w:rsidRoot w:val="00DA1E44"/>
    <w:rsid w:val="000B7355"/>
    <w:rsid w:val="001078FE"/>
    <w:rsid w:val="001323E9"/>
    <w:rsid w:val="001346B5"/>
    <w:rsid w:val="00185B8A"/>
    <w:rsid w:val="001B367D"/>
    <w:rsid w:val="002C29CD"/>
    <w:rsid w:val="003179F5"/>
    <w:rsid w:val="00364154"/>
    <w:rsid w:val="00372224"/>
    <w:rsid w:val="003A0B1E"/>
    <w:rsid w:val="004832FD"/>
    <w:rsid w:val="004E1C1B"/>
    <w:rsid w:val="00500014"/>
    <w:rsid w:val="005145F5"/>
    <w:rsid w:val="00531A3C"/>
    <w:rsid w:val="00531D61"/>
    <w:rsid w:val="005955FE"/>
    <w:rsid w:val="006A1515"/>
    <w:rsid w:val="006B6E0A"/>
    <w:rsid w:val="006D7EF4"/>
    <w:rsid w:val="00731C73"/>
    <w:rsid w:val="00735B93"/>
    <w:rsid w:val="0079245F"/>
    <w:rsid w:val="0079607A"/>
    <w:rsid w:val="007B3087"/>
    <w:rsid w:val="00803843"/>
    <w:rsid w:val="008B0D84"/>
    <w:rsid w:val="008E186D"/>
    <w:rsid w:val="009201E0"/>
    <w:rsid w:val="00975C72"/>
    <w:rsid w:val="009C7352"/>
    <w:rsid w:val="00A1427F"/>
    <w:rsid w:val="00A35333"/>
    <w:rsid w:val="00A83870"/>
    <w:rsid w:val="00AE0AFD"/>
    <w:rsid w:val="00B34D49"/>
    <w:rsid w:val="00B65971"/>
    <w:rsid w:val="00B82603"/>
    <w:rsid w:val="00B96303"/>
    <w:rsid w:val="00BA0DCC"/>
    <w:rsid w:val="00C42B98"/>
    <w:rsid w:val="00C7590F"/>
    <w:rsid w:val="00D036A6"/>
    <w:rsid w:val="00D3008D"/>
    <w:rsid w:val="00D53810"/>
    <w:rsid w:val="00D56CA0"/>
    <w:rsid w:val="00D96AE7"/>
    <w:rsid w:val="00DA1E44"/>
    <w:rsid w:val="00DE265C"/>
    <w:rsid w:val="00E00BA8"/>
    <w:rsid w:val="00E13EE1"/>
    <w:rsid w:val="00E1493E"/>
    <w:rsid w:val="00EE7A5A"/>
    <w:rsid w:val="00F23421"/>
    <w:rsid w:val="00F957D3"/>
    <w:rsid w:val="00FB5A48"/>
    <w:rsid w:val="00F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4FDAC"/>
  <w15:chartTrackingRefBased/>
  <w15:docId w15:val="{079989E9-C472-4F73-BBD8-3ACC5956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9CD"/>
    <w:pPr>
      <w:spacing w:before="60" w:after="6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9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B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C2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2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C2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72224"/>
    <w:pPr>
      <w:spacing w:before="80"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3179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Heading3">
    <w:name w:val="Heading3"/>
    <w:basedOn w:val="Normal"/>
    <w:link w:val="Heading3Char"/>
    <w:qFormat/>
    <w:rsid w:val="008E186D"/>
    <w:pPr>
      <w:spacing w:before="0" w:after="160" w:line="259" w:lineRule="auto"/>
      <w:jc w:val="left"/>
    </w:pPr>
    <w:rPr>
      <w:rFonts w:ascii="Times New Roman" w:eastAsia="SimSun" w:hAnsi="Times New Roman" w:cs="Times New Roman"/>
      <w:sz w:val="28"/>
      <w:szCs w:val="28"/>
      <w:lang w:val="en-US"/>
    </w:rPr>
  </w:style>
  <w:style w:type="character" w:customStyle="1" w:styleId="Heading3Char">
    <w:name w:val="Heading3 Char"/>
    <w:basedOn w:val="DefaultParagraphFont"/>
    <w:link w:val="Heading3"/>
    <w:rsid w:val="008E186D"/>
    <w:rPr>
      <w:rFonts w:ascii="Times New Roman" w:eastAsia="SimSu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8E186D"/>
    <w:pPr>
      <w:spacing w:before="0" w:after="0" w:line="240" w:lineRule="auto"/>
      <w:ind w:left="720"/>
      <w:jc w:val="left"/>
    </w:pPr>
    <w:rPr>
      <w:rFonts w:ascii="Calibri" w:eastAsia="SimSun" w:hAnsi="Calibri" w:cs="Calibr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0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F356-A9DE-43E8-989D-305C5831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Farina</dc:creator>
  <cp:keywords/>
  <dc:description/>
  <cp:lastModifiedBy>Sebastiano Garroni</cp:lastModifiedBy>
  <cp:revision>2</cp:revision>
  <dcterms:created xsi:type="dcterms:W3CDTF">2021-12-19T15:42:00Z</dcterms:created>
  <dcterms:modified xsi:type="dcterms:W3CDTF">2021-12-19T15:42:00Z</dcterms:modified>
</cp:coreProperties>
</file>