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0ECAE" w14:textId="77777777" w:rsidR="00311B74" w:rsidRPr="00311B74" w:rsidRDefault="00311B74" w:rsidP="00311B74">
      <w:pPr>
        <w:pStyle w:val="ListParagraph"/>
        <w:keepNext/>
        <w:numPr>
          <w:ilvl w:val="0"/>
          <w:numId w:val="4"/>
        </w:numPr>
        <w:contextualSpacing w:val="0"/>
        <w:outlineLvl w:val="0"/>
        <w:rPr>
          <w:rFonts w:eastAsiaTheme="majorEastAsia" w:cs="Arial"/>
          <w:b/>
          <w:bCs/>
          <w:vanish/>
          <w:kern w:val="32"/>
          <w:sz w:val="28"/>
          <w:szCs w:val="32"/>
        </w:rPr>
      </w:pPr>
    </w:p>
    <w:p w14:paraId="29149FD6" w14:textId="77777777" w:rsidR="00311B74" w:rsidRPr="00311B74" w:rsidRDefault="00311B74" w:rsidP="00311B74">
      <w:pPr>
        <w:pStyle w:val="ListParagraph"/>
        <w:keepNext/>
        <w:numPr>
          <w:ilvl w:val="0"/>
          <w:numId w:val="4"/>
        </w:numPr>
        <w:contextualSpacing w:val="0"/>
        <w:outlineLvl w:val="0"/>
        <w:rPr>
          <w:rFonts w:eastAsiaTheme="majorEastAsia" w:cs="Arial"/>
          <w:b/>
          <w:bCs/>
          <w:vanish/>
          <w:kern w:val="32"/>
          <w:sz w:val="28"/>
          <w:szCs w:val="32"/>
        </w:rPr>
      </w:pPr>
    </w:p>
    <w:p w14:paraId="1744994E" w14:textId="210276ED" w:rsidR="003D0EA5" w:rsidRDefault="001F4DE8" w:rsidP="009C6B12">
      <w:pPr>
        <w:spacing w:line="480" w:lineRule="auto"/>
        <w:jc w:val="center"/>
        <w:rPr>
          <w:b/>
          <w:sz w:val="28"/>
          <w:szCs w:val="28"/>
        </w:rPr>
      </w:pPr>
      <w:r w:rsidRPr="007F5F2B">
        <w:rPr>
          <w:b/>
          <w:sz w:val="28"/>
          <w:szCs w:val="28"/>
        </w:rPr>
        <w:t>Supporting information</w:t>
      </w:r>
    </w:p>
    <w:p w14:paraId="11C926DD" w14:textId="77777777" w:rsidR="00286341" w:rsidRPr="00326827" w:rsidRDefault="00286341" w:rsidP="00CF7878">
      <w:pPr>
        <w:jc w:val="center"/>
        <w:rPr>
          <w:b/>
          <w:sz w:val="28"/>
        </w:rPr>
      </w:pPr>
      <w:r w:rsidRPr="0061467C">
        <w:rPr>
          <w:b/>
          <w:sz w:val="28"/>
        </w:rPr>
        <w:t xml:space="preserve">High degree of N-functionalization in macroscopically assembled carbon nanotubes </w:t>
      </w:r>
    </w:p>
    <w:p w14:paraId="6CE4AC1F" w14:textId="15994430" w:rsidR="00286341" w:rsidRPr="009C6B12" w:rsidRDefault="00286341" w:rsidP="00CF7878">
      <w:pPr>
        <w:pStyle w:val="BBAuthorName"/>
        <w:spacing w:line="360" w:lineRule="auto"/>
        <w:rPr>
          <w:rFonts w:ascii="Times New Roman" w:hAnsi="Times New Roman"/>
          <w:szCs w:val="24"/>
          <w:vertAlign w:val="superscript"/>
        </w:rPr>
      </w:pPr>
      <w:bookmarkStart w:id="0" w:name="_Hlk22563076"/>
      <w:r w:rsidRPr="009C6B12">
        <w:rPr>
          <w:rFonts w:ascii="Times New Roman" w:hAnsi="Times New Roman"/>
          <w:szCs w:val="24"/>
        </w:rPr>
        <w:t>Ruairi J. M</w:t>
      </w:r>
      <w:r w:rsidRPr="009C6B12">
        <w:rPr>
          <w:rFonts w:ascii="Times New Roman" w:hAnsi="Times New Roman"/>
          <w:szCs w:val="24"/>
          <w:vertAlign w:val="superscript"/>
        </w:rPr>
        <w:t>c</w:t>
      </w:r>
      <w:r w:rsidRPr="009C6B12">
        <w:rPr>
          <w:rFonts w:ascii="Times New Roman" w:hAnsi="Times New Roman"/>
          <w:szCs w:val="24"/>
        </w:rPr>
        <w:t>Glynn</w:t>
      </w:r>
      <w:r w:rsidRPr="009C6B12">
        <w:rPr>
          <w:rFonts w:ascii="Times New Roman" w:hAnsi="Times New Roman"/>
          <w:szCs w:val="24"/>
          <w:vertAlign w:val="superscript"/>
        </w:rPr>
        <w:t>a</w:t>
      </w:r>
      <w:r w:rsidRPr="009C6B12">
        <w:rPr>
          <w:rFonts w:ascii="Times New Roman" w:hAnsi="Times New Roman"/>
          <w:szCs w:val="24"/>
        </w:rPr>
        <w:t>, Paul Brunet</w:t>
      </w:r>
      <w:r w:rsidRPr="009C6B12">
        <w:rPr>
          <w:rFonts w:ascii="Times New Roman" w:hAnsi="Times New Roman"/>
          <w:szCs w:val="24"/>
          <w:vertAlign w:val="superscript"/>
        </w:rPr>
        <w:t>a</w:t>
      </w:r>
      <w:r w:rsidRPr="009C6B12">
        <w:rPr>
          <w:rFonts w:ascii="Times New Roman" w:hAnsi="Times New Roman"/>
          <w:szCs w:val="24"/>
        </w:rPr>
        <w:t>, Supriya Chakrabarti</w:t>
      </w:r>
      <w:r w:rsidRPr="009C6B12">
        <w:rPr>
          <w:rFonts w:ascii="Times New Roman" w:hAnsi="Times New Roman"/>
          <w:szCs w:val="24"/>
          <w:vertAlign w:val="superscript"/>
        </w:rPr>
        <w:t>a</w:t>
      </w:r>
      <w:r w:rsidRPr="009C6B12">
        <w:rPr>
          <w:rFonts w:ascii="Times New Roman" w:hAnsi="Times New Roman"/>
          <w:szCs w:val="24"/>
        </w:rPr>
        <w:t xml:space="preserve">, </w:t>
      </w:r>
      <w:r w:rsidRPr="009C6B12">
        <w:rPr>
          <w:szCs w:val="24"/>
        </w:rPr>
        <w:t>Adam Boies</w:t>
      </w:r>
      <w:r w:rsidRPr="009C6B12">
        <w:rPr>
          <w:szCs w:val="24"/>
          <w:vertAlign w:val="superscript"/>
        </w:rPr>
        <w:t>b</w:t>
      </w:r>
      <w:r w:rsidRPr="009C6B12">
        <w:rPr>
          <w:szCs w:val="24"/>
        </w:rPr>
        <w:t xml:space="preserve">, </w:t>
      </w:r>
      <w:r w:rsidR="000E3868" w:rsidRPr="009C6B12">
        <w:rPr>
          <w:rFonts w:ascii="Times New Roman" w:hAnsi="Times New Roman"/>
          <w:szCs w:val="24"/>
        </w:rPr>
        <w:t>Paul Maguire</w:t>
      </w:r>
      <w:r w:rsidR="000E3868" w:rsidRPr="009C6B12">
        <w:rPr>
          <w:rFonts w:ascii="Times New Roman" w:hAnsi="Times New Roman"/>
          <w:szCs w:val="24"/>
          <w:vertAlign w:val="superscript"/>
        </w:rPr>
        <w:t>a</w:t>
      </w:r>
      <w:r w:rsidR="000E3868" w:rsidRPr="009C6B12">
        <w:rPr>
          <w:rFonts w:ascii="Times New Roman" w:hAnsi="Times New Roman"/>
          <w:szCs w:val="24"/>
        </w:rPr>
        <w:t xml:space="preserve">, </w:t>
      </w:r>
      <w:r w:rsidRPr="009C6B12">
        <w:rPr>
          <w:rFonts w:ascii="Times New Roman" w:hAnsi="Times New Roman"/>
          <w:szCs w:val="24"/>
        </w:rPr>
        <w:t>Davide Mariotti</w:t>
      </w:r>
      <w:r w:rsidRPr="009C6B12">
        <w:rPr>
          <w:rFonts w:ascii="Times New Roman" w:hAnsi="Times New Roman"/>
          <w:szCs w:val="24"/>
          <w:vertAlign w:val="superscript"/>
        </w:rPr>
        <w:t>a</w:t>
      </w:r>
      <w:r w:rsidR="009C6B12">
        <w:rPr>
          <w:rFonts w:ascii="Times New Roman" w:hAnsi="Times New Roman"/>
          <w:szCs w:val="24"/>
          <w:vertAlign w:val="superscript"/>
        </w:rPr>
        <w:t>*</w:t>
      </w:r>
    </w:p>
    <w:p w14:paraId="1BAC182D" w14:textId="77777777" w:rsidR="00286341" w:rsidRPr="009C6B12" w:rsidRDefault="00286341" w:rsidP="00CF7878">
      <w:pPr>
        <w:pStyle w:val="BCAuthorAddress"/>
        <w:spacing w:line="360" w:lineRule="auto"/>
        <w:rPr>
          <w:rFonts w:ascii="Times New Roman" w:eastAsiaTheme="minorEastAsia" w:hAnsi="Times New Roman"/>
          <w:sz w:val="24"/>
          <w:szCs w:val="24"/>
          <w:lang w:val="en-GB"/>
        </w:rPr>
      </w:pPr>
      <w:r w:rsidRPr="009C6B12">
        <w:rPr>
          <w:rFonts w:ascii="Times New Roman" w:eastAsiaTheme="minorEastAsia" w:hAnsi="Times New Roman"/>
          <w:noProof/>
          <w:sz w:val="24"/>
          <w:szCs w:val="24"/>
          <w:vertAlign w:val="superscript"/>
          <w:lang w:val="en-GB"/>
        </w:rPr>
        <w:t>a</w:t>
      </w:r>
      <w:r w:rsidRPr="009C6B12">
        <w:rPr>
          <w:rFonts w:ascii="Times New Roman" w:eastAsiaTheme="minorEastAsia" w:hAnsi="Times New Roman"/>
          <w:noProof/>
          <w:sz w:val="24"/>
          <w:szCs w:val="24"/>
          <w:lang w:val="en-GB"/>
        </w:rPr>
        <w:t>Nanotechnology</w:t>
      </w:r>
      <w:r w:rsidRPr="009C6B12">
        <w:rPr>
          <w:rFonts w:ascii="Times New Roman" w:eastAsiaTheme="minorEastAsia" w:hAnsi="Times New Roman"/>
          <w:sz w:val="24"/>
          <w:szCs w:val="24"/>
          <w:lang w:val="en-GB"/>
        </w:rPr>
        <w:t xml:space="preserve"> and Integrated Bio-Engineering Centre (</w:t>
      </w:r>
      <w:r w:rsidRPr="009C6B12">
        <w:rPr>
          <w:rFonts w:ascii="Times New Roman" w:eastAsiaTheme="minorEastAsia" w:hAnsi="Times New Roman"/>
          <w:noProof/>
          <w:sz w:val="24"/>
          <w:szCs w:val="24"/>
          <w:lang w:val="en-GB"/>
        </w:rPr>
        <w:t>NIBEC</w:t>
      </w:r>
      <w:r w:rsidRPr="009C6B12">
        <w:rPr>
          <w:rFonts w:ascii="Times New Roman" w:eastAsiaTheme="minorEastAsia" w:hAnsi="Times New Roman"/>
          <w:sz w:val="24"/>
          <w:szCs w:val="24"/>
          <w:lang w:val="en-GB"/>
        </w:rPr>
        <w:t>), Ulster University, Newtownabbey BT37 0QB, United Kingdom</w:t>
      </w:r>
    </w:p>
    <w:p w14:paraId="4B094979" w14:textId="77777777" w:rsidR="007B02A8" w:rsidRDefault="00286341" w:rsidP="00CF7878">
      <w:pPr>
        <w:rPr>
          <w:szCs w:val="24"/>
        </w:rPr>
      </w:pPr>
      <w:r w:rsidRPr="009C6B12">
        <w:rPr>
          <w:szCs w:val="24"/>
          <w:vertAlign w:val="superscript"/>
        </w:rPr>
        <w:t>b</w:t>
      </w:r>
      <w:r w:rsidRPr="009C6B12">
        <w:rPr>
          <w:szCs w:val="24"/>
        </w:rPr>
        <w:t>Department of Engineering, University of Cambrdige, CB2 1PZ, UK</w:t>
      </w:r>
    </w:p>
    <w:p w14:paraId="01670665" w14:textId="42AB91E8" w:rsidR="00102E4A" w:rsidRPr="009C6B12" w:rsidRDefault="00102E4A" w:rsidP="00CF7878">
      <w:pPr>
        <w:rPr>
          <w:szCs w:val="24"/>
          <w:lang w:val="en-US"/>
        </w:rPr>
      </w:pPr>
      <w:r w:rsidRPr="009C6B12">
        <w:rPr>
          <w:szCs w:val="24"/>
          <w:lang w:val="en-US"/>
        </w:rPr>
        <w:t xml:space="preserve">*Corresponding authors: Tel: +44 28 9536 5266. E-mail: d.mariotti@ulster.ac.uk </w:t>
      </w:r>
    </w:p>
    <w:p w14:paraId="1A530E23" w14:textId="3C311B21" w:rsidR="004B37FB" w:rsidRPr="009C6B12" w:rsidRDefault="004B37FB" w:rsidP="009C6B12">
      <w:pPr>
        <w:pStyle w:val="Heading1"/>
        <w:spacing w:line="480" w:lineRule="auto"/>
        <w:rPr>
          <w:szCs w:val="24"/>
          <w:lang w:val="en-US"/>
        </w:rPr>
      </w:pPr>
      <w:r w:rsidRPr="009C6B12">
        <w:rPr>
          <w:szCs w:val="24"/>
          <w:lang w:val="en-US"/>
        </w:rPr>
        <w:t>Forming the “ribbons”</w:t>
      </w:r>
    </w:p>
    <w:p w14:paraId="42EA8E18" w14:textId="1DFB2126" w:rsidR="004B37FB" w:rsidRPr="009C6B12" w:rsidRDefault="00357DE5" w:rsidP="009C6B12">
      <w:pPr>
        <w:spacing w:line="480" w:lineRule="auto"/>
        <w:rPr>
          <w:szCs w:val="24"/>
        </w:rPr>
      </w:pPr>
      <w:r w:rsidRPr="009C6B12">
        <w:rPr>
          <w:szCs w:val="24"/>
        </w:rPr>
        <w:t>T</w:t>
      </w:r>
      <w:r w:rsidR="004B37FB" w:rsidRPr="009C6B12">
        <w:rPr>
          <w:szCs w:val="24"/>
        </w:rPr>
        <w:t>o produce the</w:t>
      </w:r>
      <w:r w:rsidR="004B37FB" w:rsidRPr="009C6B12">
        <w:rPr>
          <w:b/>
          <w:szCs w:val="24"/>
        </w:rPr>
        <w:t xml:space="preserve"> </w:t>
      </w:r>
      <w:r w:rsidR="004B37FB" w:rsidRPr="009C6B12">
        <w:rPr>
          <w:szCs w:val="24"/>
        </w:rPr>
        <w:t>CNT ribbons in this work, gas flows of 116 standard cubic centimet</w:t>
      </w:r>
      <w:r w:rsidRPr="009C6B12">
        <w:rPr>
          <w:szCs w:val="24"/>
        </w:rPr>
        <w:t>er</w:t>
      </w:r>
      <w:r w:rsidR="004B37FB" w:rsidRPr="009C6B12">
        <w:rPr>
          <w:szCs w:val="24"/>
        </w:rPr>
        <w:t>s per minute (sccm) of hydrogen through the ferrocene bubbler, 90 sccm of hydrogen through the thiophene bubbler, a methane flow rate of 160 sccm and a carrier hydrogen flow rate of 1470 sccm are flown through a tube furnace held at 1290 °C. The as-collected web-like samples were further processed by mechanical pressing to form the shape of a ribbon</w:t>
      </w:r>
      <w:r w:rsidR="00A60210" w:rsidRPr="009C6B12">
        <w:rPr>
          <w:szCs w:val="24"/>
        </w:rPr>
        <w:t xml:space="preserve"> as shown in </w:t>
      </w:r>
      <w:r w:rsidR="00A60210" w:rsidRPr="009C6B12">
        <w:rPr>
          <w:szCs w:val="24"/>
        </w:rPr>
        <w:fldChar w:fldCharType="begin"/>
      </w:r>
      <w:r w:rsidR="00A60210" w:rsidRPr="009C6B12">
        <w:rPr>
          <w:szCs w:val="24"/>
        </w:rPr>
        <w:instrText xml:space="preserve"> REF _Ref88824094 \h </w:instrText>
      </w:r>
      <w:r w:rsidR="009C6B12" w:rsidRPr="009C6B12">
        <w:rPr>
          <w:szCs w:val="24"/>
        </w:rPr>
        <w:instrText xml:space="preserve"> \* MERGEFORMAT </w:instrText>
      </w:r>
      <w:r w:rsidR="00A60210" w:rsidRPr="009C6B12">
        <w:rPr>
          <w:szCs w:val="24"/>
        </w:rPr>
      </w:r>
      <w:r w:rsidR="00A60210" w:rsidRPr="009C6B12">
        <w:rPr>
          <w:szCs w:val="24"/>
        </w:rPr>
        <w:fldChar w:fldCharType="separate"/>
      </w:r>
      <w:r w:rsidR="00727084" w:rsidRPr="00727084">
        <w:rPr>
          <w:szCs w:val="24"/>
        </w:rPr>
        <w:t>Figure S1</w:t>
      </w:r>
      <w:r w:rsidR="00A60210" w:rsidRPr="009C6B12">
        <w:rPr>
          <w:szCs w:val="24"/>
        </w:rPr>
        <w:fldChar w:fldCharType="end"/>
      </w:r>
      <w:r w:rsidR="004B37FB" w:rsidRPr="009C6B12">
        <w:rPr>
          <w:szCs w:val="24"/>
        </w:rPr>
        <w:t>.</w:t>
      </w:r>
      <w:r w:rsidR="004B37FB" w:rsidRPr="009C6B12">
        <w:rPr>
          <w:i/>
          <w:szCs w:val="24"/>
        </w:rPr>
        <w:t xml:space="preserve"> </w:t>
      </w:r>
      <w:r w:rsidR="004B37FB" w:rsidRPr="009C6B12">
        <w:rPr>
          <w:szCs w:val="24"/>
        </w:rPr>
        <w:t xml:space="preserve">The term “ribbon” is used to describe the material obtained by pressing the macroscopic </w:t>
      </w:r>
      <w:r w:rsidR="00234417" w:rsidRPr="009C6B12">
        <w:rPr>
          <w:szCs w:val="24"/>
        </w:rPr>
        <w:t>CNT</w:t>
      </w:r>
      <w:r w:rsidR="004B37FB" w:rsidRPr="009C6B12">
        <w:rPr>
          <w:szCs w:val="24"/>
        </w:rPr>
        <w:t xml:space="preserve"> between two glass microscope slides for 10 minutes under a 2 kg load to create a flat ribbon-like material.</w:t>
      </w:r>
    </w:p>
    <w:p w14:paraId="56C69D5D" w14:textId="3F24998D" w:rsidR="00655620" w:rsidRPr="009C6B12" w:rsidRDefault="00856308" w:rsidP="003100CF">
      <w:pPr>
        <w:keepNext/>
        <w:spacing w:after="0" w:line="480" w:lineRule="auto"/>
        <w:jc w:val="center"/>
        <w:rPr>
          <w:szCs w:val="24"/>
        </w:rPr>
      </w:pPr>
      <w:r>
        <w:rPr>
          <w:noProof/>
          <w:szCs w:val="24"/>
        </w:rPr>
        <w:lastRenderedPageBreak/>
        <w:drawing>
          <wp:inline distT="0" distB="0" distL="0" distR="0" wp14:anchorId="3D1476B7" wp14:editId="2EB11D23">
            <wp:extent cx="3024000" cy="33092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4000" cy="3309259"/>
                    </a:xfrm>
                    <a:prstGeom prst="rect">
                      <a:avLst/>
                    </a:prstGeom>
                    <a:noFill/>
                  </pic:spPr>
                </pic:pic>
              </a:graphicData>
            </a:graphic>
          </wp:inline>
        </w:drawing>
      </w:r>
    </w:p>
    <w:p w14:paraId="0BBB9478" w14:textId="0B17A6C1" w:rsidR="006551D9" w:rsidRPr="009C6B12" w:rsidRDefault="00655620" w:rsidP="003C7A46">
      <w:pPr>
        <w:pStyle w:val="Caption"/>
      </w:pPr>
      <w:bookmarkStart w:id="1" w:name="_Ref88824094"/>
      <w:r w:rsidRPr="009C6B12">
        <w:t>Figure S</w:t>
      </w:r>
      <w:fldSimple w:instr=" SEQ Figure \* ARABIC ">
        <w:r w:rsidR="00727084">
          <w:rPr>
            <w:noProof/>
          </w:rPr>
          <w:t>1</w:t>
        </w:r>
      </w:fldSimple>
      <w:bookmarkEnd w:id="1"/>
      <w:r w:rsidR="008C23CD" w:rsidRPr="009C6B12">
        <w:t xml:space="preserve"> Photographs of the </w:t>
      </w:r>
      <w:r w:rsidR="00254EDB" w:rsidRPr="009C6B12">
        <w:t>process to press the carbon nanotube aerogel as collected into a ribbon-like material.</w:t>
      </w:r>
      <w:r w:rsidR="00A60210" w:rsidRPr="009C6B12">
        <w:t xml:space="preserve"> (a) The as-collected materials and two glass microscope slides. (b) The CNT is laid on a glass slide with a second sandwiche</w:t>
      </w:r>
      <w:r w:rsidR="00E27FFC" w:rsidRPr="009C6B12">
        <w:t>d</w:t>
      </w:r>
      <w:r w:rsidR="00A60210" w:rsidRPr="009C6B12">
        <w:t xml:space="preserve"> on top (c). (d) shows the cross</w:t>
      </w:r>
      <w:r w:rsidR="00357DE5" w:rsidRPr="009C6B12">
        <w:t>-</w:t>
      </w:r>
      <w:r w:rsidR="00A60210" w:rsidRPr="009C6B12">
        <w:t>section of the slide-CNT-slide assembly and (e) is indicative of the compressed CNT ribbon on top of a single slide</w:t>
      </w:r>
      <w:r w:rsidR="00856308">
        <w:t>, with the dotted yellow lines showing the position of the CNT</w:t>
      </w:r>
      <w:r w:rsidR="00A60210" w:rsidRPr="009C6B12">
        <w:t>.</w:t>
      </w:r>
      <w:r w:rsidR="00DB7BE9" w:rsidRPr="009C6B12">
        <w:t xml:space="preserve"> </w:t>
      </w:r>
    </w:p>
    <w:bookmarkEnd w:id="0"/>
    <w:p w14:paraId="39E34C10" w14:textId="64035D5A" w:rsidR="00A84D81" w:rsidRPr="009C6B12" w:rsidRDefault="004E1048" w:rsidP="009C6B12">
      <w:pPr>
        <w:pStyle w:val="Heading1"/>
        <w:spacing w:line="480" w:lineRule="auto"/>
        <w:rPr>
          <w:szCs w:val="24"/>
        </w:rPr>
      </w:pPr>
      <w:r w:rsidRPr="009C6B12">
        <w:rPr>
          <w:szCs w:val="24"/>
        </w:rPr>
        <w:t>Alternative p</w:t>
      </w:r>
      <w:r w:rsidR="00A84D81" w:rsidRPr="009C6B12">
        <w:rPr>
          <w:szCs w:val="24"/>
        </w:rPr>
        <w:t xml:space="preserve">lasma-induced non-equilibrium electrochemistry </w:t>
      </w:r>
      <w:r w:rsidRPr="009C6B12">
        <w:rPr>
          <w:szCs w:val="24"/>
        </w:rPr>
        <w:t>configurations</w:t>
      </w:r>
    </w:p>
    <w:p w14:paraId="2051AA96" w14:textId="0AE1A51E" w:rsidR="00D97580" w:rsidRPr="009C6B12" w:rsidRDefault="0066348B" w:rsidP="009C6B12">
      <w:pPr>
        <w:spacing w:line="480" w:lineRule="auto"/>
        <w:rPr>
          <w:szCs w:val="24"/>
        </w:rPr>
      </w:pPr>
      <w:r w:rsidRPr="009C6B12">
        <w:rPr>
          <w:szCs w:val="24"/>
        </w:rPr>
        <w:t>In addition to the plasma treatment described in the main manuscript, two more</w:t>
      </w:r>
      <w:r w:rsidR="00D97580" w:rsidRPr="009C6B12">
        <w:rPr>
          <w:szCs w:val="24"/>
        </w:rPr>
        <w:t xml:space="preserve"> configurations of plasma-liquid treatment have been used in this work, with schematic diagram</w:t>
      </w:r>
      <w:r w:rsidRPr="009C6B12">
        <w:rPr>
          <w:szCs w:val="24"/>
        </w:rPr>
        <w:t>s</w:t>
      </w:r>
      <w:r w:rsidR="00D97580" w:rsidRPr="009C6B12">
        <w:rPr>
          <w:szCs w:val="24"/>
        </w:rPr>
        <w:t xml:space="preserve"> presented in </w:t>
      </w:r>
      <w:r w:rsidR="008E5BC4">
        <w:rPr>
          <w:szCs w:val="24"/>
        </w:rPr>
        <w:fldChar w:fldCharType="begin"/>
      </w:r>
      <w:r w:rsidR="008E5BC4">
        <w:rPr>
          <w:szCs w:val="24"/>
        </w:rPr>
        <w:instrText xml:space="preserve"> REF _Ref105675293 \h </w:instrText>
      </w:r>
      <w:r w:rsidR="008E5BC4">
        <w:rPr>
          <w:szCs w:val="24"/>
        </w:rPr>
      </w:r>
      <w:r w:rsidR="008E5BC4">
        <w:rPr>
          <w:szCs w:val="24"/>
        </w:rPr>
        <w:fldChar w:fldCharType="separate"/>
      </w:r>
      <w:r w:rsidR="00727084">
        <w:t>Figure S</w:t>
      </w:r>
      <w:r w:rsidR="00727084">
        <w:rPr>
          <w:noProof/>
        </w:rPr>
        <w:t>2</w:t>
      </w:r>
      <w:r w:rsidR="008E5BC4">
        <w:rPr>
          <w:szCs w:val="24"/>
        </w:rPr>
        <w:fldChar w:fldCharType="end"/>
      </w:r>
      <w:r w:rsidR="00D97580" w:rsidRPr="009C6B12">
        <w:rPr>
          <w:szCs w:val="24"/>
        </w:rPr>
        <w:t>.</w:t>
      </w:r>
      <w:r w:rsidR="00943999" w:rsidRPr="009C6B12">
        <w:rPr>
          <w:szCs w:val="24"/>
        </w:rPr>
        <w:t xml:space="preserve"> Alongside </w:t>
      </w:r>
      <w:r w:rsidR="008E5BC4">
        <w:rPr>
          <w:szCs w:val="24"/>
        </w:rPr>
        <w:fldChar w:fldCharType="begin"/>
      </w:r>
      <w:r w:rsidR="008E5BC4">
        <w:rPr>
          <w:szCs w:val="24"/>
        </w:rPr>
        <w:instrText xml:space="preserve"> REF _Ref105675293 \h </w:instrText>
      </w:r>
      <w:r w:rsidR="008E5BC4">
        <w:rPr>
          <w:szCs w:val="24"/>
        </w:rPr>
      </w:r>
      <w:r w:rsidR="008E5BC4">
        <w:rPr>
          <w:szCs w:val="24"/>
        </w:rPr>
        <w:fldChar w:fldCharType="separate"/>
      </w:r>
      <w:r w:rsidR="00727084">
        <w:t>Figure S</w:t>
      </w:r>
      <w:r w:rsidR="00727084">
        <w:rPr>
          <w:noProof/>
        </w:rPr>
        <w:t>2</w:t>
      </w:r>
      <w:r w:rsidR="008E5BC4">
        <w:rPr>
          <w:szCs w:val="24"/>
        </w:rPr>
        <w:fldChar w:fldCharType="end"/>
      </w:r>
      <w:r w:rsidR="008E5BC4" w:rsidRPr="009C6B12">
        <w:rPr>
          <w:szCs w:val="24"/>
        </w:rPr>
        <w:t xml:space="preserve"> </w:t>
      </w:r>
      <w:r w:rsidR="00633299" w:rsidRPr="009C6B12">
        <w:rPr>
          <w:szCs w:val="24"/>
        </w:rPr>
        <w:t>(a)</w:t>
      </w:r>
      <w:r w:rsidR="00943999" w:rsidRPr="009C6B12">
        <w:rPr>
          <w:szCs w:val="24"/>
        </w:rPr>
        <w:t xml:space="preserve"> where the CNT is free to float in the solution, in </w:t>
      </w:r>
      <w:r w:rsidR="008E5BC4">
        <w:rPr>
          <w:szCs w:val="24"/>
        </w:rPr>
        <w:fldChar w:fldCharType="begin"/>
      </w:r>
      <w:r w:rsidR="008E5BC4">
        <w:rPr>
          <w:szCs w:val="24"/>
        </w:rPr>
        <w:instrText xml:space="preserve"> REF _Ref105675293 \h </w:instrText>
      </w:r>
      <w:r w:rsidR="008E5BC4">
        <w:rPr>
          <w:szCs w:val="24"/>
        </w:rPr>
      </w:r>
      <w:r w:rsidR="008E5BC4">
        <w:rPr>
          <w:szCs w:val="24"/>
        </w:rPr>
        <w:fldChar w:fldCharType="separate"/>
      </w:r>
      <w:r w:rsidR="00727084">
        <w:t>Figure S</w:t>
      </w:r>
      <w:r w:rsidR="00727084">
        <w:rPr>
          <w:noProof/>
        </w:rPr>
        <w:t>2</w:t>
      </w:r>
      <w:r w:rsidR="008E5BC4">
        <w:rPr>
          <w:szCs w:val="24"/>
        </w:rPr>
        <w:fldChar w:fldCharType="end"/>
      </w:r>
      <w:r w:rsidR="008E5BC4" w:rsidRPr="009C6B12">
        <w:rPr>
          <w:szCs w:val="24"/>
        </w:rPr>
        <w:t xml:space="preserve"> </w:t>
      </w:r>
      <w:r w:rsidR="00633299" w:rsidRPr="009C6B12">
        <w:rPr>
          <w:szCs w:val="24"/>
        </w:rPr>
        <w:t>(b)</w:t>
      </w:r>
      <w:r w:rsidR="00943999" w:rsidRPr="009C6B12">
        <w:rPr>
          <w:szCs w:val="24"/>
        </w:rPr>
        <w:t xml:space="preserve"> the CNT can be secured in a PTFE holder</w:t>
      </w:r>
      <w:r w:rsidR="00503CAA" w:rsidRPr="009C6B12">
        <w:rPr>
          <w:szCs w:val="24"/>
        </w:rPr>
        <w:t xml:space="preserve"> and placed at the bottom of the container, but not used as </w:t>
      </w:r>
      <w:r w:rsidR="00357DE5" w:rsidRPr="009C6B12">
        <w:rPr>
          <w:szCs w:val="24"/>
        </w:rPr>
        <w:t xml:space="preserve">a </w:t>
      </w:r>
      <w:r w:rsidR="00503CAA" w:rsidRPr="009C6B12">
        <w:rPr>
          <w:szCs w:val="24"/>
        </w:rPr>
        <w:t>cathode</w:t>
      </w:r>
      <w:r w:rsidR="00943999" w:rsidRPr="009C6B12">
        <w:rPr>
          <w:szCs w:val="24"/>
        </w:rPr>
        <w:t xml:space="preserve">. </w:t>
      </w:r>
      <w:r w:rsidR="00D97580" w:rsidRPr="009C6B12">
        <w:rPr>
          <w:szCs w:val="24"/>
        </w:rPr>
        <w:t xml:space="preserve">It is of note that the CNT ribbon placed within the solution will move randomly until it contacts the submerged anode. After contacting this electrode, the ribbon aligns in </w:t>
      </w:r>
      <w:r w:rsidR="00D97580" w:rsidRPr="009C6B12">
        <w:rPr>
          <w:szCs w:val="24"/>
        </w:rPr>
        <w:lastRenderedPageBreak/>
        <w:t xml:space="preserve">the direction of the plasma discharge, schematically shown in </w:t>
      </w:r>
      <w:r w:rsidR="008E5BC4">
        <w:rPr>
          <w:szCs w:val="24"/>
        </w:rPr>
        <w:fldChar w:fldCharType="begin"/>
      </w:r>
      <w:r w:rsidR="008E5BC4">
        <w:rPr>
          <w:szCs w:val="24"/>
        </w:rPr>
        <w:instrText xml:space="preserve"> REF _Ref105675285 \h </w:instrText>
      </w:r>
      <w:r w:rsidR="008E5BC4">
        <w:rPr>
          <w:szCs w:val="24"/>
        </w:rPr>
      </w:r>
      <w:r w:rsidR="008E5BC4">
        <w:rPr>
          <w:szCs w:val="24"/>
        </w:rPr>
        <w:fldChar w:fldCharType="separate"/>
      </w:r>
      <w:r w:rsidR="00727084">
        <w:t>Figure S</w:t>
      </w:r>
      <w:r w:rsidR="00727084">
        <w:rPr>
          <w:noProof/>
        </w:rPr>
        <w:t>3</w:t>
      </w:r>
      <w:r w:rsidR="008E5BC4">
        <w:rPr>
          <w:szCs w:val="24"/>
        </w:rPr>
        <w:fldChar w:fldCharType="end"/>
      </w:r>
      <w:r w:rsidR="00D97580" w:rsidRPr="009C6B12">
        <w:rPr>
          <w:szCs w:val="24"/>
        </w:rPr>
        <w:t xml:space="preserve">. Once within the discharge region, the plasma appears to shift toward the CNT ribbon, seemingly discharging directly to the ribbon instead of through the solution. </w:t>
      </w:r>
    </w:p>
    <w:p w14:paraId="478BDB6B" w14:textId="77777777" w:rsidR="003C7A46" w:rsidRDefault="006827E0" w:rsidP="003C7A46">
      <w:pPr>
        <w:keepNext/>
        <w:spacing w:after="0" w:line="480" w:lineRule="auto"/>
        <w:jc w:val="center"/>
      </w:pPr>
      <w:r w:rsidRPr="009C6B12">
        <w:rPr>
          <w:noProof/>
          <w:szCs w:val="24"/>
        </w:rPr>
        <w:drawing>
          <wp:inline distT="0" distB="0" distL="0" distR="0" wp14:anchorId="3F66C4C9" wp14:editId="2703C70F">
            <wp:extent cx="3024000" cy="207286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4000" cy="2072864"/>
                    </a:xfrm>
                    <a:prstGeom prst="rect">
                      <a:avLst/>
                    </a:prstGeom>
                    <a:noFill/>
                  </pic:spPr>
                </pic:pic>
              </a:graphicData>
            </a:graphic>
          </wp:inline>
        </w:drawing>
      </w:r>
    </w:p>
    <w:p w14:paraId="2E0F8D79" w14:textId="480BB031" w:rsidR="00D97580" w:rsidRPr="009C6B12" w:rsidRDefault="003C7A46" w:rsidP="003C7A46">
      <w:pPr>
        <w:pStyle w:val="Caption"/>
      </w:pPr>
      <w:bookmarkStart w:id="2" w:name="_Ref105675293"/>
      <w:r>
        <w:t>Figure S</w:t>
      </w:r>
      <w:fldSimple w:instr=" SEQ Figure \* ARABIC ">
        <w:r w:rsidR="00727084">
          <w:rPr>
            <w:noProof/>
          </w:rPr>
          <w:t>2</w:t>
        </w:r>
      </w:fldSimple>
      <w:bookmarkEnd w:id="2"/>
      <w:r w:rsidR="00D97580" w:rsidRPr="009C6B12">
        <w:t xml:space="preserve"> The different configurations of the plasma-induced non-equilibrium electrochemistry system used to treat the ribbons. (a) Floating ribbon</w:t>
      </w:r>
      <w:r w:rsidR="00943999" w:rsidRPr="009C6B12">
        <w:t xml:space="preserve"> and</w:t>
      </w:r>
      <w:r w:rsidR="00D97580" w:rsidRPr="009C6B12">
        <w:t xml:space="preserve"> (b) ribbon held in place</w:t>
      </w:r>
      <w:r w:rsidR="00943999" w:rsidRPr="009C6B12">
        <w:t>.</w:t>
      </w:r>
      <w:r w:rsidR="00D97580" w:rsidRPr="009C6B12">
        <w:t xml:space="preserve"> </w:t>
      </w:r>
    </w:p>
    <w:p w14:paraId="2958C2A0" w14:textId="77777777" w:rsidR="00A61D50" w:rsidRPr="009C6B12" w:rsidRDefault="00A61D50" w:rsidP="009C6B12">
      <w:pPr>
        <w:spacing w:line="480" w:lineRule="auto"/>
        <w:rPr>
          <w:szCs w:val="24"/>
        </w:rPr>
      </w:pPr>
    </w:p>
    <w:p w14:paraId="25B31780" w14:textId="77777777" w:rsidR="00D97580" w:rsidRPr="009C6B12" w:rsidRDefault="00D97580" w:rsidP="009C6B12">
      <w:pPr>
        <w:keepNext/>
        <w:spacing w:after="0" w:line="480" w:lineRule="auto"/>
        <w:jc w:val="center"/>
        <w:rPr>
          <w:szCs w:val="24"/>
        </w:rPr>
      </w:pPr>
      <w:r w:rsidRPr="009C6B12">
        <w:rPr>
          <w:noProof/>
          <w:szCs w:val="24"/>
          <w:lang w:eastAsia="en-GB"/>
        </w:rPr>
        <w:lastRenderedPageBreak/>
        <w:drawing>
          <wp:inline distT="0" distB="0" distL="0" distR="0" wp14:anchorId="01B78BF9" wp14:editId="63CA6760">
            <wp:extent cx="3024000" cy="17289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4000" cy="1728952"/>
                    </a:xfrm>
                    <a:prstGeom prst="rect">
                      <a:avLst/>
                    </a:prstGeom>
                    <a:noFill/>
                    <a:ln>
                      <a:noFill/>
                    </a:ln>
                  </pic:spPr>
                </pic:pic>
              </a:graphicData>
            </a:graphic>
          </wp:inline>
        </w:drawing>
      </w:r>
    </w:p>
    <w:p w14:paraId="62995A59" w14:textId="0D0FD130" w:rsidR="00D97580" w:rsidRPr="009C6B12" w:rsidRDefault="003C7A46" w:rsidP="003C7A46">
      <w:pPr>
        <w:pStyle w:val="Caption"/>
      </w:pPr>
      <w:bookmarkStart w:id="3" w:name="_Ref105675285"/>
      <w:r>
        <w:t>Figure S</w:t>
      </w:r>
      <w:r w:rsidR="00B1188E">
        <w:fldChar w:fldCharType="begin"/>
      </w:r>
      <w:r w:rsidR="00B1188E">
        <w:instrText xml:space="preserve"> SEQ Figure \* ARABIC </w:instrText>
      </w:r>
      <w:r w:rsidR="00B1188E">
        <w:fldChar w:fldCharType="separate"/>
      </w:r>
      <w:r w:rsidR="00727084">
        <w:rPr>
          <w:noProof/>
        </w:rPr>
        <w:t>3</w:t>
      </w:r>
      <w:r w:rsidR="00B1188E">
        <w:rPr>
          <w:noProof/>
        </w:rPr>
        <w:fldChar w:fldCharType="end"/>
      </w:r>
      <w:bookmarkEnd w:id="3"/>
      <w:r>
        <w:t xml:space="preserve"> </w:t>
      </w:r>
      <w:r w:rsidR="00D97580" w:rsidRPr="009C6B12">
        <w:t xml:space="preserve">Alignment of the carbon nanotube ribbons under the influence of plasma discharge above the </w:t>
      </w:r>
      <w:r w:rsidR="00D97580" w:rsidRPr="009C6B12">
        <w:rPr>
          <w:noProof/>
        </w:rPr>
        <w:t>liquid</w:t>
      </w:r>
      <w:r w:rsidR="00D97580" w:rsidRPr="009C6B12">
        <w:t>.</w:t>
      </w:r>
      <w:r w:rsidR="00DB7BE9" w:rsidRPr="009C6B12">
        <w:t xml:space="preserve"> </w:t>
      </w:r>
    </w:p>
    <w:p w14:paraId="0B679291" w14:textId="3F3AD64E" w:rsidR="00B00291" w:rsidRPr="009C6B12" w:rsidRDefault="0047201E" w:rsidP="009C6B12">
      <w:pPr>
        <w:pStyle w:val="Heading1"/>
        <w:spacing w:line="480" w:lineRule="auto"/>
        <w:rPr>
          <w:szCs w:val="24"/>
        </w:rPr>
      </w:pPr>
      <w:r w:rsidRPr="009C6B12">
        <w:rPr>
          <w:szCs w:val="24"/>
        </w:rPr>
        <w:t>Nitrogen-doping of the carbon nanotube ribbons</w:t>
      </w:r>
    </w:p>
    <w:p w14:paraId="1ADC411D" w14:textId="6A198412" w:rsidR="00736DE5" w:rsidRPr="009C6B12" w:rsidRDefault="00736DE5" w:rsidP="009C6B12">
      <w:pPr>
        <w:pStyle w:val="Heading2"/>
        <w:spacing w:line="480" w:lineRule="auto"/>
        <w:rPr>
          <w:szCs w:val="24"/>
        </w:rPr>
      </w:pPr>
      <w:r w:rsidRPr="009C6B12">
        <w:rPr>
          <w:szCs w:val="24"/>
        </w:rPr>
        <w:t xml:space="preserve">Additional </w:t>
      </w:r>
      <w:r w:rsidR="0005095E" w:rsidRPr="009C6B12">
        <w:rPr>
          <w:szCs w:val="24"/>
        </w:rPr>
        <w:t>results and tables</w:t>
      </w:r>
    </w:p>
    <w:p w14:paraId="54B19B91" w14:textId="34966AE1" w:rsidR="0005095E" w:rsidRPr="009C6B12" w:rsidRDefault="0005095E" w:rsidP="009C6B12">
      <w:pPr>
        <w:spacing w:line="480" w:lineRule="auto"/>
        <w:rPr>
          <w:rFonts w:cs="Times New Roman"/>
          <w:szCs w:val="24"/>
        </w:rPr>
      </w:pPr>
      <w:r w:rsidRPr="009C6B12">
        <w:rPr>
          <w:szCs w:val="24"/>
        </w:rPr>
        <w:t xml:space="preserve">When submerged in the electrolyte solution and subsequently removed, the CNT ribbon undergoes shrinkage, becoming both thinner and narrower as the evaporating electrolyte draws the individual </w:t>
      </w:r>
      <w:r w:rsidR="00234417" w:rsidRPr="009C6B12">
        <w:rPr>
          <w:szCs w:val="24"/>
        </w:rPr>
        <w:t>CNT</w:t>
      </w:r>
      <w:r w:rsidRPr="009C6B12">
        <w:rPr>
          <w:szCs w:val="24"/>
        </w:rPr>
        <w:t xml:space="preserve"> together. SEM micrographs (</w:t>
      </w:r>
      <w:r w:rsidRPr="009C6B12">
        <w:rPr>
          <w:szCs w:val="24"/>
        </w:rPr>
        <w:fldChar w:fldCharType="begin"/>
      </w:r>
      <w:r w:rsidRPr="009C6B12">
        <w:rPr>
          <w:szCs w:val="24"/>
        </w:rPr>
        <w:instrText xml:space="preserve"> REF _Ref18333614 \h </w:instrText>
      </w:r>
      <w:r w:rsidR="009C6B12" w:rsidRPr="009C6B12">
        <w:rPr>
          <w:szCs w:val="24"/>
        </w:rPr>
        <w:instrText xml:space="preserve"> \* MERGEFORMAT </w:instrText>
      </w:r>
      <w:r w:rsidRPr="009C6B12">
        <w:rPr>
          <w:szCs w:val="24"/>
        </w:rPr>
      </w:r>
      <w:r w:rsidRPr="009C6B12">
        <w:rPr>
          <w:szCs w:val="24"/>
        </w:rPr>
        <w:fldChar w:fldCharType="separate"/>
      </w:r>
      <w:r w:rsidR="00727084" w:rsidRPr="00727084">
        <w:rPr>
          <w:szCs w:val="24"/>
        </w:rPr>
        <w:t>Figure S4</w:t>
      </w:r>
      <w:r w:rsidRPr="009C6B12">
        <w:rPr>
          <w:szCs w:val="24"/>
        </w:rPr>
        <w:fldChar w:fldCharType="end"/>
      </w:r>
      <w:r w:rsidRPr="009C6B12">
        <w:rPr>
          <w:szCs w:val="24"/>
        </w:rPr>
        <w:t xml:space="preserve">) show the dramatic reduction of the thickness of a representative ribbon before and after the treatment. The shrinkage in this example is found to be </w:t>
      </w:r>
      <w:r w:rsidRPr="009C6B12">
        <w:rPr>
          <w:rFonts w:cs="Times New Roman"/>
          <w:szCs w:val="24"/>
        </w:rPr>
        <w:t xml:space="preserve">about 7-fold, with the average thickness of the pristine ribbon reducing from 1.86 µm to approximately 0.28 µm after treatment. Not all the ribbons undergo the same degree of shrinkage, with no clear link to the electrolyte composition.  </w:t>
      </w:r>
    </w:p>
    <w:p w14:paraId="3CA9F084" w14:textId="49D94614" w:rsidR="0005095E" w:rsidRPr="009C6B12" w:rsidRDefault="00664CA7" w:rsidP="009C6B12">
      <w:pPr>
        <w:keepNext/>
        <w:spacing w:after="0" w:line="480" w:lineRule="auto"/>
        <w:jc w:val="center"/>
        <w:rPr>
          <w:szCs w:val="24"/>
        </w:rPr>
      </w:pPr>
      <w:r>
        <w:rPr>
          <w:noProof/>
          <w:szCs w:val="24"/>
        </w:rPr>
        <w:lastRenderedPageBreak/>
        <w:drawing>
          <wp:inline distT="0" distB="0" distL="0" distR="0" wp14:anchorId="655632C1" wp14:editId="64C63BE5">
            <wp:extent cx="6267450" cy="2682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7450" cy="2682240"/>
                    </a:xfrm>
                    <a:prstGeom prst="rect">
                      <a:avLst/>
                    </a:prstGeom>
                    <a:noFill/>
                  </pic:spPr>
                </pic:pic>
              </a:graphicData>
            </a:graphic>
          </wp:inline>
        </w:drawing>
      </w:r>
    </w:p>
    <w:p w14:paraId="5E7CCA39" w14:textId="7AC00037" w:rsidR="0005095E" w:rsidRDefault="0005095E" w:rsidP="003C7A46">
      <w:pPr>
        <w:pStyle w:val="Caption"/>
      </w:pPr>
      <w:bookmarkStart w:id="4" w:name="_Ref18333614"/>
      <w:r w:rsidRPr="009C6B12">
        <w:t xml:space="preserve">Figure </w:t>
      </w:r>
      <w:r w:rsidR="00404168" w:rsidRPr="009C6B12">
        <w:t>S</w:t>
      </w:r>
      <w:fldSimple w:instr=" SEQ Figure \* ARABIC ">
        <w:r w:rsidR="00727084">
          <w:rPr>
            <w:noProof/>
          </w:rPr>
          <w:t>4</w:t>
        </w:r>
      </w:fldSimple>
      <w:bookmarkEnd w:id="4"/>
      <w:r w:rsidRPr="009C6B12">
        <w:t xml:space="preserve"> Carbon nanotubes ribbons before (a) and after (b) treatment under a 10 mA microplasma for 10 minutes within a solution of 1 mL ethanol and 9 </w:t>
      </w:r>
      <w:r w:rsidRPr="009C6B12">
        <w:rPr>
          <w:noProof/>
        </w:rPr>
        <w:t>mL of</w:t>
      </w:r>
      <w:r w:rsidRPr="009C6B12">
        <w:t xml:space="preserve"> distilled water. A dramatic reduction of the ribbon thickness is observed</w:t>
      </w:r>
      <w:r w:rsidR="00F42C41" w:rsidRPr="009C6B12">
        <w:t>.</w:t>
      </w:r>
    </w:p>
    <w:p w14:paraId="58728F47" w14:textId="77777777" w:rsidR="00324BD3" w:rsidRPr="00324BD3" w:rsidRDefault="00324BD3" w:rsidP="00324BD3"/>
    <w:p w14:paraId="34BACD3A" w14:textId="77777777" w:rsidR="00922D5E" w:rsidRDefault="00922D5E" w:rsidP="00B154D2">
      <w:pPr>
        <w:keepNext/>
        <w:spacing w:after="0"/>
        <w:jc w:val="center"/>
      </w:pPr>
    </w:p>
    <w:p w14:paraId="1339EAAE" w14:textId="640B1526" w:rsidR="007C3B17" w:rsidRDefault="006E3459" w:rsidP="00B154D2">
      <w:pPr>
        <w:keepNext/>
        <w:spacing w:after="0"/>
        <w:jc w:val="center"/>
      </w:pPr>
      <w:r>
        <w:rPr>
          <w:noProof/>
        </w:rPr>
        <w:drawing>
          <wp:inline distT="0" distB="0" distL="0" distR="0" wp14:anchorId="2051B1BC" wp14:editId="67ABE380">
            <wp:extent cx="3025140" cy="2316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67FE4995" w14:textId="0D2AA344" w:rsidR="00977C93" w:rsidRDefault="007C3B17" w:rsidP="003C7A46">
      <w:pPr>
        <w:pStyle w:val="Caption"/>
      </w:pPr>
      <w:r>
        <w:t xml:space="preserve">Figure </w:t>
      </w:r>
      <w:r w:rsidR="00C92485">
        <w:t>S</w:t>
      </w:r>
      <w:r w:rsidR="00B1188E">
        <w:fldChar w:fldCharType="begin"/>
      </w:r>
      <w:r w:rsidR="00B1188E">
        <w:instrText xml:space="preserve"> SEQ Figure \* ARABIC </w:instrText>
      </w:r>
      <w:r w:rsidR="00B1188E">
        <w:fldChar w:fldCharType="separate"/>
      </w:r>
      <w:r w:rsidR="00727084">
        <w:rPr>
          <w:noProof/>
        </w:rPr>
        <w:t>5</w:t>
      </w:r>
      <w:r w:rsidR="00B1188E">
        <w:rPr>
          <w:noProof/>
        </w:rPr>
        <w:fldChar w:fldCharType="end"/>
      </w:r>
      <w:r w:rsidR="00E852E4">
        <w:t xml:space="preserve"> Raman spectroscopy plots for the carbon nanotube ribbons which have undergone </w:t>
      </w:r>
      <w:r w:rsidR="00922D5E">
        <w:t>various treatments.</w:t>
      </w:r>
    </w:p>
    <w:p w14:paraId="17F611A4" w14:textId="73CFBC79" w:rsidR="00C70262" w:rsidRDefault="00B0202B" w:rsidP="00C70262">
      <w:pPr>
        <w:keepNext/>
        <w:spacing w:after="0"/>
        <w:jc w:val="center"/>
      </w:pPr>
      <w:r>
        <w:rPr>
          <w:noProof/>
        </w:rPr>
        <w:drawing>
          <wp:inline distT="0" distB="0" distL="0" distR="0" wp14:anchorId="062F7282" wp14:editId="1A4EDBF3">
            <wp:extent cx="3025140" cy="23164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58A23B78" w14:textId="64D8EDD2" w:rsidR="00C70262" w:rsidRPr="00C70262" w:rsidRDefault="00C70262" w:rsidP="003C7A46">
      <w:pPr>
        <w:pStyle w:val="Caption"/>
      </w:pPr>
      <w:r>
        <w:t>Figure S</w:t>
      </w:r>
      <w:r w:rsidR="00B1188E">
        <w:fldChar w:fldCharType="begin"/>
      </w:r>
      <w:r w:rsidR="00B1188E">
        <w:instrText xml:space="preserve"> SEQ Figure \* ARABIC </w:instrText>
      </w:r>
      <w:r w:rsidR="00B1188E">
        <w:fldChar w:fldCharType="separate"/>
      </w:r>
      <w:r w:rsidR="00727084">
        <w:rPr>
          <w:noProof/>
        </w:rPr>
        <w:t>6</w:t>
      </w:r>
      <w:r w:rsidR="00B1188E">
        <w:rPr>
          <w:noProof/>
        </w:rPr>
        <w:fldChar w:fldCharType="end"/>
      </w:r>
      <w:r w:rsidR="00922D5E">
        <w:t xml:space="preserve"> Survey spectra for </w:t>
      </w:r>
      <w:r w:rsidR="00034F66">
        <w:t xml:space="preserve">carbon nanotube ribbons in a variety of ethylenediamine </w:t>
      </w:r>
      <w:r w:rsidR="00304917">
        <w:t>concentrations</w:t>
      </w:r>
      <w:r w:rsidR="00034F66">
        <w:t xml:space="preserve"> treated by PiNE and compared against a soaking and electrolysis treatment.</w:t>
      </w:r>
    </w:p>
    <w:p w14:paraId="5A4E240B" w14:textId="3335474F" w:rsidR="00664CA7" w:rsidRDefault="00D361CE" w:rsidP="003C7A46">
      <w:pPr>
        <w:pStyle w:val="Caption"/>
      </w:pPr>
      <w:r>
        <w:fldChar w:fldCharType="begin"/>
      </w:r>
      <w:r>
        <w:instrText xml:space="preserve"> REF _Ref104468817 \h </w:instrText>
      </w:r>
      <w:r>
        <w:fldChar w:fldCharType="separate"/>
      </w:r>
      <w:r w:rsidR="00727084">
        <w:t>Figure S</w:t>
      </w:r>
      <w:r w:rsidR="00727084">
        <w:rPr>
          <w:noProof/>
        </w:rPr>
        <w:t>7</w:t>
      </w:r>
      <w:r>
        <w:fldChar w:fldCharType="end"/>
      </w:r>
      <w:r w:rsidR="00245747">
        <w:t xml:space="preserve"> illustrates that increasing the concentration of EDA does not appear to enhance the total nitrogen content of the CNT ribbon after being treated as an electrode. Here we see that increase the EDA concentration above 10 vol% actually results in a diminishment of the nitrogen that can be grafted into the CNT ribbons. Possible reasons for this effect could be the saturation of defect sites or scavenging of radicals that could have yielded more defects by the additional EDA molecules. Additionally, changes to the local chemical environment may occur, such as plasma-</w:t>
      </w:r>
      <w:r w:rsidR="00245747">
        <w:lastRenderedPageBreak/>
        <w:t xml:space="preserve">generated species, EDA ion content, solution conductivity and pH. </w:t>
      </w:r>
      <w:r w:rsidR="00245747">
        <w:tab/>
        <w:t>The decomposition of each EDA molecule may also be reduced due to the higher content.</w:t>
      </w:r>
      <w:r w:rsidR="00B26639">
        <w:t xml:space="preserve"> </w:t>
      </w:r>
    </w:p>
    <w:p w14:paraId="23238F85" w14:textId="77777777" w:rsidR="0056297D" w:rsidRDefault="0056297D" w:rsidP="0056297D">
      <w:pPr>
        <w:keepNext/>
        <w:spacing w:after="0" w:line="276" w:lineRule="auto"/>
        <w:jc w:val="center"/>
      </w:pPr>
      <w:r>
        <w:rPr>
          <w:noProof/>
        </w:rPr>
        <w:drawing>
          <wp:inline distT="0" distB="0" distL="0" distR="0" wp14:anchorId="7AF8B4B1" wp14:editId="50BF625F">
            <wp:extent cx="3025140" cy="2316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26459458" w14:textId="34EBF86F" w:rsidR="0056297D" w:rsidRDefault="0056297D" w:rsidP="003C7A46">
      <w:pPr>
        <w:pStyle w:val="Caption"/>
      </w:pPr>
      <w:bookmarkStart w:id="5" w:name="_Ref104468817"/>
      <w:r>
        <w:t>Figure S</w:t>
      </w:r>
      <w:fldSimple w:instr=" SEQ Figure \* ARABIC ">
        <w:r w:rsidR="00727084">
          <w:rPr>
            <w:noProof/>
          </w:rPr>
          <w:t>7</w:t>
        </w:r>
      </w:fldSimple>
      <w:bookmarkEnd w:id="5"/>
      <w:r>
        <w:t xml:space="preserve"> Atomic percentage of nitrogen based on the initial ethylenediamine content of the electrolyte </w:t>
      </w:r>
      <w:r w:rsidR="00D411B1">
        <w:t xml:space="preserve">in the </w:t>
      </w:r>
      <w:r w:rsidR="00D361CE">
        <w:t>case where the CNT ribbon behaves as an electrode.</w:t>
      </w:r>
    </w:p>
    <w:p w14:paraId="2383E383" w14:textId="46319B3D" w:rsidR="00647693" w:rsidRDefault="00647693" w:rsidP="003C7A46">
      <w:pPr>
        <w:pStyle w:val="Caption"/>
      </w:pPr>
      <w:r w:rsidRPr="00DE0D55">
        <w:t xml:space="preserve">Table </w:t>
      </w:r>
      <w:r w:rsidR="00A569EF" w:rsidRPr="00DE0D55">
        <w:t>S</w:t>
      </w:r>
      <w:fldSimple w:instr=" SEQ Table \* ARABIC ">
        <w:r w:rsidR="00727084">
          <w:rPr>
            <w:noProof/>
          </w:rPr>
          <w:t>1</w:t>
        </w:r>
      </w:fldSimple>
      <w:r w:rsidRPr="00DE0D55">
        <w:t xml:space="preserve"> The extreme limits found in the literature for the peak center for different bonding types within a high-resolution N 1s scan. These extremes were programmed as limits for the mathematical fitting of the obtained spectra.</w:t>
      </w:r>
    </w:p>
    <w:tbl>
      <w:tblPr>
        <w:tblStyle w:val="LightGrid"/>
        <w:tblW w:w="0" w:type="auto"/>
        <w:jc w:val="center"/>
        <w:tblLook w:val="04A0" w:firstRow="1" w:lastRow="0" w:firstColumn="1" w:lastColumn="0" w:noHBand="0" w:noVBand="1"/>
      </w:tblPr>
      <w:tblGrid>
        <w:gridCol w:w="2036"/>
        <w:gridCol w:w="1356"/>
        <w:gridCol w:w="1330"/>
        <w:gridCol w:w="1336"/>
      </w:tblGrid>
      <w:tr w:rsidR="00736DE5" w:rsidRPr="009C6B12" w14:paraId="21BD2B79" w14:textId="77777777" w:rsidTr="0064769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bottom w:val="single" w:sz="8" w:space="0" w:color="000000" w:themeColor="text1"/>
              <w:right w:val="single" w:sz="4" w:space="0" w:color="auto"/>
            </w:tcBorders>
            <w:noWrap/>
            <w:vAlign w:val="center"/>
            <w:hideMark/>
          </w:tcPr>
          <w:p w14:paraId="5D56F5ED" w14:textId="4D2F3B02" w:rsidR="00736DE5" w:rsidRPr="009C6B12" w:rsidRDefault="00736DE5" w:rsidP="009C6B12">
            <w:pPr>
              <w:spacing w:line="480" w:lineRule="auto"/>
              <w:jc w:val="center"/>
              <w:rPr>
                <w:rFonts w:cs="Times New Roman"/>
                <w:color w:val="000000"/>
                <w:sz w:val="24"/>
                <w:szCs w:val="24"/>
                <w:lang w:eastAsia="en-GB"/>
              </w:rPr>
            </w:pPr>
            <w:r w:rsidRPr="009C6B12">
              <w:rPr>
                <w:rFonts w:cs="Times New Roman"/>
                <w:color w:val="000000"/>
                <w:sz w:val="24"/>
                <w:szCs w:val="24"/>
                <w:lang w:eastAsia="en-GB"/>
              </w:rPr>
              <w:t>Bond</w:t>
            </w:r>
          </w:p>
        </w:tc>
        <w:tc>
          <w:tcPr>
            <w:tcW w:w="0" w:type="auto"/>
            <w:gridSpan w:val="2"/>
            <w:tcBorders>
              <w:top w:val="single" w:sz="4" w:space="0" w:color="auto"/>
              <w:left w:val="single" w:sz="4" w:space="0" w:color="auto"/>
              <w:bottom w:val="nil"/>
              <w:right w:val="single" w:sz="4" w:space="0" w:color="auto"/>
            </w:tcBorders>
            <w:noWrap/>
            <w:vAlign w:val="center"/>
            <w:hideMark/>
          </w:tcPr>
          <w:p w14:paraId="6C25721E" w14:textId="6CC95A1D" w:rsidR="00736DE5" w:rsidRPr="009C6B12" w:rsidRDefault="00736DE5" w:rsidP="009C6B1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Peak cent</w:t>
            </w:r>
            <w:r w:rsidR="00E27FFC" w:rsidRPr="009C6B12">
              <w:rPr>
                <w:rFonts w:cs="Times New Roman"/>
                <w:color w:val="000000"/>
                <w:sz w:val="24"/>
                <w:szCs w:val="24"/>
                <w:lang w:eastAsia="en-GB"/>
              </w:rPr>
              <w:t>er</w:t>
            </w:r>
            <w:r w:rsidRPr="009C6B12">
              <w:rPr>
                <w:rFonts w:cs="Times New Roman"/>
                <w:color w:val="000000"/>
                <w:sz w:val="24"/>
                <w:szCs w:val="24"/>
                <w:lang w:eastAsia="en-GB"/>
              </w:rPr>
              <w:t xml:space="preserve"> (eV)</w:t>
            </w:r>
          </w:p>
        </w:tc>
        <w:tc>
          <w:tcPr>
            <w:tcW w:w="1336" w:type="dxa"/>
            <w:vMerge w:val="restart"/>
            <w:tcBorders>
              <w:left w:val="single" w:sz="4" w:space="0" w:color="auto"/>
              <w:bottom w:val="single" w:sz="8" w:space="0" w:color="000000" w:themeColor="text1"/>
            </w:tcBorders>
            <w:noWrap/>
            <w:vAlign w:val="center"/>
            <w:hideMark/>
          </w:tcPr>
          <w:p w14:paraId="7397CDC0" w14:textId="77777777" w:rsidR="00736DE5" w:rsidRPr="009C6B12" w:rsidRDefault="00736DE5" w:rsidP="009C6B1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References</w:t>
            </w:r>
          </w:p>
        </w:tc>
      </w:tr>
      <w:tr w:rsidR="00736DE5" w:rsidRPr="009C6B12" w14:paraId="2CF4245F" w14:textId="77777777" w:rsidTr="00C34C9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right w:val="single" w:sz="4" w:space="0" w:color="000000" w:themeColor="text1"/>
            </w:tcBorders>
            <w:vAlign w:val="center"/>
            <w:hideMark/>
          </w:tcPr>
          <w:p w14:paraId="71398A02" w14:textId="77777777" w:rsidR="00736DE5" w:rsidRPr="009C6B12" w:rsidRDefault="00736DE5" w:rsidP="009C6B12">
            <w:pPr>
              <w:spacing w:line="480" w:lineRule="auto"/>
              <w:jc w:val="left"/>
              <w:rPr>
                <w:rFonts w:cs="Times New Roman"/>
                <w:color w:val="000000"/>
                <w:sz w:val="24"/>
                <w:szCs w:val="24"/>
                <w:lang w:eastAsia="en-GB"/>
              </w:rPr>
            </w:pPr>
          </w:p>
        </w:tc>
        <w:tc>
          <w:tcPr>
            <w:tcW w:w="0" w:type="auto"/>
            <w:tcBorders>
              <w:top w:val="nil"/>
              <w:left w:val="single" w:sz="4" w:space="0" w:color="auto"/>
              <w:bottom w:val="single" w:sz="4" w:space="0" w:color="auto"/>
              <w:right w:val="nil"/>
            </w:tcBorders>
            <w:shd w:val="clear" w:color="auto" w:fill="auto"/>
            <w:noWrap/>
            <w:vAlign w:val="center"/>
            <w:hideMark/>
          </w:tcPr>
          <w:p w14:paraId="477072C0" w14:textId="77777777" w:rsidR="00736DE5" w:rsidRPr="009C6B12" w:rsidRDefault="00736DE5"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Lower limit</w:t>
            </w:r>
          </w:p>
        </w:tc>
        <w:tc>
          <w:tcPr>
            <w:tcW w:w="0" w:type="auto"/>
            <w:tcBorders>
              <w:top w:val="nil"/>
              <w:left w:val="nil"/>
              <w:bottom w:val="single" w:sz="4" w:space="0" w:color="auto"/>
            </w:tcBorders>
            <w:shd w:val="clear" w:color="auto" w:fill="auto"/>
            <w:noWrap/>
            <w:vAlign w:val="center"/>
            <w:hideMark/>
          </w:tcPr>
          <w:p w14:paraId="3FEF0BB0" w14:textId="77777777" w:rsidR="00736DE5" w:rsidRPr="009C6B12" w:rsidRDefault="00736DE5"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Upper limit</w:t>
            </w:r>
          </w:p>
        </w:tc>
        <w:tc>
          <w:tcPr>
            <w:tcW w:w="0" w:type="auto"/>
            <w:vMerge/>
            <w:tcBorders>
              <w:left w:val="single" w:sz="4" w:space="0" w:color="000000" w:themeColor="text1"/>
              <w:bottom w:val="single" w:sz="4" w:space="0" w:color="auto"/>
            </w:tcBorders>
            <w:vAlign w:val="center"/>
            <w:hideMark/>
          </w:tcPr>
          <w:p w14:paraId="50A033E8" w14:textId="77777777" w:rsidR="00736DE5" w:rsidRPr="009C6B12" w:rsidRDefault="00736DE5" w:rsidP="009C6B12">
            <w:pPr>
              <w:spacing w:line="480" w:lineRule="auto"/>
              <w:jc w:val="left"/>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lang w:eastAsia="en-GB"/>
              </w:rPr>
            </w:pPr>
          </w:p>
        </w:tc>
      </w:tr>
      <w:tr w:rsidR="00736DE5" w:rsidRPr="009C6B12" w14:paraId="0CB879A5" w14:textId="77777777" w:rsidTr="006476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2D24293A" w14:textId="77777777" w:rsidR="00736DE5" w:rsidRPr="009C6B12" w:rsidRDefault="00736DE5" w:rsidP="009C6B12">
            <w:pPr>
              <w:spacing w:line="480" w:lineRule="auto"/>
              <w:jc w:val="center"/>
              <w:rPr>
                <w:rFonts w:cs="Times New Roman"/>
                <w:b w:val="0"/>
                <w:color w:val="000000"/>
                <w:sz w:val="24"/>
                <w:szCs w:val="24"/>
                <w:lang w:eastAsia="en-GB"/>
              </w:rPr>
            </w:pPr>
            <w:r w:rsidRPr="009C6B12">
              <w:rPr>
                <w:rFonts w:cs="Times New Roman"/>
                <w:b w:val="0"/>
                <w:color w:val="000000"/>
                <w:sz w:val="24"/>
                <w:szCs w:val="24"/>
                <w:lang w:eastAsia="en-GB"/>
              </w:rPr>
              <w:t>Pyridinic</w:t>
            </w:r>
          </w:p>
        </w:tc>
        <w:tc>
          <w:tcPr>
            <w:tcW w:w="0" w:type="auto"/>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5F4E724E" w14:textId="77777777" w:rsidR="00736DE5" w:rsidRPr="009C6B12" w:rsidRDefault="00736DE5" w:rsidP="009C6B12">
            <w:pPr>
              <w:spacing w:line="480"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398.3</w:t>
            </w:r>
          </w:p>
        </w:tc>
        <w:tc>
          <w:tcPr>
            <w:tcW w:w="0" w:type="auto"/>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5F840B2D" w14:textId="77777777" w:rsidR="00736DE5" w:rsidRPr="009C6B12" w:rsidRDefault="00736DE5" w:rsidP="009C6B12">
            <w:pPr>
              <w:spacing w:line="480"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399.1</w:t>
            </w:r>
          </w:p>
        </w:tc>
        <w:tc>
          <w:tcPr>
            <w:tcW w:w="1336" w:type="dxa"/>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67ADAC50" w14:textId="61AE73F7" w:rsidR="00736DE5" w:rsidRPr="009C6B12" w:rsidRDefault="00736DE5" w:rsidP="009C6B12">
            <w:pPr>
              <w:spacing w:line="480"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sz w:val="24"/>
                <w:szCs w:val="24"/>
                <w:lang w:eastAsia="en-GB"/>
              </w:rPr>
            </w:pPr>
            <w:r w:rsidRPr="009C6B12">
              <w:rPr>
                <w:rFonts w:cs="Times New Roman"/>
                <w:color w:val="000000"/>
                <w:szCs w:val="24"/>
                <w:lang w:eastAsia="en-GB"/>
              </w:rPr>
              <w:fldChar w:fldCharType="begin" w:fldLock="1"/>
            </w:r>
            <w:r w:rsidR="002D5C5F">
              <w:rPr>
                <w:rFonts w:cs="Times New Roman"/>
                <w:color w:val="000000"/>
                <w:sz w:val="24"/>
                <w:szCs w:val="24"/>
                <w:lang w:eastAsia="en-GB"/>
              </w:rPr>
              <w:instrText>ADDIN CSL_CITATION {"citationItems":[{"id":"ITEM-1","itemData":{"DOI":"10.1039/c6cy00796a","ISSN":"20444761","abstract":" Two different synthetic approaches to carbon nanotube N-decoration/doping are used to foster the hypothesis of a unique N-configuration ( N -pyridinic) at work in the ORR.  In this paper, we describe the combination of two different synthetic approaches to carbon nanotube N-decoration/doping: the chemical functionalization with tailored N -pyridinic groups and the classical Chemical Vapor Deposition (CVD) technique. Accordingly, CVD-prepared N-doped CNMs (NMWs) and their N-decorated (chemically functionalized) counterparts (NMW@N 1,2 ) have been prepared and used as metal-free electrocatalysts for the oxygen reduction reaction (ORR). It has been demonstrated that chemical functionalization occurs on the NMW surface sites responsible for their inherent electrochemical properties and “switches them off”. As a result, the ORR promoted by NMW@N 1,2 is fully controlled by the appended N-heterocycles. A comparative analysis of N-functionalized samples and N-doped (CVD prepared) materials is used to foster the hypothesis of a unique N-configuration ( N -pyridinic) responsible for the overall electrochemical performance in NMWs. In addition to that, original electrochemical insights unveiled during the study are discussed and the truly metal-free action of NMW in ORR catalysis is demonstrated. ","author":[{"dropping-particle":"","family":"Tuci","given":"Giulia","non-dropping-particle":"","parse-names":false,"suffix":""},{"dropping-particle":"","family":"Zafferoni","given":"Claudio","non-dropping-particle":"","parse-names":false,"suffix":""},{"dropping-particle":"","family":"Rossin","given":"Andrea","non-dropping-particle":"","parse-names":false,"suffix":""},{"dropping-particle":"","family":"Luconi","given":"Lapo","non-dropping-particle":"","parse-names":false,"suffix":""},{"dropping-particle":"","family":"Milella","given":"Antonella","non-dropping-particle":"","parse-names":false,"suffix":""},{"dropping-particle":"","family":"Ceppatelli","given":"Matteo","non-dropping-particle":"","parse-names":false,"suffix":""},{"dropping-particle":"","family":"Innocenti","given":"Massimo","non-dropping-particle":"","parse-names":false,"suffix":""},{"dropping-particle":"","family":"Liu","given":"Yuefeng","non-dropping-particle":"","parse-names":false,"suffix":""},{"dropping-particle":"","family":"Pham-Huu","given":"Cuong","non-dropping-particle":"","parse-names":false,"suffix":""},{"dropping-particle":"","family":"Giambastiani","given":"Giuliano","non-dropping-particle":"","parse-names":false,"suffix":""}],"container-title":"Catalysis Science and Technology","id":"ITEM-1","issue":"16","issued":{"date-parts":[["2016"]]},"page":"6226-6236","publisher":"Royal Society of Chemistry","title":"Chemical functionalization of N-doped carbon nanotubes: A powerful approach to cast light on the electrochemical role of specific N-functionalities in the oxygen reduction reaction","type":"article-journal","volume":"6"},"uris":["http://www.mendeley.com/documents/?uuid=620a63f5-1386-4fb0-a54a-79258bb994d4"]},{"id":"ITEM-2","itemData":{"DOI":"10.1016/0008-6223(91)90006-5","ISSN":"00086223","author":[{"dropping-particle":"","family":"Stöhr","given":"Brigitte","non-dropping-particle":"","parse-names":false,"suffix":""},{"dropping-particle":"","family":"Boehm","given":"H.P.","non-dropping-particle":"","parse-names":false,"suffix":""},{"dropping-particle":"","family":"Schlögl","given":"R.","non-dropping-particle":"","parse-names":false,"suffix":""}],"container-title":"Carbon","id":"ITEM-2","issue":"6","issued":{"date-parts":[["1991"]]},"page":"707-720","title":"Enhancement of the catalytic activity of activated carbons in oxidation reactions by thermal treatment with ammonia or hydrogen cyanide and observation of a superoxide species as a possible intermediate","type":"article-journal","volume":"29"},"uris":["http://www.mendeley.com/documents/?uuid=3d5949a3-6d68-46ad-ae41-662e29f17140"]},{"id":"ITEM-3","itemData":{"DOI":"10.1016/0008-6223(95)00154-6","ISSN":"00086223","author":[{"dropping-particle":"","family":"Pels","given":"J.R.","non-dropping-particle":"","parse-names":false,"suffix":""},{"dropping-particle":"","family":"Kapteijn","given":"F.","non-dropping-particle":"","parse-names":false,"suffix":""},{"dropping-particle":"","family":"Moulijn","given":"J.A.","non-dropping-particle":"","parse-names":false,"suffix":""},{"dropping-particle":"","family":"Zhu","given":"Q.","non-dropping-particle":"","parse-names":false,"suffix":""},{"dropping-particle":"","family":"Thomas","given":"K.M.","non-dropping-particle":"","parse-names":false,"suffix":""}],"container-title":"Carbon","id":"ITEM-3","issue":"11","issued":{"date-parts":[["1995"]]},"page":"1641-1653","title":"Evolution of nitrogen functionalities in carbonaceous materials during pyrolysis","type":"article-journal","volume":"33"},"uris":["http://www.mendeley.com/documents/?uuid=ce3929c5-4dfc-4941-80af-961f42fdeb03"]},{"id":"ITEM-4","itemData":{"DOI":"10.1016/j.carbon.2009.12.045","ISSN":"00086223","author":[{"dropping-particle":"","family":"Liu","given":"Hao","non-dropping-particle":"","parse-names":false,"suffix":""},{"dropping-particle":"","family":"Zhang","given":"Yong","non-dropping-particle":"","parse-names":false,"suffix":""},{"dropping-particle":"","family":"Li","given":"Ruying","non-dropping-particle":"","parse-names":false,"suffix":""},{"dropping-particle":"","family":"Sun","given":"Xueliang","non-dropping-particle":"","parse-names":false,"suffix":""},{"dropping-particle":"","family":"Désilets","given":"Sylvain","non-dropping-particle":"","parse-names":false,"suffix":""},{"dropping-particle":"","family":"Abou-Rachid","given":"Hakima","non-dropping-particle":"","parse-names":false,"suffix":""},{"dropping-particle":"","family":"Jaidann","given":"Mounir","non-dropping-particle":"","parse-names":false,"suffix":""},{"dropping-particle":"","family":"Lussier","given":"Louis-Simon","non-dropping-particle":"","parse-names":false,"suffix":""}],"container-title":"Carbon","id":"ITEM-4","issue":"5","issued":{"date-parts":[["2010","4"]]},"page":"1498-1507","title":"Structural and morphological control of aligned nitrogen-doped carbon nanotubes","type":"article-journal","volume":"48"},"uris":["http://www.mendeley.com/documents/?uuid=0d5475d7-f2b9-4709-a1a3-80068ffa1935"]},{"id":"ITEM-5","itemData":{"DOI":"10.1002/adma.201506197","ISSN":"09359648","author":[{"dropping-particle":"","family":"Liu","given":"Zhao-Qing","non-dropping-particle":"","parse-names":false,"suffix":""},{"dropping-particle":"","family":"Cheng","given":"Hui","non-dropping-particle":"","parse-names":false,"suffix":""},{"dropping-particle":"","family":"Li","given":"Nan","non-dropping-particle":"","parse-names":false,"suffix":""},{"dropping-particle":"","family":"Ma","given":"Tian Yi","non-dropping-particle":"","parse-names":false,"suffix":""},{"dropping-particle":"","family":"Su","given":"Yu-Zhi","non-dropping-particle":"","parse-names":false,"suffix":""}],"container-title":"Advanced Materials","id":"ITEM-5","issue":"19","issued":{"date-parts":[["2016","5"]]},"page":"3777-3784","title":"ZnCo 2 O 4 Quantum Dots Anchored on Nitrogen-Doped Carbon Nanotubes as Reversible Oxygen Reduction/Evolution Electrocatalysts","type":"article-journal","volume":"28"},"uris":["http://www.mendeley.com/documents/?uuid=6dd4df19-ec60-4250-8c6e-31c74d6dcdbe"]},{"id":"ITEM-6","itemData":{"DOI":"10.1002/anie.201410050","ISSN":"14337851","author":[{"dropping-particle":"","family":"Ito","given":"Yoshikazu","non-dropping-particle":"","parse-names":false,"suffix":""},{"dropping-particle":"","family":"Cong","given":"Weitao","non-dropping-particle":"","parse-names":false,"suffix":""},{"dropping-particle":"","family":"Fujita","given":"Takeshi","non-dropping-particle":"","parse-names":false,"suffix":""},{"dropping-particle":"","family":"Tang","given":"Zheng","non-dropping-particle":"","parse-names":false,"suffix":""},{"dropping-particle":"","family":"Chen","given":"Mingwei","non-dropping-particle":"","parse-names":false,"suffix":""}],"container-title":"Angewandte Chemie International Edition","id":"ITEM-6","issue":"7","issued":{"date-parts":[["2015","2","9"]]},"page":"2131-2136","title":"High Catalytic Activity of Nitrogen and Sulfur Co-Doped Nanoporous Graphene in the Hydrogen Evolution Reaction","type":"article-journal","volume":"54"},"uris":["http://www.mendeley.com/documents/?uuid=0bee97e9-9bfa-478d-950f-b506eba08873"]},{"id":"ITEM-7","itemData":{"DOI":"10.1039/C7SE00158D","ISSN":"2398-4902","abstract":"N-CQDs are synthesized using a green, environmentally friendly microplasma and employed in solar cells, achieving a V OC of 1.8 V.","author":[{"dropping-particle":"","family":"Carolan","given":"Darragh","non-dropping-particle":"","parse-names":false,"suffix":""},{"dropping-particle":"","family":"Rocks","given":"Conor","non-dropping-particle":"","parse-names":false,"suffix":""},{"dropping-particle":"","family":"Padmanaban","given":"Dilli Babu","non-dropping-particle":"","parse-names":false,"suffix":""},{"dropping-particle":"","family":"Maguire","given":"Paul","non-dropping-particle":"","parse-names":false,"suffix":""},{"dropping-particle":"","family":"Svrcek","given":"Vladimir","non-dropping-particle":"","parse-names":false,"suffix":""},{"dropping-particle":"","family":"Mariotti","given":"Davide","non-dropping-particle":"","parse-names":false,"suffix":""}],"container-title":"Sustainable Energy &amp; Fuels","id":"ITEM-7","issue":"7","issued":{"date-parts":[["2017"]]},"page":"1611-1619","title":"Environmentally friendly nitrogen-doped carbon quantum dots for next generation solar cells","type":"article-journal","volume":"1"},"uris":["http://www.mendeley.com/documents/?uuid=dcbc9daf-2238-49af-8df1-2fab136ee77c"]},{"id":"ITEM-8","itemData":{"DOI":"10.1039/c1jm12829a","ISSN":"0959-9428","author":[{"dropping-particle":"","family":"Iyer","given":"Ganjigunte R. S.","non-dropping-particle":"","parse-names":false,"suffix":""},{"dropping-particle":"","family":"Maguire","given":"Paul D.","non-dropping-particle":"","parse-names":false,"suffix":""}],"container-title":"Journal of Materials Chemistry","id":"ITEM-8","issue":"40","issued":{"date-parts":[["2011"]]},"page":"16162","title":"Metal free, end-opened, selective nitrogen-doped vertically aligned carbon nanotubes by a single step in situ low energy plasma process","type":"article-journal","volume":"21"},"uris":["http://www.mendeley.com/documents/?uuid=cee2cae5-52ca-4121-bd30-7ab4609ef01c"]}],"mendeley":{"formattedCitation":"[1–8]","plainTextFormattedCitation":"[1–8]","previouslyFormattedCitation":"[1–8]"},"properties":{"noteIndex":0},"schema":"https://github.com/citation-style-language/schema/raw/master/csl-citation.json"}</w:instrText>
            </w:r>
            <w:r w:rsidRPr="009C6B12">
              <w:rPr>
                <w:rFonts w:cs="Times New Roman"/>
                <w:color w:val="000000"/>
                <w:szCs w:val="24"/>
                <w:lang w:eastAsia="en-GB"/>
              </w:rPr>
              <w:fldChar w:fldCharType="separate"/>
            </w:r>
            <w:r w:rsidR="00260BFB" w:rsidRPr="003A4DDB">
              <w:rPr>
                <w:rFonts w:cs="Times New Roman"/>
                <w:noProof/>
                <w:color w:val="000000"/>
                <w:sz w:val="24"/>
                <w:szCs w:val="24"/>
                <w:lang w:eastAsia="en-GB"/>
              </w:rPr>
              <w:t>[1–8]</w:t>
            </w:r>
            <w:r w:rsidRPr="009C6B12">
              <w:rPr>
                <w:rFonts w:cs="Times New Roman"/>
                <w:color w:val="000000"/>
                <w:szCs w:val="24"/>
                <w:lang w:eastAsia="en-GB"/>
              </w:rPr>
              <w:fldChar w:fldCharType="end"/>
            </w:r>
          </w:p>
        </w:tc>
      </w:tr>
      <w:tr w:rsidR="00736DE5" w:rsidRPr="009C6B12" w14:paraId="376C575D" w14:textId="77777777" w:rsidTr="006476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auto"/>
              <w:bottom w:val="nil"/>
              <w:right w:val="single" w:sz="4" w:space="0" w:color="auto"/>
            </w:tcBorders>
            <w:shd w:val="clear" w:color="auto" w:fill="auto"/>
            <w:noWrap/>
            <w:vAlign w:val="center"/>
            <w:hideMark/>
          </w:tcPr>
          <w:p w14:paraId="1C1F56BB" w14:textId="77777777" w:rsidR="00736DE5" w:rsidRPr="009C6B12" w:rsidRDefault="00736DE5" w:rsidP="009C6B12">
            <w:pPr>
              <w:spacing w:line="480" w:lineRule="auto"/>
              <w:jc w:val="center"/>
              <w:rPr>
                <w:rFonts w:cs="Times New Roman"/>
                <w:b w:val="0"/>
                <w:color w:val="000000"/>
                <w:sz w:val="24"/>
                <w:szCs w:val="24"/>
                <w:lang w:eastAsia="en-GB"/>
              </w:rPr>
            </w:pPr>
            <w:r w:rsidRPr="009C6B12">
              <w:rPr>
                <w:rFonts w:cs="Times New Roman"/>
                <w:b w:val="0"/>
                <w:color w:val="000000"/>
                <w:sz w:val="24"/>
                <w:szCs w:val="24"/>
                <w:lang w:eastAsia="en-GB"/>
              </w:rPr>
              <w:t>Amine</w:t>
            </w:r>
          </w:p>
        </w:tc>
        <w:tc>
          <w:tcPr>
            <w:tcW w:w="0" w:type="auto"/>
            <w:tcBorders>
              <w:top w:val="nil"/>
              <w:left w:val="single" w:sz="4" w:space="0" w:color="auto"/>
              <w:bottom w:val="nil"/>
              <w:right w:val="single" w:sz="4" w:space="0" w:color="auto"/>
            </w:tcBorders>
            <w:shd w:val="clear" w:color="auto" w:fill="auto"/>
            <w:noWrap/>
            <w:vAlign w:val="center"/>
            <w:hideMark/>
          </w:tcPr>
          <w:p w14:paraId="794F08B7" w14:textId="77777777" w:rsidR="00736DE5" w:rsidRPr="009C6B12" w:rsidRDefault="00736DE5"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399.3</w:t>
            </w:r>
          </w:p>
        </w:tc>
        <w:tc>
          <w:tcPr>
            <w:tcW w:w="0" w:type="auto"/>
            <w:tcBorders>
              <w:top w:val="nil"/>
              <w:left w:val="single" w:sz="4" w:space="0" w:color="auto"/>
              <w:bottom w:val="nil"/>
              <w:right w:val="single" w:sz="4" w:space="0" w:color="auto"/>
            </w:tcBorders>
            <w:shd w:val="clear" w:color="auto" w:fill="auto"/>
            <w:noWrap/>
            <w:vAlign w:val="center"/>
            <w:hideMark/>
          </w:tcPr>
          <w:p w14:paraId="680E4AF1" w14:textId="77777777" w:rsidR="00736DE5" w:rsidRPr="009C6B12" w:rsidRDefault="00736DE5"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399.9</w:t>
            </w:r>
          </w:p>
        </w:tc>
        <w:tc>
          <w:tcPr>
            <w:tcW w:w="1336" w:type="dxa"/>
            <w:tcBorders>
              <w:top w:val="nil"/>
              <w:left w:val="single" w:sz="4" w:space="0" w:color="auto"/>
              <w:bottom w:val="nil"/>
              <w:right w:val="single" w:sz="4" w:space="0" w:color="auto"/>
            </w:tcBorders>
            <w:shd w:val="clear" w:color="auto" w:fill="auto"/>
            <w:noWrap/>
            <w:vAlign w:val="center"/>
            <w:hideMark/>
          </w:tcPr>
          <w:p w14:paraId="075DE023" w14:textId="1395C50F" w:rsidR="00736DE5" w:rsidRPr="009C6B12" w:rsidRDefault="00736DE5"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eastAsia="en-GB"/>
              </w:rPr>
            </w:pPr>
            <w:r w:rsidRPr="009C6B12">
              <w:rPr>
                <w:rFonts w:cs="Times New Roman"/>
                <w:color w:val="000000"/>
                <w:szCs w:val="24"/>
                <w:lang w:eastAsia="en-GB"/>
              </w:rPr>
              <w:fldChar w:fldCharType="begin" w:fldLock="1"/>
            </w:r>
            <w:r w:rsidR="002D5C5F">
              <w:rPr>
                <w:rFonts w:cs="Times New Roman"/>
                <w:color w:val="000000"/>
                <w:sz w:val="24"/>
                <w:szCs w:val="24"/>
                <w:lang w:eastAsia="en-GB"/>
              </w:rPr>
              <w:instrText>ADDIN CSL_CITATION {"citationItems":[{"id":"ITEM-1","itemData":{"DOI":"10.1039/c6cy00796a","ISSN":"20444761","abstract":" Two different synthetic approaches to carbon nanotube N-decoration/doping are used to foster the hypothesis of a unique N-configuration ( N -pyridinic) at work in the ORR.  In this paper, we describe the combination of two different synthetic approaches to carbon nanotube N-decoration/doping: the chemical functionalization with tailored N -pyridinic groups and the classical Chemical Vapor Deposition (CVD) technique. Accordingly, CVD-prepared N-doped CNMs (NMWs) and their N-decorated (chemically functionalized) counterparts (NMW@N 1,2 ) have been prepared and used as metal-free electrocatalysts for the oxygen reduction reaction (ORR). It has been demonstrated that chemical functionalization occurs on the NMW surface sites responsible for their inherent electrochemical properties and “switches them off”. As a result, the ORR promoted by NMW@N 1,2 is fully controlled by the appended N-heterocycles. A comparative analysis of N-functionalized samples and N-doped (CVD prepared) materials is used to foster the hypothesis of a unique N-configuration ( N -pyridinic) responsible for the overall electrochemical performance in NMWs. In addition to that, original electrochemical insights unveiled during the study are discussed and the truly metal-free action of NMW in ORR catalysis is demonstrated. ","author":[{"dropping-particle":"","family":"Tuci","given":"Giulia","non-dropping-particle":"","parse-names":false,"suffix":""},{"dropping-particle":"","family":"Zafferoni","given":"Claudio","non-dropping-particle":"","parse-names":false,"suffix":""},{"dropping-particle":"","family":"Rossin","given":"Andrea","non-dropping-particle":"","parse-names":false,"suffix":""},{"dropping-particle":"","family":"Luconi","given":"Lapo","non-dropping-particle":"","parse-names":false,"suffix":""},{"dropping-particle":"","family":"Milella","given":"Antonella","non-dropping-particle":"","parse-names":false,"suffix":""},{"dropping-particle":"","family":"Ceppatelli","given":"Matteo","non-dropping-particle":"","parse-names":false,"suffix":""},{"dropping-particle":"","family":"Innocenti","given":"Massimo","non-dropping-particle":"","parse-names":false,"suffix":""},{"dropping-particle":"","family":"Liu","given":"Yuefeng","non-dropping-particle":"","parse-names":false,"suffix":""},{"dropping-particle":"","family":"Pham-Huu","given":"Cuong","non-dropping-particle":"","parse-names":false,"suffix":""},{"dropping-particle":"","family":"Giambastiani","given":"Giuliano","non-dropping-particle":"","parse-names":false,"suffix":""}],"container-title":"Catalysis Science and Technology","id":"ITEM-1","issue":"16","issued":{"date-parts":[["2016"]]},"page":"6226-6236","publisher":"Royal Society of Chemistry","title":"Chemical functionalization of N-doped carbon nanotubes: A powerful approach to cast light on the electrochemical role of specific N-functionalities in the oxygen reduction reaction","type":"article-journal","volume":"6"},"uris":["http://www.mendeley.com/documents/?uuid=620a63f5-1386-4fb0-a54a-79258bb994d4"]},{"id":"ITEM-2","itemData":{"DOI":"10.1039/C7SE00158D","ISSN":"2398-4902","abstract":"N-CQDs are synthesized using a green, environmentally friendly microplasma and employed in solar cells, achieving a V OC of 1.8 V.","author":[{"dropping-particle":"","family":"Carolan","given":"Darragh","non-dropping-particle":"","parse-names":false,"suffix":""},{"dropping-particle":"","family":"Rocks","given":"Conor","non-dropping-particle":"","parse-names":false,"suffix":""},{"dropping-particle":"","family":"Padmanaban","given":"Dilli Babu","non-dropping-particle":"","parse-names":false,"suffix":""},{"dropping-particle":"","family":"Maguire","given":"Paul","non-dropping-particle":"","parse-names":false,"suffix":""},{"dropping-particle":"","family":"Svrcek","given":"Vladimir","non-dropping-particle":"","parse-names":false,"suffix":""},{"dropping-particle":"","family":"Mariotti","given":"Davide","non-dropping-particle":"","parse-names":false,"suffix":""}],"container-title":"Sustainable Energy &amp; Fuels","id":"ITEM-2","issue":"7","issued":{"date-parts":[["2017"]]},"page":"1611-1619","title":"Environmentally friendly nitrogen-doped carbon quantum dots for next generation solar cells","type":"article-journal","volume":"1"},"uris":["http://www.mendeley.com/documents/?uuid=dcbc9daf-2238-49af-8df1-2fab136ee77c"]}],"mendeley":{"formattedCitation":"[1,7]","plainTextFormattedCitation":"[1,7]","previouslyFormattedCitation":"[1,7]"},"properties":{"noteIndex":0},"schema":"https://github.com/citation-style-language/schema/raw/master/csl-citation.json"}</w:instrText>
            </w:r>
            <w:r w:rsidRPr="009C6B12">
              <w:rPr>
                <w:rFonts w:cs="Times New Roman"/>
                <w:color w:val="000000"/>
                <w:szCs w:val="24"/>
                <w:lang w:eastAsia="en-GB"/>
              </w:rPr>
              <w:fldChar w:fldCharType="separate"/>
            </w:r>
            <w:r w:rsidR="00260BFB" w:rsidRPr="003A4DDB">
              <w:rPr>
                <w:rFonts w:cs="Times New Roman"/>
                <w:noProof/>
                <w:color w:val="000000"/>
                <w:sz w:val="24"/>
                <w:szCs w:val="24"/>
                <w:lang w:eastAsia="en-GB"/>
              </w:rPr>
              <w:t>[1,7]</w:t>
            </w:r>
            <w:r w:rsidRPr="009C6B12">
              <w:rPr>
                <w:rFonts w:cs="Times New Roman"/>
                <w:color w:val="000000"/>
                <w:szCs w:val="24"/>
                <w:lang w:eastAsia="en-GB"/>
              </w:rPr>
              <w:fldChar w:fldCharType="end"/>
            </w:r>
          </w:p>
        </w:tc>
      </w:tr>
      <w:tr w:rsidR="00736DE5" w:rsidRPr="009C6B12" w14:paraId="0ADE10EA" w14:textId="77777777" w:rsidTr="006476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auto"/>
              <w:bottom w:val="nil"/>
              <w:right w:val="single" w:sz="4" w:space="0" w:color="auto"/>
            </w:tcBorders>
            <w:shd w:val="clear" w:color="auto" w:fill="BFBFBF" w:themeFill="background1" w:themeFillShade="BF"/>
            <w:noWrap/>
            <w:vAlign w:val="center"/>
            <w:hideMark/>
          </w:tcPr>
          <w:p w14:paraId="52604A8C" w14:textId="77777777" w:rsidR="00736DE5" w:rsidRPr="009C6B12" w:rsidRDefault="00736DE5" w:rsidP="009C6B12">
            <w:pPr>
              <w:spacing w:line="480" w:lineRule="auto"/>
              <w:jc w:val="center"/>
              <w:rPr>
                <w:rFonts w:cs="Times New Roman"/>
                <w:b w:val="0"/>
                <w:color w:val="000000"/>
                <w:sz w:val="24"/>
                <w:szCs w:val="24"/>
                <w:lang w:eastAsia="en-GB"/>
              </w:rPr>
            </w:pPr>
            <w:r w:rsidRPr="009C6B12">
              <w:rPr>
                <w:rFonts w:cs="Times New Roman"/>
                <w:b w:val="0"/>
                <w:color w:val="000000"/>
                <w:sz w:val="24"/>
                <w:szCs w:val="24"/>
                <w:lang w:eastAsia="en-GB"/>
              </w:rPr>
              <w:t>Pyrollic</w:t>
            </w:r>
          </w:p>
        </w:tc>
        <w:tc>
          <w:tcPr>
            <w:tcW w:w="0" w:type="auto"/>
            <w:tcBorders>
              <w:top w:val="nil"/>
              <w:left w:val="single" w:sz="4" w:space="0" w:color="auto"/>
              <w:bottom w:val="nil"/>
              <w:right w:val="single" w:sz="4" w:space="0" w:color="auto"/>
            </w:tcBorders>
            <w:shd w:val="clear" w:color="auto" w:fill="BFBFBF" w:themeFill="background1" w:themeFillShade="BF"/>
            <w:noWrap/>
            <w:vAlign w:val="center"/>
            <w:hideMark/>
          </w:tcPr>
          <w:p w14:paraId="5318CCCD" w14:textId="77777777" w:rsidR="00736DE5" w:rsidRPr="009C6B12" w:rsidRDefault="00736DE5" w:rsidP="009C6B12">
            <w:pPr>
              <w:spacing w:line="480"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400.0</w:t>
            </w:r>
          </w:p>
        </w:tc>
        <w:tc>
          <w:tcPr>
            <w:tcW w:w="0" w:type="auto"/>
            <w:tcBorders>
              <w:top w:val="nil"/>
              <w:left w:val="single" w:sz="4" w:space="0" w:color="auto"/>
              <w:bottom w:val="nil"/>
              <w:right w:val="single" w:sz="4" w:space="0" w:color="auto"/>
            </w:tcBorders>
            <w:shd w:val="clear" w:color="auto" w:fill="BFBFBF" w:themeFill="background1" w:themeFillShade="BF"/>
            <w:noWrap/>
            <w:vAlign w:val="center"/>
            <w:hideMark/>
          </w:tcPr>
          <w:p w14:paraId="7975BC8B" w14:textId="77777777" w:rsidR="00736DE5" w:rsidRPr="009C6B12" w:rsidRDefault="00736DE5" w:rsidP="009C6B12">
            <w:pPr>
              <w:spacing w:line="480"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400.6</w:t>
            </w:r>
          </w:p>
        </w:tc>
        <w:tc>
          <w:tcPr>
            <w:tcW w:w="1336" w:type="dxa"/>
            <w:tcBorders>
              <w:top w:val="nil"/>
              <w:left w:val="single" w:sz="4" w:space="0" w:color="auto"/>
              <w:bottom w:val="nil"/>
              <w:right w:val="single" w:sz="4" w:space="0" w:color="auto"/>
            </w:tcBorders>
            <w:shd w:val="clear" w:color="auto" w:fill="BFBFBF" w:themeFill="background1" w:themeFillShade="BF"/>
            <w:noWrap/>
            <w:vAlign w:val="center"/>
            <w:hideMark/>
          </w:tcPr>
          <w:p w14:paraId="34CF2C2A" w14:textId="15273DF9" w:rsidR="00736DE5" w:rsidRPr="009C6B12" w:rsidRDefault="00736DE5" w:rsidP="009C6B12">
            <w:pPr>
              <w:spacing w:line="480"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sz w:val="24"/>
                <w:szCs w:val="24"/>
                <w:lang w:eastAsia="en-GB"/>
              </w:rPr>
            </w:pPr>
            <w:r w:rsidRPr="009C6B12">
              <w:rPr>
                <w:rFonts w:cs="Times New Roman"/>
                <w:color w:val="000000"/>
                <w:szCs w:val="24"/>
                <w:lang w:eastAsia="en-GB"/>
              </w:rPr>
              <w:fldChar w:fldCharType="begin" w:fldLock="1"/>
            </w:r>
            <w:r w:rsidR="002D5C5F">
              <w:rPr>
                <w:rFonts w:cs="Times New Roman"/>
                <w:color w:val="000000"/>
                <w:sz w:val="24"/>
                <w:szCs w:val="24"/>
                <w:lang w:eastAsia="en-GB"/>
              </w:rPr>
              <w:instrText>ADDIN CSL_CITATION {"citationItems":[{"id":"ITEM-1","itemData":{"DOI":"10.1039/c6cy00796a","ISSN":"20444761","abstract":" Two different synthetic approaches to carbon nanotube N-decoration/doping are used to foster the hypothesis of a unique N-configuration ( N -pyridinic) at work in the ORR.  In this paper, we describe the combination of two different synthetic approaches to carbon nanotube N-decoration/doping: the chemical functionalization with tailored N -pyridinic groups and the classical Chemical Vapor Deposition (CVD) technique. Accordingly, CVD-prepared N-doped CNMs (NMWs) and their N-decorated (chemically functionalized) counterparts (NMW@N 1,2 ) have been prepared and used as metal-free electrocatalysts for the oxygen reduction reaction (ORR). It has been demonstrated that chemical functionalization occurs on the NMW surface sites responsible for their inherent electrochemical properties and “switches them off”. As a result, the ORR promoted by NMW@N 1,2 is fully controlled by the appended N-heterocycles. A comparative analysis of N-functionalized samples and N-doped (CVD prepared) materials is used to foster the hypothesis of a unique N-configuration ( N -pyridinic) responsible for the overall electrochemical performance in NMWs. In addition to that, original electrochemical insights unveiled during the study are discussed and the truly metal-free action of NMW in ORR catalysis is demonstrated. ","author":[{"dropping-particle":"","family":"Tuci","given":"Giulia","non-dropping-particle":"","parse-names":false,"suffix":""},{"dropping-particle":"","family":"Zafferoni","given":"Claudio","non-dropping-particle":"","parse-names":false,"suffix":""},{"dropping-particle":"","family":"Rossin","given":"Andrea","non-dropping-particle":"","parse-names":false,"suffix":""},{"dropping-particle":"","family":"Luconi","given":"Lapo","non-dropping-particle":"","parse-names":false,"suffix":""},{"dropping-particle":"","family":"Milella","given":"Antonella","non-dropping-particle":"","parse-names":false,"suffix":""},{"dropping-particle":"","family":"Ceppatelli","given":"Matteo","non-dropping-particle":"","parse-names":false,"suffix":""},{"dropping-particle":"","family":"Innocenti","given":"Massimo","non-dropping-particle":"","parse-names":false,"suffix":""},{"dropping-particle":"","family":"Liu","given":"Yuefeng","non-dropping-particle":"","parse-names":false,"suffix":""},{"dropping-particle":"","family":"Pham-Huu","given":"Cuong","non-dropping-particle":"","parse-names":false,"suffix":""},{"dropping-particle":"","family":"Giambastiani","given":"Giuliano","non-dropping-particle":"","parse-names":false,"suffix":""}],"container-title":"Catalysis Science and Technology","id":"ITEM-1","issue":"16","issued":{"date-parts":[["2016"]]},"page":"6226-6236","publisher":"Royal Society of Chemistry","title":"Chemical functionalization of N-doped carbon nanotubes: A powerful approach to cast light on the electrochemical role of specific N-functionalities in the oxygen reduction reaction","type":"article-journal","volume":"6"},"uris":["http://www.mendeley.com/documents/?uuid=620a63f5-1386-4fb0-a54a-79258bb994d4"]},{"id":"ITEM-2","itemData":{"DOI":"10.1016/0008-6223(95)00154-6","ISSN":"00086223","author":[{"dropping-particle":"","family":"Pels","given":"J.R.","non-dropping-particle":"","parse-names":false,"suffix":""},{"dropping-particle":"","family":"Kapteijn","given":"F.","non-dropping-particle":"","parse-names":false,"suffix":""},{"dropping-particle":"","family":"Moulijn","given":"J.A.","non-dropping-particle":"","parse-names":false,"suffix":""},{"dropping-particle":"","family":"Zhu","given":"Q.","non-dropping-particle":"","parse-names":false,"suffix":""},{"dropping-particle":"","family":"Thomas","given":"K.M.","non-dropping-particle":"","parse-names":false,"suffix":""}],"container-title":"Carbon","id":"ITEM-2","issue":"11","issued":{"date-parts":[["1995"]]},"page":"1641-1653","title":"Evolution of nitrogen functionalities in carbonaceous materials during pyrolysis","type":"article-journal","volume":"33"},"uris":["http://www.mendeley.com/documents/?uuid=ce3929c5-4dfc-4941-80af-961f42fdeb03"]},{"id":"ITEM-3","itemData":{"DOI":"10.1002/adma.201506197","ISSN":"09359648","author":[{"dropping-particle":"","family":"Liu","given":"Zhao-Qing","non-dropping-particle":"","parse-names":false,"suffix":""},{"dropping-particle":"","family":"Cheng","given":"Hui","non-dropping-particle":"","parse-names":false,"suffix":""},{"dropping-particle":"","family":"Li","given":"Nan","non-dropping-particle":"","parse-names":false,"suffix":""},{"dropping-particle":"","family":"Ma","given":"Tian Yi","non-dropping-particle":"","parse-names":false,"suffix":""},{"dropping-particle":"","family":"Su","given":"Yu-Zhi","non-dropping-particle":"","parse-names":false,"suffix":""}],"container-title":"Advanced Materials","id":"ITEM-3","issue":"19","issued":{"date-parts":[["2016","5"]]},"page":"3777-3784","title":"ZnCo 2 O 4 Quantum Dots Anchored on Nitrogen-Doped Carbon Nanotubes as Reversible Oxygen Reduction/Evolution Electrocatalysts","type":"article-journal","volume":"28"},"uris":["http://www.mendeley.com/documents/?uuid=6dd4df19-ec60-4250-8c6e-31c74d6dcdbe"]},{"id":"ITEM-4","itemData":{"DOI":"10.1002/anie.201410050","ISSN":"14337851","author":[{"dropping-particle":"","family":"Ito","given":"Yoshikazu","non-dropping-particle":"","parse-names":false,"suffix":""},{"dropping-particle":"","family":"Cong","given":"Weitao","non-dropping-particle":"","parse-names":false,"suffix":""},{"dropping-particle":"","family":"Fujita","given":"Takeshi","non-dropping-particle":"","parse-names":false,"suffix":""},{"dropping-particle":"","family":"Tang","given":"Zheng","non-dropping-particle":"","parse-names":false,"suffix":""},{"dropping-particle":"","family":"Chen","given":"Mingwei","non-dropping-particle":"","parse-names":false,"suffix":""}],"container-title":"Angewandte Chemie International Edition","id":"ITEM-4","issue":"7","issued":{"date-parts":[["2015","2","9"]]},"page":"2131-2136","title":"High Catalytic Activity of Nitrogen and Sulfur Co-Doped Nanoporous Graphene in the Hydrogen Evolution Reaction","type":"article-journal","volume":"54"},"uris":["http://www.mendeley.com/documents/?uuid=0bee97e9-9bfa-478d-950f-b506eba08873"]},{"id":"ITEM-5","itemData":{"DOI":"10.1039/C7SE00158D","ISSN":"2398-4902","abstract":"N-CQDs are synthesized using a green, environmentally friendly microplasma and employed in solar cells, achieving a V OC of 1.8 V.","author":[{"dropping-particle":"","family":"Carolan","given":"Darragh","non-dropping-particle":"","parse-names":false,"suffix":""},{"dropping-particle":"","family":"Rocks","given":"Conor","non-dropping-particle":"","parse-names":false,"suffix":""},{"dropping-particle":"","family":"Padmanaban","given":"Dilli Babu","non-dropping-particle":"","parse-names":false,"suffix":""},{"dropping-particle":"","family":"Maguire","given":"Paul","non-dropping-particle":"","parse-names":false,"suffix":""},{"dropping-particle":"","family":"Svrcek","given":"Vladimir","non-dropping-particle":"","parse-names":false,"suffix":""},{"dropping-particle":"","family":"Mariotti","given":"Davide","non-dropping-particle":"","parse-names":false,"suffix":""}],"container-title":"Sustainable Energy &amp; Fuels","id":"ITEM-5","issue":"7","issued":{"date-parts":[["2017"]]},"page":"1611-1619","title":"Environmentally friendly nitrogen-doped carbon quantum dots for next generation solar cells","type":"article-journal","volume":"1"},"uris":["http://www.mendeley.com/documents/?uuid=dcbc9daf-2238-49af-8df1-2fab136ee77c"]}],"mendeley":{"formattedCitation":"[1,3,5–7]","plainTextFormattedCitation":"[1,3,5–7]","previouslyFormattedCitation":"[1,3,5–7]"},"properties":{"noteIndex":0},"schema":"https://github.com/citation-style-language/schema/raw/master/csl-citation.json"}</w:instrText>
            </w:r>
            <w:r w:rsidRPr="009C6B12">
              <w:rPr>
                <w:rFonts w:cs="Times New Roman"/>
                <w:color w:val="000000"/>
                <w:szCs w:val="24"/>
                <w:lang w:eastAsia="en-GB"/>
              </w:rPr>
              <w:fldChar w:fldCharType="separate"/>
            </w:r>
            <w:r w:rsidR="00260BFB" w:rsidRPr="003A4DDB">
              <w:rPr>
                <w:rFonts w:cs="Times New Roman"/>
                <w:noProof/>
                <w:color w:val="000000"/>
                <w:sz w:val="24"/>
                <w:szCs w:val="24"/>
                <w:lang w:eastAsia="en-GB"/>
              </w:rPr>
              <w:t>[1,3,5–7]</w:t>
            </w:r>
            <w:r w:rsidRPr="009C6B12">
              <w:rPr>
                <w:rFonts w:cs="Times New Roman"/>
                <w:color w:val="000000"/>
                <w:szCs w:val="24"/>
                <w:lang w:eastAsia="en-GB"/>
              </w:rPr>
              <w:fldChar w:fldCharType="end"/>
            </w:r>
          </w:p>
        </w:tc>
      </w:tr>
      <w:tr w:rsidR="00736DE5" w:rsidRPr="009C6B12" w14:paraId="4F04815B" w14:textId="77777777" w:rsidTr="006476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auto"/>
              <w:bottom w:val="nil"/>
              <w:right w:val="single" w:sz="4" w:space="0" w:color="auto"/>
            </w:tcBorders>
            <w:shd w:val="clear" w:color="auto" w:fill="auto"/>
            <w:noWrap/>
            <w:vAlign w:val="center"/>
            <w:hideMark/>
          </w:tcPr>
          <w:p w14:paraId="043BA9B1" w14:textId="77777777" w:rsidR="00736DE5" w:rsidRPr="009C6B12" w:rsidRDefault="00736DE5" w:rsidP="009C6B12">
            <w:pPr>
              <w:spacing w:line="480" w:lineRule="auto"/>
              <w:jc w:val="center"/>
              <w:rPr>
                <w:rFonts w:cs="Times New Roman"/>
                <w:b w:val="0"/>
                <w:color w:val="000000"/>
                <w:sz w:val="24"/>
                <w:szCs w:val="24"/>
                <w:lang w:eastAsia="en-GB"/>
              </w:rPr>
            </w:pPr>
            <w:r w:rsidRPr="009C6B12">
              <w:rPr>
                <w:rFonts w:cs="Times New Roman"/>
                <w:b w:val="0"/>
                <w:color w:val="000000"/>
                <w:sz w:val="24"/>
                <w:szCs w:val="24"/>
                <w:lang w:eastAsia="en-GB"/>
              </w:rPr>
              <w:t>Graphitic</w:t>
            </w:r>
          </w:p>
        </w:tc>
        <w:tc>
          <w:tcPr>
            <w:tcW w:w="0" w:type="auto"/>
            <w:tcBorders>
              <w:top w:val="nil"/>
              <w:left w:val="single" w:sz="4" w:space="0" w:color="auto"/>
              <w:bottom w:val="nil"/>
              <w:right w:val="single" w:sz="4" w:space="0" w:color="auto"/>
            </w:tcBorders>
            <w:shd w:val="clear" w:color="auto" w:fill="auto"/>
            <w:noWrap/>
            <w:vAlign w:val="center"/>
            <w:hideMark/>
          </w:tcPr>
          <w:p w14:paraId="7FE9A61E" w14:textId="77777777" w:rsidR="00736DE5" w:rsidRPr="009C6B12" w:rsidRDefault="00736DE5"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400.7</w:t>
            </w:r>
          </w:p>
        </w:tc>
        <w:tc>
          <w:tcPr>
            <w:tcW w:w="0" w:type="auto"/>
            <w:tcBorders>
              <w:top w:val="nil"/>
              <w:left w:val="single" w:sz="4" w:space="0" w:color="auto"/>
              <w:bottom w:val="nil"/>
              <w:right w:val="single" w:sz="4" w:space="0" w:color="auto"/>
            </w:tcBorders>
            <w:shd w:val="clear" w:color="auto" w:fill="auto"/>
            <w:noWrap/>
            <w:vAlign w:val="center"/>
            <w:hideMark/>
          </w:tcPr>
          <w:p w14:paraId="4196BD4B" w14:textId="77777777" w:rsidR="00736DE5" w:rsidRPr="009C6B12" w:rsidRDefault="00736DE5"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401.4</w:t>
            </w:r>
          </w:p>
        </w:tc>
        <w:tc>
          <w:tcPr>
            <w:tcW w:w="1336" w:type="dxa"/>
            <w:tcBorders>
              <w:top w:val="nil"/>
              <w:left w:val="single" w:sz="4" w:space="0" w:color="auto"/>
              <w:bottom w:val="nil"/>
              <w:right w:val="single" w:sz="4" w:space="0" w:color="auto"/>
            </w:tcBorders>
            <w:shd w:val="clear" w:color="auto" w:fill="auto"/>
            <w:noWrap/>
            <w:vAlign w:val="center"/>
            <w:hideMark/>
          </w:tcPr>
          <w:p w14:paraId="4EE8AB68" w14:textId="4BE5F248" w:rsidR="00736DE5" w:rsidRPr="009C6B12" w:rsidRDefault="00736DE5"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eastAsia="en-GB"/>
              </w:rPr>
            </w:pPr>
            <w:r w:rsidRPr="009C6B12">
              <w:rPr>
                <w:rFonts w:cs="Times New Roman"/>
                <w:color w:val="000000"/>
                <w:szCs w:val="24"/>
                <w:lang w:eastAsia="en-GB"/>
              </w:rPr>
              <w:fldChar w:fldCharType="begin" w:fldLock="1"/>
            </w:r>
            <w:r w:rsidR="002D5C5F">
              <w:rPr>
                <w:rFonts w:cs="Times New Roman"/>
                <w:color w:val="000000"/>
                <w:sz w:val="24"/>
                <w:szCs w:val="24"/>
                <w:lang w:eastAsia="en-GB"/>
              </w:rPr>
              <w:instrText>ADDIN CSL_CITATION {"citationItems":[{"id":"ITEM-1","itemData":{"DOI":"10.1039/c6cy00796a","ISSN":"20444761","abstract":" Two different synthetic approaches to carbon nanotube N-decoration/doping are used to foster the hypothesis of a unique N-configuration ( N -pyridinic) at work in the ORR.  In this paper, we describe the combination of two different synthetic approaches to carbon nanotube N-decoration/doping: the chemical functionalization with tailored N -pyridinic groups and the classical Chemical Vapor Deposition (CVD) technique. Accordingly, CVD-prepared N-doped CNMs (NMWs) and their N-decorated (chemically functionalized) counterparts (NMW@N 1,2 ) have been prepared and used as metal-free electrocatalysts for the oxygen reduction reaction (ORR). It has been demonstrated that chemical functionalization occurs on the NMW surface sites responsible for their inherent electrochemical properties and “switches them off”. As a result, the ORR promoted by NMW@N 1,2 is fully controlled by the appended N-heterocycles. A comparative analysis of N-functionalized samples and N-doped (CVD prepared) materials is used to foster the hypothesis of a unique N-configuration ( N -pyridinic) responsible for the overall electrochemical performance in NMWs. In addition to that, original electrochemical insights unveiled during the study are discussed and the truly metal-free action of NMW in ORR catalysis is demonstrated. ","author":[{"dropping-particle":"","family":"Tuci","given":"Giulia","non-dropping-particle":"","parse-names":false,"suffix":""},{"dropping-particle":"","family":"Zafferoni","given":"Claudio","non-dropping-particle":"","parse-names":false,"suffix":""},{"dropping-particle":"","family":"Rossin","given":"Andrea","non-dropping-particle":"","parse-names":false,"suffix":""},{"dropping-particle":"","family":"Luconi","given":"Lapo","non-dropping-particle":"","parse-names":false,"suffix":""},{"dropping-particle":"","family":"Milella","given":"Antonella","non-dropping-particle":"","parse-names":false,"suffix":""},{"dropping-particle":"","family":"Ceppatelli","given":"Matteo","non-dropping-particle":"","parse-names":false,"suffix":""},{"dropping-particle":"","family":"Innocenti","given":"Massimo","non-dropping-particle":"","parse-names":false,"suffix":""},{"dropping-particle":"","family":"Liu","given":"Yuefeng","non-dropping-particle":"","parse-names":false,"suffix":""},{"dropping-particle":"","family":"Pham-Huu","given":"Cuong","non-dropping-particle":"","parse-names":false,"suffix":""},{"dropping-particle":"","family":"Giambastiani","given":"Giuliano","non-dropping-particle":"","parse-names":false,"suffix":""}],"container-title":"Catalysis Science and Technology","id":"ITEM-1","issue":"16","issued":{"date-parts":[["2016"]]},"page":"6226-6236","publisher":"Royal Society of Chemistry","title":"Chemical functionalization of N-doped carbon nanotubes: A powerful approach to cast light on the electrochemical role of specific N-functionalities in the oxygen reduction reaction","type":"article-journal","volume":"6"},"uris":["http://www.mendeley.com/documents/?uuid=620a63f5-1386-4fb0-a54a-79258bb994d4"]},{"id":"ITEM-2","itemData":{"DOI":"10.1016/0008-6223(95)00154-6","ISSN":"00086223","author":[{"dropping-particle":"","family":"Pels","given":"J.R.","non-dropping-particle":"","parse-names":false,"suffix":""},{"dropping-particle":"","family":"Kapteijn","given":"F.","non-dropping-particle":"","parse-names":false,"suffix":""},{"dropping-particle":"","family":"Moulijn","given":"J.A.","non-dropping-particle":"","parse-names":false,"suffix":""},{"dropping-particle":"","family":"Zhu","given":"Q.","non-dropping-particle":"","parse-names":false,"suffix":""},{"dropping-particle":"","family":"Thomas","given":"K.M.","non-dropping-particle":"","parse-names":false,"suffix":""}],"container-title":"Carbon","id":"ITEM-2","issue":"11","issued":{"date-parts":[["1995"]]},"page":"1641-1653","title":"Evolution of nitrogen functionalities in carbonaceous materials during pyrolysis","type":"article-journal","volume":"33"},"uris":["http://www.mendeley.com/documents/?uuid=ce3929c5-4dfc-4941-80af-961f42fdeb03"]},{"id":"ITEM-3","itemData":{"DOI":"10.1016/j.carbon.2009.12.045","ISSN":"00086223","author":[{"dropping-particle":"","family":"Liu","given":"Hao","non-dropping-particle":"","parse-names":false,"suffix":""},{"dropping-particle":"","family":"Zhang","given":"Yong","non-dropping-particle":"","parse-names":false,"suffix":""},{"dropping-particle":"","family":"Li","given":"Ruying","non-dropping-particle":"","parse-names":false,"suffix":""},{"dropping-particle":"","family":"Sun","given":"Xueliang","non-dropping-particle":"","parse-names":false,"suffix":""},{"dropping-particle":"","family":"Désilets","given":"Sylvain","non-dropping-particle":"","parse-names":false,"suffix":""},{"dropping-particle":"","family":"Abou-Rachid","given":"Hakima","non-dropping-particle":"","parse-names":false,"suffix":""},{"dropping-particle":"","family":"Jaidann","given":"Mounir","non-dropping-particle":"","parse-names":false,"suffix":""},{"dropping-particle":"","family":"Lussier","given":"Louis-Simon","non-dropping-particle":"","parse-names":false,"suffix":""}],"container-title":"Carbon","id":"ITEM-3","issue":"5","issued":{"date-parts":[["2010","4"]]},"page":"1498-1507","title":"Structural and morphological control of aligned nitrogen-doped carbon nanotubes","type":"article-journal","volume":"48"},"uris":["http://www.mendeley.com/documents/?uuid=0d5475d7-f2b9-4709-a1a3-80068ffa1935"]},{"id":"ITEM-4","itemData":{"DOI":"10.1002/adma.201506197","ISSN":"09359648","author":[{"dropping-particle":"","family":"Liu","given":"Zhao-Qing","non-dropping-particle":"","parse-names":false,"suffix":""},{"dropping-particle":"","family":"Cheng","given":"Hui","non-dropping-particle":"","parse-names":false,"suffix":""},{"dropping-particle":"","family":"Li","given":"Nan","non-dropping-particle":"","parse-names":false,"suffix":""},{"dropping-particle":"","family":"Ma","given":"Tian Yi","non-dropping-particle":"","parse-names":false,"suffix":""},{"dropping-particle":"","family":"Su","given":"Yu-Zhi","non-dropping-particle":"","parse-names":false,"suffix":""}],"container-title":"Advanced Materials","id":"ITEM-4","issue":"19","issued":{"date-parts":[["2016","5"]]},"page":"3777-3784","title":"ZnCo 2 O 4 Quantum Dots Anchored on Nitrogen-Doped Carbon Nanotubes as Reversible Oxygen Reduction/Evolution Electrocatalysts","type":"article-journal","volume":"28"},"uris":["http://www.mendeley.com/documents/?uuid=6dd4df19-ec60-4250-8c6e-31c74d6dcdbe"]},{"id":"ITEM-5","itemData":{"DOI":"10.1002/anie.201410050","ISSN":"14337851","author":[{"dropping-particle":"","family":"Ito","given":"Yoshikazu","non-dropping-particle":"","parse-names":false,"suffix":""},{"dropping-particle":"","family":"Cong","given":"Weitao","non-dropping-particle":"","parse-names":false,"suffix":""},{"dropping-particle":"","family":"Fujita","given":"Takeshi","non-dropping-particle":"","parse-names":false,"suffix":""},{"dropping-particle":"","family":"Tang","given":"Zheng","non-dropping-particle":"","parse-names":false,"suffix":""},{"dropping-particle":"","family":"Chen","given":"Mingwei","non-dropping-particle":"","parse-names":false,"suffix":""}],"container-title":"Angewandte Chemie International Edition","id":"ITEM-5","issue":"7","issued":{"date-parts":[["2015","2","9"]]},"page":"2131-2136","title":"High Catalytic Activity of Nitrogen and Sulfur Co-Doped Nanoporous Graphene in the Hydrogen Evolution Reaction","type":"article-journal","volume":"54"},"uris":["http://www.mendeley.com/documents/?uuid=0bee97e9-9bfa-478d-950f-b506eba08873"]},{"id":"ITEM-6","itemData":{"DOI":"10.1039/c1jm12829a","ISSN":"0959-9428","author":[{"dropping-particle":"","family":"Iyer","given":"Ganjigunte R. S.","non-dropping-particle":"","parse-names":false,"suffix":""},{"dropping-particle":"","family":"Maguire","given":"Paul D.","non-dropping-particle":"","parse-names":false,"suffix":""}],"container-title":"Journal of Materials Chemistry","id":"ITEM-6","issue":"40","issued":{"date-parts":[["2011"]]},"page":"16162","title":"Metal free, end-opened, selective nitrogen-doped vertically aligned carbon nanotubes by a single step in situ low energy plasma process","type":"article-journal","volume":"21"},"uris":["http://www.mendeley.com/documents/?uuid=cee2cae5-52ca-4121-bd30-7ab4609ef01c"]}],"mendeley":{"formattedCitation":"[1,3–6,8]","plainTextFormattedCitation":"[1,3–6,8]","previouslyFormattedCitation":"[1,3–6,8]"},"properties":{"noteIndex":0},"schema":"https://github.com/citation-style-language/schema/raw/master/csl-citation.json"}</w:instrText>
            </w:r>
            <w:r w:rsidRPr="009C6B12">
              <w:rPr>
                <w:rFonts w:cs="Times New Roman"/>
                <w:color w:val="000000"/>
                <w:szCs w:val="24"/>
                <w:lang w:eastAsia="en-GB"/>
              </w:rPr>
              <w:fldChar w:fldCharType="separate"/>
            </w:r>
            <w:r w:rsidR="00260BFB" w:rsidRPr="003A4DDB">
              <w:rPr>
                <w:rFonts w:cs="Times New Roman"/>
                <w:noProof/>
                <w:color w:val="000000"/>
                <w:sz w:val="24"/>
                <w:szCs w:val="24"/>
                <w:lang w:eastAsia="en-GB"/>
              </w:rPr>
              <w:t>[1,3–6,8]</w:t>
            </w:r>
            <w:r w:rsidRPr="009C6B12">
              <w:rPr>
                <w:rFonts w:cs="Times New Roman"/>
                <w:color w:val="000000"/>
                <w:szCs w:val="24"/>
                <w:lang w:eastAsia="en-GB"/>
              </w:rPr>
              <w:fldChar w:fldCharType="end"/>
            </w:r>
          </w:p>
        </w:tc>
      </w:tr>
      <w:tr w:rsidR="00736DE5" w:rsidRPr="009C6B12" w14:paraId="1DAE96C5" w14:textId="77777777" w:rsidTr="006476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BFBFBF" w:themeFill="background1" w:themeFillShade="BF"/>
            <w:noWrap/>
            <w:vAlign w:val="center"/>
            <w:hideMark/>
          </w:tcPr>
          <w:p w14:paraId="7AE37252" w14:textId="77777777" w:rsidR="00736DE5" w:rsidRPr="009C6B12" w:rsidRDefault="00736DE5" w:rsidP="009C6B12">
            <w:pPr>
              <w:spacing w:line="480" w:lineRule="auto"/>
              <w:jc w:val="center"/>
              <w:rPr>
                <w:rFonts w:cs="Times New Roman"/>
                <w:b w:val="0"/>
                <w:color w:val="000000"/>
                <w:sz w:val="24"/>
                <w:szCs w:val="24"/>
                <w:lang w:eastAsia="en-GB"/>
              </w:rPr>
            </w:pPr>
            <w:r w:rsidRPr="009C6B12">
              <w:rPr>
                <w:rFonts w:cs="Times New Roman"/>
                <w:b w:val="0"/>
                <w:color w:val="000000"/>
                <w:sz w:val="24"/>
                <w:szCs w:val="24"/>
                <w:lang w:eastAsia="en-GB"/>
              </w:rPr>
              <w:t>Pyridinic N-oxides</w:t>
            </w:r>
          </w:p>
        </w:tc>
        <w:tc>
          <w:tcPr>
            <w:tcW w:w="0" w:type="auto"/>
            <w:tcBorders>
              <w:top w:val="nil"/>
              <w:right w:val="single" w:sz="4" w:space="0" w:color="auto"/>
            </w:tcBorders>
            <w:shd w:val="clear" w:color="auto" w:fill="BFBFBF" w:themeFill="background1" w:themeFillShade="BF"/>
            <w:noWrap/>
            <w:vAlign w:val="center"/>
            <w:hideMark/>
          </w:tcPr>
          <w:p w14:paraId="02A5B412" w14:textId="77777777" w:rsidR="00736DE5" w:rsidRPr="009C6B12" w:rsidRDefault="00736DE5" w:rsidP="009C6B12">
            <w:pPr>
              <w:spacing w:line="480"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402.0</w:t>
            </w:r>
          </w:p>
        </w:tc>
        <w:tc>
          <w:tcPr>
            <w:tcW w:w="0" w:type="auto"/>
            <w:tcBorders>
              <w:top w:val="nil"/>
              <w:left w:val="single" w:sz="4" w:space="0" w:color="auto"/>
              <w:right w:val="single" w:sz="4" w:space="0" w:color="auto"/>
            </w:tcBorders>
            <w:shd w:val="clear" w:color="auto" w:fill="BFBFBF" w:themeFill="background1" w:themeFillShade="BF"/>
            <w:noWrap/>
            <w:vAlign w:val="center"/>
            <w:hideMark/>
          </w:tcPr>
          <w:p w14:paraId="29F9C8D1" w14:textId="77777777" w:rsidR="00736DE5" w:rsidRPr="009C6B12" w:rsidRDefault="00736DE5" w:rsidP="009C6B12">
            <w:pPr>
              <w:spacing w:line="480"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sz w:val="24"/>
                <w:szCs w:val="24"/>
                <w:lang w:eastAsia="en-GB"/>
              </w:rPr>
            </w:pPr>
            <w:r w:rsidRPr="009C6B12">
              <w:rPr>
                <w:rFonts w:cs="Times New Roman"/>
                <w:color w:val="000000"/>
                <w:sz w:val="24"/>
                <w:szCs w:val="24"/>
                <w:lang w:eastAsia="en-GB"/>
              </w:rPr>
              <w:t>403.2</w:t>
            </w:r>
          </w:p>
        </w:tc>
        <w:tc>
          <w:tcPr>
            <w:tcW w:w="1336" w:type="dxa"/>
            <w:tcBorders>
              <w:top w:val="nil"/>
              <w:left w:val="single" w:sz="4" w:space="0" w:color="auto"/>
            </w:tcBorders>
            <w:shd w:val="clear" w:color="auto" w:fill="BFBFBF" w:themeFill="background1" w:themeFillShade="BF"/>
            <w:noWrap/>
            <w:vAlign w:val="center"/>
            <w:hideMark/>
          </w:tcPr>
          <w:p w14:paraId="6E99CF32" w14:textId="541C5775" w:rsidR="00736DE5" w:rsidRPr="009C6B12" w:rsidRDefault="00736DE5" w:rsidP="009C6B12">
            <w:pPr>
              <w:keepNext/>
              <w:spacing w:line="480" w:lineRule="auto"/>
              <w:jc w:val="center"/>
              <w:cnfStyle w:val="000000010000" w:firstRow="0" w:lastRow="0" w:firstColumn="0" w:lastColumn="0" w:oddVBand="0" w:evenVBand="0" w:oddHBand="0" w:evenHBand="1" w:firstRowFirstColumn="0" w:firstRowLastColumn="0" w:lastRowFirstColumn="0" w:lastRowLastColumn="0"/>
              <w:rPr>
                <w:rFonts w:cs="Times New Roman"/>
                <w:color w:val="000000"/>
                <w:sz w:val="24"/>
                <w:szCs w:val="24"/>
                <w:lang w:eastAsia="en-GB"/>
              </w:rPr>
            </w:pPr>
            <w:r w:rsidRPr="009C6B12">
              <w:rPr>
                <w:rFonts w:cs="Times New Roman"/>
                <w:color w:val="000000"/>
                <w:szCs w:val="24"/>
                <w:lang w:eastAsia="en-GB"/>
              </w:rPr>
              <w:fldChar w:fldCharType="begin" w:fldLock="1"/>
            </w:r>
            <w:r w:rsidR="002D5C5F">
              <w:rPr>
                <w:rFonts w:cs="Times New Roman"/>
                <w:color w:val="000000"/>
                <w:sz w:val="24"/>
                <w:szCs w:val="24"/>
                <w:lang w:eastAsia="en-GB"/>
              </w:rPr>
              <w:instrText>ADDIN CSL_CITATION {"citationItems":[{"id":"ITEM-1","itemData":{"DOI":"10.1039/c6cy00796a","ISSN":"20444761","abstract":" Two different synthetic approaches to carbon nanotube N-decoration/doping are used to foster the hypothesis of a unique N-configuration ( N -pyridinic) at work in the ORR.  In this paper, we describe the combination of two different synthetic approaches to carbon nanotube N-decoration/doping: the chemical functionalization with tailored N -pyridinic groups and the classical Chemical Vapor Deposition (CVD) technique. Accordingly, CVD-prepared N-doped CNMs (NMWs) and their N-decorated (chemically functionalized) counterparts (NMW@N 1,2 ) have been prepared and used as metal-free electrocatalysts for the oxygen reduction reaction (ORR). It has been demonstrated that chemical functionalization occurs on the NMW surface sites responsible for their inherent electrochemical properties and “switches them off”. As a result, the ORR promoted by NMW@N 1,2 is fully controlled by the appended N-heterocycles. A comparative analysis of N-functionalized samples and N-doped (CVD prepared) materials is used to foster the hypothesis of a unique N-configuration ( N -pyridinic) responsible for the overall electrochemical performance in NMWs. In addition to that, original electrochemical insights unveiled during the study are discussed and the truly metal-free action of NMW in ORR catalysis is demonstrated. ","author":[{"dropping-particle":"","family":"Tuci","given":"Giulia","non-dropping-particle":"","parse-names":false,"suffix":""},{"dropping-particle":"","family":"Zafferoni","given":"Claudio","non-dropping-particle":"","parse-names":false,"suffix":""},{"dropping-particle":"","family":"Rossin","given":"Andrea","non-dropping-particle":"","parse-names":false,"suffix":""},{"dropping-particle":"","family":"Luconi","given":"Lapo","non-dropping-particle":"","parse-names":false,"suffix":""},{"dropping-particle":"","family":"Milella","given":"Antonella","non-dropping-particle":"","parse-names":false,"suffix":""},{"dropping-particle":"","family":"Ceppatelli","given":"Matteo","non-dropping-particle":"","parse-names":false,"suffix":""},{"dropping-particle":"","family":"Innocenti","given":"Massimo","non-dropping-particle":"","parse-names":false,"suffix":""},{"dropping-particle":"","family":"Liu","given":"Yuefeng","non-dropping-particle":"","parse-names":false,"suffix":""},{"dropping-particle":"","family":"Pham-Huu","given":"Cuong","non-dropping-particle":"","parse-names":false,"suffix":""},{"dropping-particle":"","family":"Giambastiani","given":"Giuliano","non-dropping-particle":"","parse-names":false,"suffix":""}],"container-title":"Catalysis Science and Technology","id":"ITEM-1","issue":"16","issued":{"date-parts":[["2016"]]},"page":"6226-6236","publisher":"Royal Society of Chemistry","title":"Chemical functionalization of N-doped carbon nanotubes: A powerful approach to cast light on the electrochemical role of specific N-functionalities in the oxygen reduction reaction","type":"article-journal","volume":"6"},"uris":["http://www.mendeley.com/documents/?uuid=620a63f5-1386-4fb0-a54a-79258bb994d4"]},{"id":"ITEM-2","itemData":{"DOI":"10.1016/j.carbon.2009.12.045","ISSN":"00086223","author":[{"dropping-particle":"","family":"Liu","given":"Hao","non-dropping-particle":"","parse-names":false,"suffix":""},{"dropping-particle":"","family":"Zhang","given":"Yong","non-dropping-particle":"","parse-names":false,"suffix":""},{"dropping-particle":"","family":"Li","given":"Ruying","non-dropping-particle":"","parse-names":false,"suffix":""},{"dropping-particle":"","family":"Sun","given":"Xueliang","non-dropping-particle":"","parse-names":false,"suffix":""},{"dropping-particle":"","family":"Désilets","given":"Sylvain","non-dropping-particle":"","parse-names":false,"suffix":""},{"dropping-particle":"","family":"Abou-Rachid","given":"Hakima","non-dropping-particle":"","parse-names":false,"suffix":""},{"dropping-particle":"","family":"Jaidann","given":"Mounir","non-dropping-particle":"","parse-names":false,"suffix":""},{"dropping-particle":"","family":"Lussier","given":"Louis-Simon","non-dropping-particle":"","parse-names":false,"suffix":""}],"container-title":"Carbon","id":"ITEM-2","issue":"5","issued":{"date-parts":[["2010","4"]]},"page":"1498-1507","title":"Structural and morphological control of aligned nitrogen-doped carbon nanotubes","type":"article-journal","volume":"48"},"uris":["http://www.mendeley.com/documents/?uuid=0d5475d7-f2b9-4709-a1a3-80068ffa1935"]},{"id":"ITEM-3","itemData":{"DOI":"10.1021/ja960338m","ISSN":"0002-7863","author":[{"dropping-particle":"","family":"Casanovas","given":"Jordi","non-dropping-particle":"","parse-names":false,"suffix":""},{"dropping-particle":"","family":"Ricart","given":"Josep Manel","non-dropping-particle":"","parse-names":false,"suffix":""},{"dropping-particle":"","family":"Rubio","given":"Jaime","non-dropping-particle":"","parse-names":false,"suffix":""},{"dropping-particle":"","family":"Illas","given":"Francesc","non-dropping-particle":"","parse-names":false,"suffix":""},{"dropping-particle":"","family":"Jiménez-Mateos","given":"Juan Miguel","non-dropping-particle":"","parse-names":false,"suffix":""}],"container-title":"Journal of the American Chemical Society","id":"ITEM-3","issue":"34","issued":{"date-parts":[["1996","1"]]},"page":"8071-8076","title":"Origin of the Large N 1s Binding Energy in X-ray Photoelectron Spectra of Calcined Carbonaceous Materials","type":"article-journal","volume":"118"},"uris":["http://www.mendeley.com/documents/?uuid=de45689b-b3c8-4031-93d9-1fe7ee6797b1"]},{"id":"ITEM-4","itemData":{"DOI":"10.1016/0008-6223(95)00154-6","ISSN":"00086223","author":[{"dropping-particle":"","family":"Pels","given":"J.R.","non-dropping-particle":"","parse-names":false,"suffix":""},{"dropping-particle":"","family":"Kapteijn","given":"F.","non-dropping-particle":"","parse-names":false,"suffix":""},{"dropping-particle":"","family":"Moulijn","given":"J.A.","non-dropping-particle":"","parse-names":false,"suffix":""},{"dropping-particle":"","family":"Zhu","given":"Q.","non-dropping-particle":"","parse-names":false,"suffix":""},{"dropping-particle":"","family":"Thomas","given":"K.M.","non-dropping-particle":"","parse-names":false,"suffix":""}],"container-title":"Carbon","id":"ITEM-4","issue":"11","issued":{"date-parts":[["1995"]]},"page":"1641-1653","title":"Evolution of nitrogen functionalities in carbonaceous materials during pyrolysis","type":"article-journal","volume":"33"},"uris":["http://www.mendeley.com/documents/?uuid=ce3929c5-4dfc-4941-80af-961f42fdeb03"]},{"id":"ITEM-5","itemData":{"DOI":"10.1039/c1jm12829a","ISSN":"0959-9428","author":[{"dropping-particle":"","family":"Iyer","given":"Ganjigunte R. S.","non-dropping-particle":"","parse-names":false,"suffix":""},{"dropping-particle":"","family":"Maguire","given":"Paul D.","non-dropping-particle":"","parse-names":false,"suffix":""}],"container-title":"Journal of Materials Chemistry","id":"ITEM-5","issue":"40","issued":{"date-parts":[["2011"]]},"page":"16162","title":"Metal free, end-opened, selective nitrogen-doped vertically aligned carbon nanotubes by a single step in situ low energy plasma process","type":"article-journal","volume":"21"},"uris":["http://www.mendeley.com/documents/?uuid=cee2cae5-52ca-4121-bd30-7ab4609ef01c"]}],"mendeley":{"formattedCitation":"[1,3,4,8,9]","plainTextFormattedCitation":"[1,3,4,8,9]","previouslyFormattedCitation":"[1,3,4,8,9]"},"properties":{"noteIndex":0},"schema":"https://github.com/citation-style-language/schema/raw/master/csl-citation.json"}</w:instrText>
            </w:r>
            <w:r w:rsidRPr="009C6B12">
              <w:rPr>
                <w:rFonts w:cs="Times New Roman"/>
                <w:color w:val="000000"/>
                <w:szCs w:val="24"/>
                <w:lang w:eastAsia="en-GB"/>
              </w:rPr>
              <w:fldChar w:fldCharType="separate"/>
            </w:r>
            <w:r w:rsidR="00260BFB" w:rsidRPr="003A4DDB">
              <w:rPr>
                <w:rFonts w:cs="Times New Roman"/>
                <w:noProof/>
                <w:color w:val="000000"/>
                <w:sz w:val="24"/>
                <w:szCs w:val="24"/>
                <w:lang w:eastAsia="en-GB"/>
              </w:rPr>
              <w:t>[1,3,4,8,9]</w:t>
            </w:r>
            <w:r w:rsidRPr="009C6B12">
              <w:rPr>
                <w:rFonts w:cs="Times New Roman"/>
                <w:color w:val="000000"/>
                <w:szCs w:val="24"/>
                <w:lang w:eastAsia="en-GB"/>
              </w:rPr>
              <w:fldChar w:fldCharType="end"/>
            </w:r>
          </w:p>
        </w:tc>
      </w:tr>
    </w:tbl>
    <w:p w14:paraId="44C88EB3" w14:textId="5E582561" w:rsidR="005C62C5" w:rsidRPr="009C6B12" w:rsidRDefault="005C62C5" w:rsidP="009C6B12">
      <w:pPr>
        <w:spacing w:line="480" w:lineRule="auto"/>
        <w:jc w:val="left"/>
        <w:rPr>
          <w:szCs w:val="24"/>
        </w:rPr>
      </w:pPr>
    </w:p>
    <w:p w14:paraId="270865E5" w14:textId="2D3F295F" w:rsidR="00245747" w:rsidRDefault="00EE7877" w:rsidP="00245747">
      <w:pPr>
        <w:spacing w:line="480" w:lineRule="auto"/>
        <w:rPr>
          <w:szCs w:val="24"/>
        </w:rPr>
      </w:pPr>
      <w:r w:rsidRPr="009C6B12">
        <w:rPr>
          <w:szCs w:val="24"/>
        </w:rPr>
        <w:t xml:space="preserve">Further analysis of the N 1s fitted peak areas with the 2.5 vol% and 5 vol% EDA given in </w:t>
      </w:r>
      <w:r w:rsidR="00277E0F" w:rsidRPr="009C6B12">
        <w:rPr>
          <w:szCs w:val="24"/>
        </w:rPr>
        <w:fldChar w:fldCharType="begin"/>
      </w:r>
      <w:r w:rsidR="00277E0F" w:rsidRPr="009C6B12">
        <w:rPr>
          <w:szCs w:val="24"/>
        </w:rPr>
        <w:instrText xml:space="preserve"> REF _Ref82598828 \h </w:instrText>
      </w:r>
      <w:r w:rsidR="009C6B12" w:rsidRPr="009C6B12">
        <w:rPr>
          <w:szCs w:val="24"/>
        </w:rPr>
        <w:instrText xml:space="preserve"> \* MERGEFORMAT </w:instrText>
      </w:r>
      <w:r w:rsidR="00277E0F" w:rsidRPr="009C6B12">
        <w:rPr>
          <w:szCs w:val="24"/>
        </w:rPr>
      </w:r>
      <w:r w:rsidR="00277E0F" w:rsidRPr="009C6B12">
        <w:rPr>
          <w:szCs w:val="24"/>
        </w:rPr>
        <w:fldChar w:fldCharType="separate"/>
      </w:r>
      <w:r w:rsidR="00727084" w:rsidRPr="00727084">
        <w:rPr>
          <w:szCs w:val="24"/>
        </w:rPr>
        <w:t>Figure S8</w:t>
      </w:r>
      <w:r w:rsidR="00277E0F" w:rsidRPr="009C6B12">
        <w:rPr>
          <w:szCs w:val="24"/>
        </w:rPr>
        <w:fldChar w:fldCharType="end"/>
      </w:r>
      <w:r w:rsidRPr="009C6B12">
        <w:rPr>
          <w:szCs w:val="24"/>
        </w:rPr>
        <w:t xml:space="preserve">. In all cases the </w:t>
      </w:r>
      <w:r w:rsidR="00AB0833" w:rsidRPr="009C6B12">
        <w:rPr>
          <w:szCs w:val="24"/>
        </w:rPr>
        <w:t xml:space="preserve">PiNE treatment </w:t>
      </w:r>
      <w:r w:rsidRPr="009C6B12">
        <w:rPr>
          <w:szCs w:val="24"/>
        </w:rPr>
        <w:t xml:space="preserve">can be seen to give peak areas </w:t>
      </w:r>
      <w:r w:rsidRPr="009C6B12">
        <w:rPr>
          <w:szCs w:val="24"/>
        </w:rPr>
        <w:lastRenderedPageBreak/>
        <w:t xml:space="preserve">with several thousand Counts per second eV (CPSeV) more than the “soaked” sample. </w:t>
      </w:r>
    </w:p>
    <w:p w14:paraId="510B4E5C" w14:textId="60DD5B67" w:rsidR="00671841" w:rsidRPr="009C6B12" w:rsidRDefault="00596500" w:rsidP="00245747">
      <w:pPr>
        <w:spacing w:line="480" w:lineRule="auto"/>
        <w:rPr>
          <w:szCs w:val="24"/>
        </w:rPr>
      </w:pPr>
      <w:r>
        <w:rPr>
          <w:noProof/>
        </w:rPr>
        <w:drawing>
          <wp:inline distT="0" distB="0" distL="0" distR="0" wp14:anchorId="6F365F8F" wp14:editId="782203C6">
            <wp:extent cx="5139690" cy="19658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98772" cy="1988436"/>
                    </a:xfrm>
                    <a:prstGeom prst="rect">
                      <a:avLst/>
                    </a:prstGeom>
                    <a:noFill/>
                    <a:ln>
                      <a:noFill/>
                    </a:ln>
                  </pic:spPr>
                </pic:pic>
              </a:graphicData>
            </a:graphic>
          </wp:inline>
        </w:drawing>
      </w:r>
    </w:p>
    <w:p w14:paraId="56918531" w14:textId="6AFB5AD4" w:rsidR="00026759" w:rsidRDefault="00671841" w:rsidP="003C7A46">
      <w:pPr>
        <w:pStyle w:val="Caption"/>
      </w:pPr>
      <w:bookmarkStart w:id="6" w:name="_Ref82598828"/>
      <w:r w:rsidRPr="009C6B12">
        <w:t>Figure S</w:t>
      </w:r>
      <w:fldSimple w:instr=" SEQ Figure \* ARABIC ">
        <w:r w:rsidR="00727084">
          <w:rPr>
            <w:noProof/>
          </w:rPr>
          <w:t>8</w:t>
        </w:r>
      </w:fldSimple>
      <w:bookmarkEnd w:id="6"/>
      <w:r w:rsidRPr="009C6B12">
        <w:t xml:space="preserve"> </w:t>
      </w:r>
      <w:r w:rsidR="00277E0F" w:rsidRPr="009C6B12">
        <w:t>The atomic percentage of nitrogen measured by x-ray photoelectron spectroscopy for samples treated in by plasma in 2.5 vol% and 5 vol% ethylenediamine solutions.</w:t>
      </w:r>
      <w:r w:rsidR="00DB7BE9" w:rsidRPr="009C6B12">
        <w:t xml:space="preserve"> </w:t>
      </w:r>
    </w:p>
    <w:p w14:paraId="1E09AE51" w14:textId="0D7103F3" w:rsidR="00C92485" w:rsidRPr="00034F66" w:rsidRDefault="002F39C5" w:rsidP="00034F66">
      <w:pPr>
        <w:pStyle w:val="Heading2"/>
        <w:spacing w:line="480" w:lineRule="auto"/>
        <w:rPr>
          <w:szCs w:val="24"/>
        </w:rPr>
      </w:pPr>
      <w:r w:rsidRPr="009C6B12">
        <w:rPr>
          <w:szCs w:val="24"/>
        </w:rPr>
        <w:t>Floating</w:t>
      </w:r>
      <w:r w:rsidR="00B00291" w:rsidRPr="009C6B12">
        <w:rPr>
          <w:szCs w:val="24"/>
        </w:rPr>
        <w:t xml:space="preserve"> ribbons</w:t>
      </w:r>
    </w:p>
    <w:p w14:paraId="299D82C0" w14:textId="57CF00DA" w:rsidR="00C92485" w:rsidRDefault="009D26E8" w:rsidP="00C92485">
      <w:pPr>
        <w:keepNext/>
        <w:spacing w:after="0" w:line="480" w:lineRule="auto"/>
        <w:jc w:val="center"/>
      </w:pPr>
      <w:r>
        <w:rPr>
          <w:noProof/>
        </w:rPr>
        <w:drawing>
          <wp:inline distT="0" distB="0" distL="0" distR="0" wp14:anchorId="7424D8E1" wp14:editId="7C762D56">
            <wp:extent cx="3025140" cy="23164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0CE84F48" w14:textId="7014468F" w:rsidR="00B154D2" w:rsidRDefault="00C92485" w:rsidP="003C7A46">
      <w:pPr>
        <w:pStyle w:val="Caption"/>
      </w:pPr>
      <w:r>
        <w:t>Figure S</w:t>
      </w:r>
      <w:r w:rsidR="00B1188E">
        <w:fldChar w:fldCharType="begin"/>
      </w:r>
      <w:r w:rsidR="00B1188E">
        <w:instrText xml:space="preserve"> SEQ Figure \* ARABIC </w:instrText>
      </w:r>
      <w:r w:rsidR="00B1188E">
        <w:fldChar w:fldCharType="separate"/>
      </w:r>
      <w:r w:rsidR="00727084">
        <w:rPr>
          <w:noProof/>
        </w:rPr>
        <w:t>9</w:t>
      </w:r>
      <w:r w:rsidR="00B1188E">
        <w:rPr>
          <w:noProof/>
        </w:rPr>
        <w:fldChar w:fldCharType="end"/>
      </w:r>
      <w:r w:rsidR="00034F66">
        <w:t xml:space="preserve"> Raw raman spectrographs for carbon nanotube ribbons treated</w:t>
      </w:r>
      <w:r w:rsidR="00306065">
        <w:t xml:space="preserve"> as a floating ribbon in a cylinder with one platinum electrode and a counter-electrode of a microplasma discharge.</w:t>
      </w:r>
    </w:p>
    <w:p w14:paraId="3663E2CE" w14:textId="77777777" w:rsidR="00245747" w:rsidRPr="00245747" w:rsidRDefault="00245747" w:rsidP="00245747"/>
    <w:p w14:paraId="2D367A09" w14:textId="2E1D278E" w:rsidR="004075B0" w:rsidRPr="009C6B12" w:rsidRDefault="004075B0" w:rsidP="009C6B12">
      <w:pPr>
        <w:spacing w:line="480" w:lineRule="auto"/>
        <w:rPr>
          <w:szCs w:val="24"/>
        </w:rPr>
      </w:pPr>
      <w:r w:rsidRPr="009C6B12">
        <w:rPr>
          <w:szCs w:val="24"/>
        </w:rPr>
        <w:lastRenderedPageBreak/>
        <w:t xml:space="preserve">In terms of the G:D ratio, </w:t>
      </w:r>
      <w:r w:rsidR="00D30DB6">
        <w:rPr>
          <w:szCs w:val="24"/>
        </w:rPr>
        <w:t>Table S2</w:t>
      </w:r>
      <w:r w:rsidR="00911464" w:rsidRPr="009C6B12">
        <w:rPr>
          <w:b/>
          <w:szCs w:val="24"/>
        </w:rPr>
        <w:t xml:space="preserve"> </w:t>
      </w:r>
      <w:r w:rsidR="00911464" w:rsidRPr="009C6B12">
        <w:rPr>
          <w:bCs/>
          <w:szCs w:val="24"/>
        </w:rPr>
        <w:t>and</w:t>
      </w:r>
      <w:r w:rsidR="00911464" w:rsidRPr="009C6B12">
        <w:rPr>
          <w:b/>
          <w:szCs w:val="24"/>
        </w:rPr>
        <w:t xml:space="preserve"> </w:t>
      </w:r>
      <w:r w:rsidR="00853C23" w:rsidRPr="009C6B12">
        <w:rPr>
          <w:b/>
          <w:szCs w:val="24"/>
        </w:rPr>
        <w:fldChar w:fldCharType="begin"/>
      </w:r>
      <w:r w:rsidR="00853C23" w:rsidRPr="009C6B12">
        <w:rPr>
          <w:b/>
          <w:szCs w:val="24"/>
        </w:rPr>
        <w:instrText xml:space="preserve"> REF _Ref44421470 \h </w:instrText>
      </w:r>
      <w:r w:rsidR="006E2889" w:rsidRPr="009C6B12">
        <w:rPr>
          <w:b/>
          <w:szCs w:val="24"/>
        </w:rPr>
        <w:instrText xml:space="preserve"> \* MERGEFORMAT </w:instrText>
      </w:r>
      <w:r w:rsidR="00853C23" w:rsidRPr="009C6B12">
        <w:rPr>
          <w:b/>
          <w:szCs w:val="24"/>
        </w:rPr>
      </w:r>
      <w:r w:rsidR="00853C23" w:rsidRPr="009C6B12">
        <w:rPr>
          <w:b/>
          <w:szCs w:val="24"/>
        </w:rPr>
        <w:fldChar w:fldCharType="separate"/>
      </w:r>
      <w:r w:rsidR="00727084" w:rsidRPr="00727084">
        <w:rPr>
          <w:szCs w:val="24"/>
        </w:rPr>
        <w:t>Figure S10</w:t>
      </w:r>
      <w:r w:rsidR="00853C23" w:rsidRPr="009C6B12">
        <w:rPr>
          <w:b/>
          <w:szCs w:val="24"/>
        </w:rPr>
        <w:fldChar w:fldCharType="end"/>
      </w:r>
      <w:r w:rsidRPr="009C6B12">
        <w:rPr>
          <w:noProof/>
          <w:szCs w:val="24"/>
        </w:rPr>
        <w:t>,</w:t>
      </w:r>
      <w:r w:rsidR="002C14F1" w:rsidRPr="009C6B12">
        <w:rPr>
          <w:noProof/>
          <w:szCs w:val="24"/>
        </w:rPr>
        <w:t xml:space="preserve"> all of the </w:t>
      </w:r>
      <w:r w:rsidR="000A081B" w:rsidRPr="009C6B12">
        <w:rPr>
          <w:noProof/>
          <w:szCs w:val="24"/>
        </w:rPr>
        <w:t>plasma-treated samples show decreases.</w:t>
      </w:r>
      <w:r w:rsidRPr="009C6B12">
        <w:rPr>
          <w:szCs w:val="24"/>
        </w:rPr>
        <w:t xml:space="preserve"> </w:t>
      </w:r>
      <w:r w:rsidR="000A081B" w:rsidRPr="009C6B12">
        <w:rPr>
          <w:szCs w:val="24"/>
        </w:rPr>
        <w:t>T</w:t>
      </w:r>
      <w:r w:rsidRPr="009C6B12">
        <w:rPr>
          <w:szCs w:val="24"/>
        </w:rPr>
        <w:t xml:space="preserve">here is no difference, beyond random variation, </w:t>
      </w:r>
      <w:r w:rsidR="000A081B" w:rsidRPr="009C6B12">
        <w:rPr>
          <w:szCs w:val="24"/>
        </w:rPr>
        <w:t>before and after the soaking treatment</w:t>
      </w:r>
      <w:r w:rsidRPr="009C6B12">
        <w:rPr>
          <w:szCs w:val="24"/>
        </w:rPr>
        <w:t>.</w:t>
      </w:r>
      <w:r w:rsidR="000A7DB5" w:rsidRPr="009C6B12">
        <w:rPr>
          <w:szCs w:val="24"/>
        </w:rPr>
        <w:t xml:space="preserve"> </w:t>
      </w:r>
    </w:p>
    <w:p w14:paraId="523D2CD9" w14:textId="4DF918BC" w:rsidR="00A569EF" w:rsidRDefault="00A569EF" w:rsidP="003C7A46">
      <w:pPr>
        <w:pStyle w:val="Caption"/>
      </w:pPr>
      <w:r w:rsidRPr="00A569EF">
        <w:t xml:space="preserve">Table </w:t>
      </w:r>
      <w:r>
        <w:t>S</w:t>
      </w:r>
      <w:fldSimple w:instr=" SEQ Table \* ARABIC ">
        <w:r w:rsidR="00727084">
          <w:rPr>
            <w:noProof/>
          </w:rPr>
          <w:t>2</w:t>
        </w:r>
      </w:fldSimple>
      <w:r w:rsidRPr="00A569EF">
        <w:t xml:space="preserve"> </w:t>
      </w:r>
      <w:r w:rsidRPr="009C6B12">
        <w:t xml:space="preserve">The data sets used to </w:t>
      </w:r>
      <w:r w:rsidRPr="009C6B12">
        <w:rPr>
          <w:noProof/>
        </w:rPr>
        <w:t>calculate</w:t>
      </w:r>
      <w:r w:rsidRPr="009C6B12">
        <w:t xml:space="preserve"> the normalized values for g-band to d-band area ratios.</w:t>
      </w:r>
    </w:p>
    <w:tbl>
      <w:tblPr>
        <w:tblStyle w:val="GridTable2"/>
        <w:tblW w:w="5103" w:type="dxa"/>
        <w:jc w:val="center"/>
        <w:tblLook w:val="04A0" w:firstRow="1" w:lastRow="0" w:firstColumn="1" w:lastColumn="0" w:noHBand="0" w:noVBand="1"/>
      </w:tblPr>
      <w:tblGrid>
        <w:gridCol w:w="1701"/>
        <w:gridCol w:w="1701"/>
        <w:gridCol w:w="1701"/>
      </w:tblGrid>
      <w:tr w:rsidR="004B2213" w:rsidRPr="009C6B12" w14:paraId="7DF32E5D" w14:textId="77777777" w:rsidTr="00E11946">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4" w:space="0" w:color="auto"/>
            </w:tcBorders>
            <w:vAlign w:val="center"/>
          </w:tcPr>
          <w:p w14:paraId="759794C7" w14:textId="77777777" w:rsidR="004B2213" w:rsidRPr="009C6B12" w:rsidRDefault="004B2213" w:rsidP="009C6B12">
            <w:pPr>
              <w:spacing w:line="480" w:lineRule="auto"/>
              <w:jc w:val="center"/>
              <w:rPr>
                <w:rFonts w:cs="Times New Roman"/>
                <w:sz w:val="24"/>
                <w:szCs w:val="24"/>
                <w:lang w:eastAsia="en-GB"/>
              </w:rPr>
            </w:pPr>
            <w:r w:rsidRPr="009C6B12">
              <w:rPr>
                <w:rFonts w:cs="Times New Roman"/>
                <w:sz w:val="24"/>
                <w:szCs w:val="24"/>
                <w:lang w:eastAsia="en-GB"/>
              </w:rPr>
              <w:t>EDA concentration (vol%)</w:t>
            </w:r>
          </w:p>
        </w:tc>
        <w:tc>
          <w:tcPr>
            <w:tcW w:w="3402" w:type="dxa"/>
            <w:gridSpan w:val="2"/>
            <w:tcBorders>
              <w:top w:val="single" w:sz="4" w:space="0" w:color="auto"/>
              <w:bottom w:val="nil"/>
              <w:right w:val="nil"/>
            </w:tcBorders>
            <w:shd w:val="clear" w:color="auto" w:fill="auto"/>
            <w:vAlign w:val="center"/>
          </w:tcPr>
          <w:p w14:paraId="53339BF7" w14:textId="77777777" w:rsidR="004B2213" w:rsidRPr="009C6B12" w:rsidRDefault="004B2213" w:rsidP="009C6B1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G:D ratio</w:t>
            </w:r>
          </w:p>
        </w:tc>
      </w:tr>
      <w:tr w:rsidR="004B2213" w:rsidRPr="009C6B12" w14:paraId="51AE5466" w14:textId="77777777" w:rsidTr="00834F20">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4" w:space="0" w:color="auto"/>
            </w:tcBorders>
            <w:shd w:val="clear" w:color="auto" w:fill="FFFFFF" w:themeFill="background1"/>
            <w:vAlign w:val="center"/>
            <w:hideMark/>
          </w:tcPr>
          <w:p w14:paraId="7546AB9B" w14:textId="77777777" w:rsidR="004B2213" w:rsidRPr="009C6B12" w:rsidRDefault="004B2213" w:rsidP="009C6B12">
            <w:pPr>
              <w:spacing w:line="480" w:lineRule="auto"/>
              <w:jc w:val="center"/>
              <w:rPr>
                <w:rFonts w:cs="Times New Roman"/>
                <w:sz w:val="24"/>
                <w:szCs w:val="24"/>
                <w:lang w:eastAsia="en-GB"/>
              </w:rPr>
            </w:pPr>
          </w:p>
        </w:tc>
        <w:tc>
          <w:tcPr>
            <w:tcW w:w="1701" w:type="dxa"/>
            <w:tcBorders>
              <w:top w:val="nil"/>
              <w:left w:val="single" w:sz="4" w:space="0" w:color="auto"/>
              <w:bottom w:val="nil"/>
              <w:right w:val="single" w:sz="4" w:space="0" w:color="auto"/>
            </w:tcBorders>
            <w:shd w:val="clear" w:color="auto" w:fill="auto"/>
            <w:vAlign w:val="center"/>
            <w:hideMark/>
          </w:tcPr>
          <w:p w14:paraId="33324309" w14:textId="77777777" w:rsidR="004B2213" w:rsidRPr="009C6B12" w:rsidRDefault="004B2213"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lang w:eastAsia="en-GB"/>
              </w:rPr>
            </w:pPr>
            <w:r w:rsidRPr="009C6B12">
              <w:rPr>
                <w:rFonts w:cs="Times New Roman"/>
                <w:b/>
                <w:bCs/>
                <w:sz w:val="24"/>
                <w:szCs w:val="24"/>
                <w:lang w:eastAsia="en-GB"/>
              </w:rPr>
              <w:t>Pristine</w:t>
            </w:r>
          </w:p>
        </w:tc>
        <w:tc>
          <w:tcPr>
            <w:tcW w:w="1701" w:type="dxa"/>
            <w:tcBorders>
              <w:top w:val="nil"/>
              <w:left w:val="single" w:sz="4" w:space="0" w:color="auto"/>
              <w:bottom w:val="nil"/>
              <w:right w:val="nil"/>
            </w:tcBorders>
            <w:shd w:val="clear" w:color="auto" w:fill="auto"/>
            <w:vAlign w:val="center"/>
            <w:hideMark/>
          </w:tcPr>
          <w:p w14:paraId="2A426F23" w14:textId="77777777" w:rsidR="004B2213" w:rsidRPr="009C6B12" w:rsidRDefault="004B2213"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lang w:eastAsia="en-GB"/>
              </w:rPr>
            </w:pPr>
            <w:r w:rsidRPr="009C6B12">
              <w:rPr>
                <w:rFonts w:cs="Times New Roman"/>
                <w:b/>
                <w:bCs/>
                <w:sz w:val="24"/>
                <w:szCs w:val="24"/>
                <w:lang w:eastAsia="en-GB"/>
              </w:rPr>
              <w:t>After treatment</w:t>
            </w:r>
          </w:p>
        </w:tc>
      </w:tr>
      <w:tr w:rsidR="004B2213" w:rsidRPr="009C6B12" w14:paraId="27230527" w14:textId="77777777" w:rsidTr="00E11946">
        <w:trPr>
          <w:trHeight w:val="324"/>
          <w:jc w:val="center"/>
        </w:trPr>
        <w:tc>
          <w:tcPr>
            <w:cnfStyle w:val="001000000000" w:firstRow="0" w:lastRow="0" w:firstColumn="1" w:lastColumn="0" w:oddVBand="0" w:evenVBand="0" w:oddHBand="0" w:evenHBand="0" w:firstRowFirstColumn="0" w:firstRowLastColumn="0" w:lastRowFirstColumn="0" w:lastRowLastColumn="0"/>
            <w:tcW w:w="5103" w:type="dxa"/>
            <w:gridSpan w:val="3"/>
            <w:shd w:val="clear" w:color="auto" w:fill="BFBFBF" w:themeFill="background1" w:themeFillShade="BF"/>
            <w:vAlign w:val="bottom"/>
            <w:hideMark/>
          </w:tcPr>
          <w:p w14:paraId="27E8C039" w14:textId="2C6DDDBF" w:rsidR="004B2213" w:rsidRPr="009C6B12" w:rsidRDefault="004B2213" w:rsidP="009C6B12">
            <w:pPr>
              <w:spacing w:line="480" w:lineRule="auto"/>
              <w:jc w:val="center"/>
              <w:rPr>
                <w:rFonts w:cs="Times New Roman"/>
                <w:sz w:val="24"/>
                <w:szCs w:val="24"/>
                <w:lang w:eastAsia="en-GB"/>
              </w:rPr>
            </w:pPr>
            <w:r w:rsidRPr="009C6B12">
              <w:rPr>
                <w:rFonts w:cs="Times New Roman"/>
                <w:sz w:val="24"/>
                <w:szCs w:val="24"/>
                <w:lang w:eastAsia="en-GB"/>
              </w:rPr>
              <w:t>Floating</w:t>
            </w:r>
          </w:p>
        </w:tc>
      </w:tr>
      <w:tr w:rsidR="004B2213" w:rsidRPr="009C6B12" w14:paraId="55F8F962" w14:textId="77777777" w:rsidTr="00E11946">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vAlign w:val="center"/>
            <w:hideMark/>
          </w:tcPr>
          <w:p w14:paraId="058976B9" w14:textId="77777777" w:rsidR="004B2213" w:rsidRPr="009C6B12" w:rsidRDefault="004B2213" w:rsidP="009C6B12">
            <w:pPr>
              <w:spacing w:line="480" w:lineRule="auto"/>
              <w:jc w:val="center"/>
              <w:rPr>
                <w:rFonts w:cs="Times New Roman"/>
                <w:sz w:val="24"/>
                <w:szCs w:val="24"/>
                <w:lang w:eastAsia="en-GB"/>
              </w:rPr>
            </w:pPr>
            <w:r w:rsidRPr="009C6B12">
              <w:rPr>
                <w:rFonts w:cs="Times New Roman"/>
                <w:sz w:val="24"/>
                <w:szCs w:val="24"/>
                <w:lang w:eastAsia="en-GB"/>
              </w:rPr>
              <w:t>2.5</w:t>
            </w:r>
          </w:p>
        </w:tc>
        <w:tc>
          <w:tcPr>
            <w:tcW w:w="1701" w:type="dxa"/>
            <w:shd w:val="clear" w:color="auto" w:fill="auto"/>
            <w:vAlign w:val="center"/>
            <w:hideMark/>
          </w:tcPr>
          <w:p w14:paraId="059C4A9D" w14:textId="7C914BAE" w:rsidR="004B2213" w:rsidRPr="009C6B12" w:rsidRDefault="004B2213"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w:t>
            </w:r>
            <w:r w:rsidR="00B22D16" w:rsidRPr="009C6B12">
              <w:rPr>
                <w:rFonts w:cs="Times New Roman"/>
                <w:sz w:val="24"/>
                <w:szCs w:val="24"/>
                <w:lang w:eastAsia="en-GB"/>
              </w:rPr>
              <w:t>3</w:t>
            </w:r>
            <w:r w:rsidRPr="009C6B12">
              <w:rPr>
                <w:rFonts w:cs="Times New Roman"/>
                <w:sz w:val="24"/>
                <w:szCs w:val="24"/>
                <w:lang w:eastAsia="en-GB"/>
              </w:rPr>
              <w:t>±0.</w:t>
            </w:r>
            <w:r w:rsidR="00B22D16" w:rsidRPr="009C6B12">
              <w:rPr>
                <w:rFonts w:cs="Times New Roman"/>
                <w:sz w:val="24"/>
                <w:szCs w:val="24"/>
                <w:lang w:eastAsia="en-GB"/>
              </w:rPr>
              <w:t>4</w:t>
            </w:r>
          </w:p>
        </w:tc>
        <w:tc>
          <w:tcPr>
            <w:tcW w:w="1701" w:type="dxa"/>
            <w:shd w:val="clear" w:color="auto" w:fill="auto"/>
            <w:vAlign w:val="center"/>
            <w:hideMark/>
          </w:tcPr>
          <w:p w14:paraId="57E70D60" w14:textId="1660B3D1" w:rsidR="004B2213" w:rsidRPr="009C6B12" w:rsidRDefault="004B2213"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w:t>
            </w:r>
            <w:r w:rsidR="00B22D16" w:rsidRPr="009C6B12">
              <w:rPr>
                <w:rFonts w:cs="Times New Roman"/>
                <w:sz w:val="24"/>
                <w:szCs w:val="24"/>
                <w:lang w:eastAsia="en-GB"/>
              </w:rPr>
              <w:t>1</w:t>
            </w:r>
            <w:r w:rsidRPr="009C6B12">
              <w:rPr>
                <w:rFonts w:cs="Times New Roman"/>
                <w:sz w:val="24"/>
                <w:szCs w:val="24"/>
                <w:lang w:eastAsia="en-GB"/>
              </w:rPr>
              <w:t>±0.</w:t>
            </w:r>
            <w:r w:rsidR="00B22D16" w:rsidRPr="009C6B12">
              <w:rPr>
                <w:rFonts w:cs="Times New Roman"/>
                <w:sz w:val="24"/>
                <w:szCs w:val="24"/>
                <w:lang w:eastAsia="en-GB"/>
              </w:rPr>
              <w:t>2</w:t>
            </w:r>
          </w:p>
        </w:tc>
      </w:tr>
      <w:tr w:rsidR="004B2213" w:rsidRPr="009C6B12" w14:paraId="7A9AC32D" w14:textId="77777777" w:rsidTr="00E11946">
        <w:trPr>
          <w:trHeight w:val="324"/>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vAlign w:val="center"/>
            <w:hideMark/>
          </w:tcPr>
          <w:p w14:paraId="4B8418D1" w14:textId="77777777" w:rsidR="004B2213" w:rsidRPr="009C6B12" w:rsidRDefault="004B2213" w:rsidP="009C6B12">
            <w:pPr>
              <w:spacing w:line="480" w:lineRule="auto"/>
              <w:jc w:val="center"/>
              <w:rPr>
                <w:rFonts w:cs="Times New Roman"/>
                <w:sz w:val="24"/>
                <w:szCs w:val="24"/>
                <w:lang w:eastAsia="en-GB"/>
              </w:rPr>
            </w:pPr>
            <w:r w:rsidRPr="009C6B12">
              <w:rPr>
                <w:rFonts w:cs="Times New Roman"/>
                <w:sz w:val="24"/>
                <w:szCs w:val="24"/>
                <w:lang w:eastAsia="en-GB"/>
              </w:rPr>
              <w:t>5</w:t>
            </w:r>
          </w:p>
        </w:tc>
        <w:tc>
          <w:tcPr>
            <w:tcW w:w="1701" w:type="dxa"/>
            <w:shd w:val="clear" w:color="auto" w:fill="auto"/>
            <w:vAlign w:val="center"/>
            <w:hideMark/>
          </w:tcPr>
          <w:p w14:paraId="25B8D934" w14:textId="63968333" w:rsidR="004B2213" w:rsidRPr="009C6B12" w:rsidRDefault="004B2213" w:rsidP="009C6B1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w:t>
            </w:r>
            <w:r w:rsidR="00B22D16" w:rsidRPr="009C6B12">
              <w:rPr>
                <w:rFonts w:cs="Times New Roman"/>
                <w:sz w:val="24"/>
                <w:szCs w:val="24"/>
                <w:lang w:eastAsia="en-GB"/>
              </w:rPr>
              <w:t>3</w:t>
            </w:r>
            <w:r w:rsidRPr="009C6B12">
              <w:rPr>
                <w:rFonts w:cs="Times New Roman"/>
                <w:sz w:val="24"/>
                <w:szCs w:val="24"/>
                <w:lang w:eastAsia="en-GB"/>
              </w:rPr>
              <w:t>±0.</w:t>
            </w:r>
            <w:r w:rsidR="00B22D16" w:rsidRPr="009C6B12">
              <w:rPr>
                <w:rFonts w:cs="Times New Roman"/>
                <w:sz w:val="24"/>
                <w:szCs w:val="24"/>
                <w:lang w:eastAsia="en-GB"/>
              </w:rPr>
              <w:t>3</w:t>
            </w:r>
          </w:p>
        </w:tc>
        <w:tc>
          <w:tcPr>
            <w:tcW w:w="1701" w:type="dxa"/>
            <w:shd w:val="clear" w:color="auto" w:fill="auto"/>
            <w:vAlign w:val="center"/>
            <w:hideMark/>
          </w:tcPr>
          <w:p w14:paraId="3F715A1C" w14:textId="689B1D72" w:rsidR="004B2213" w:rsidRPr="009C6B12" w:rsidRDefault="004B2213" w:rsidP="009C6B1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w:t>
            </w:r>
            <w:r w:rsidR="00B22D16" w:rsidRPr="009C6B12">
              <w:rPr>
                <w:rFonts w:cs="Times New Roman"/>
                <w:sz w:val="24"/>
                <w:szCs w:val="24"/>
                <w:lang w:eastAsia="en-GB"/>
              </w:rPr>
              <w:t>2</w:t>
            </w:r>
            <w:r w:rsidRPr="009C6B12">
              <w:rPr>
                <w:rFonts w:cs="Times New Roman"/>
                <w:sz w:val="24"/>
                <w:szCs w:val="24"/>
                <w:lang w:eastAsia="en-GB"/>
              </w:rPr>
              <w:t>±0.</w:t>
            </w:r>
            <w:r w:rsidR="00B22D16" w:rsidRPr="009C6B12">
              <w:rPr>
                <w:rFonts w:cs="Times New Roman"/>
                <w:sz w:val="24"/>
                <w:szCs w:val="24"/>
                <w:lang w:eastAsia="en-GB"/>
              </w:rPr>
              <w:t>2</w:t>
            </w:r>
          </w:p>
        </w:tc>
      </w:tr>
      <w:tr w:rsidR="004B2213" w:rsidRPr="009C6B12" w14:paraId="3C9D1A80" w14:textId="77777777" w:rsidTr="00E11946">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vAlign w:val="center"/>
            <w:hideMark/>
          </w:tcPr>
          <w:p w14:paraId="1E3EA1D7" w14:textId="77777777" w:rsidR="004B2213" w:rsidRPr="009C6B12" w:rsidRDefault="004B2213" w:rsidP="009C6B12">
            <w:pPr>
              <w:spacing w:line="480" w:lineRule="auto"/>
              <w:jc w:val="center"/>
              <w:rPr>
                <w:rFonts w:cs="Times New Roman"/>
                <w:sz w:val="24"/>
                <w:szCs w:val="24"/>
                <w:lang w:eastAsia="en-GB"/>
              </w:rPr>
            </w:pPr>
            <w:r w:rsidRPr="009C6B12">
              <w:rPr>
                <w:rFonts w:cs="Times New Roman"/>
                <w:sz w:val="24"/>
                <w:szCs w:val="24"/>
                <w:lang w:eastAsia="en-GB"/>
              </w:rPr>
              <w:t>10</w:t>
            </w:r>
          </w:p>
        </w:tc>
        <w:tc>
          <w:tcPr>
            <w:tcW w:w="1701" w:type="dxa"/>
            <w:shd w:val="clear" w:color="auto" w:fill="auto"/>
            <w:vAlign w:val="center"/>
            <w:hideMark/>
          </w:tcPr>
          <w:p w14:paraId="63D37EC2" w14:textId="3D4FA6B2" w:rsidR="004B2213" w:rsidRPr="009C6B12" w:rsidRDefault="004B2213"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w:t>
            </w:r>
            <w:r w:rsidR="00B22D16" w:rsidRPr="009C6B12">
              <w:rPr>
                <w:rFonts w:cs="Times New Roman"/>
                <w:sz w:val="24"/>
                <w:szCs w:val="24"/>
                <w:lang w:eastAsia="en-GB"/>
              </w:rPr>
              <w:t>2</w:t>
            </w:r>
            <w:r w:rsidRPr="009C6B12">
              <w:rPr>
                <w:rFonts w:cs="Times New Roman"/>
                <w:sz w:val="24"/>
                <w:szCs w:val="24"/>
                <w:lang w:eastAsia="en-GB"/>
              </w:rPr>
              <w:t>±0.</w:t>
            </w:r>
            <w:r w:rsidR="00B22D16" w:rsidRPr="009C6B12">
              <w:rPr>
                <w:rFonts w:cs="Times New Roman"/>
                <w:sz w:val="24"/>
                <w:szCs w:val="24"/>
                <w:lang w:eastAsia="en-GB"/>
              </w:rPr>
              <w:t>4</w:t>
            </w:r>
          </w:p>
        </w:tc>
        <w:tc>
          <w:tcPr>
            <w:tcW w:w="1701" w:type="dxa"/>
            <w:shd w:val="clear" w:color="auto" w:fill="auto"/>
            <w:vAlign w:val="center"/>
            <w:hideMark/>
          </w:tcPr>
          <w:p w14:paraId="43B2C785" w14:textId="315DD35F" w:rsidR="004B2213" w:rsidRPr="009C6B12" w:rsidRDefault="004B2213"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1.1±0.</w:t>
            </w:r>
            <w:r w:rsidR="00B22D16" w:rsidRPr="009C6B12">
              <w:rPr>
                <w:rFonts w:cs="Times New Roman"/>
                <w:sz w:val="24"/>
                <w:szCs w:val="24"/>
                <w:lang w:eastAsia="en-GB"/>
              </w:rPr>
              <w:t>3</w:t>
            </w:r>
          </w:p>
        </w:tc>
      </w:tr>
      <w:tr w:rsidR="004B2213" w:rsidRPr="009C6B12" w14:paraId="2E19A891" w14:textId="77777777" w:rsidTr="00E11946">
        <w:trPr>
          <w:trHeight w:val="324"/>
          <w:jc w:val="center"/>
        </w:trPr>
        <w:tc>
          <w:tcPr>
            <w:cnfStyle w:val="001000000000" w:firstRow="0" w:lastRow="0" w:firstColumn="1" w:lastColumn="0" w:oddVBand="0" w:evenVBand="0" w:oddHBand="0" w:evenHBand="0" w:firstRowFirstColumn="0" w:firstRowLastColumn="0" w:lastRowFirstColumn="0" w:lastRowLastColumn="0"/>
            <w:tcW w:w="5103" w:type="dxa"/>
            <w:gridSpan w:val="3"/>
            <w:shd w:val="clear" w:color="auto" w:fill="BFBFBF" w:themeFill="background1" w:themeFillShade="BF"/>
            <w:vAlign w:val="center"/>
            <w:hideMark/>
          </w:tcPr>
          <w:p w14:paraId="720E6A87" w14:textId="77777777" w:rsidR="004B2213" w:rsidRPr="009C6B12" w:rsidRDefault="004B2213" w:rsidP="009C6B12">
            <w:pPr>
              <w:spacing w:line="480" w:lineRule="auto"/>
              <w:jc w:val="center"/>
              <w:rPr>
                <w:rFonts w:cs="Times New Roman"/>
                <w:sz w:val="24"/>
                <w:szCs w:val="24"/>
                <w:lang w:eastAsia="en-GB"/>
              </w:rPr>
            </w:pPr>
            <w:r w:rsidRPr="009C6B12">
              <w:rPr>
                <w:rFonts w:cs="Times New Roman"/>
                <w:sz w:val="24"/>
                <w:szCs w:val="24"/>
                <w:lang w:eastAsia="en-GB"/>
              </w:rPr>
              <w:t>Soaked</w:t>
            </w:r>
          </w:p>
        </w:tc>
      </w:tr>
      <w:tr w:rsidR="004B2213" w:rsidRPr="009C6B12" w14:paraId="2BC0467E" w14:textId="77777777" w:rsidTr="00E11946">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vAlign w:val="center"/>
            <w:hideMark/>
          </w:tcPr>
          <w:p w14:paraId="29648F54" w14:textId="77777777" w:rsidR="004B2213" w:rsidRPr="009C6B12" w:rsidRDefault="004B2213" w:rsidP="009C6B12">
            <w:pPr>
              <w:spacing w:line="480" w:lineRule="auto"/>
              <w:jc w:val="center"/>
              <w:rPr>
                <w:rFonts w:cs="Times New Roman"/>
                <w:sz w:val="24"/>
                <w:szCs w:val="24"/>
                <w:lang w:eastAsia="en-GB"/>
              </w:rPr>
            </w:pPr>
            <w:r w:rsidRPr="009C6B12">
              <w:rPr>
                <w:rFonts w:cs="Times New Roman"/>
                <w:sz w:val="24"/>
                <w:szCs w:val="24"/>
                <w:lang w:eastAsia="en-GB"/>
              </w:rPr>
              <w:t>10</w:t>
            </w:r>
          </w:p>
        </w:tc>
        <w:tc>
          <w:tcPr>
            <w:tcW w:w="1701" w:type="dxa"/>
            <w:shd w:val="clear" w:color="auto" w:fill="auto"/>
            <w:vAlign w:val="center"/>
            <w:hideMark/>
          </w:tcPr>
          <w:p w14:paraId="11DB5C64" w14:textId="77777777" w:rsidR="004B2213" w:rsidRPr="009C6B12" w:rsidRDefault="004B2213"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1.1±0.3</w:t>
            </w:r>
          </w:p>
        </w:tc>
        <w:tc>
          <w:tcPr>
            <w:tcW w:w="1701" w:type="dxa"/>
            <w:shd w:val="clear" w:color="auto" w:fill="auto"/>
            <w:vAlign w:val="center"/>
            <w:hideMark/>
          </w:tcPr>
          <w:p w14:paraId="277417C2" w14:textId="77777777" w:rsidR="004B2213" w:rsidRPr="009C6B12" w:rsidRDefault="004B2213"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1.1±0.2</w:t>
            </w:r>
          </w:p>
        </w:tc>
      </w:tr>
    </w:tbl>
    <w:p w14:paraId="7D012970" w14:textId="77777777" w:rsidR="00240A26" w:rsidRDefault="00240A26" w:rsidP="009C6B12">
      <w:pPr>
        <w:spacing w:after="0" w:line="480" w:lineRule="auto"/>
        <w:jc w:val="center"/>
        <w:rPr>
          <w:szCs w:val="24"/>
          <w:highlight w:val="yellow"/>
        </w:rPr>
      </w:pPr>
    </w:p>
    <w:p w14:paraId="3A819DC1" w14:textId="43CB656A" w:rsidR="00C6717D" w:rsidRPr="009C6B12" w:rsidRDefault="003E15FC" w:rsidP="009C6B12">
      <w:pPr>
        <w:spacing w:after="0" w:line="480" w:lineRule="auto"/>
        <w:jc w:val="center"/>
        <w:rPr>
          <w:szCs w:val="24"/>
        </w:rPr>
      </w:pPr>
      <w:r>
        <w:rPr>
          <w:noProof/>
        </w:rPr>
        <w:drawing>
          <wp:inline distT="0" distB="0" distL="0" distR="0" wp14:anchorId="5CDE6194" wp14:editId="2F8831DF">
            <wp:extent cx="3025140" cy="23164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r w:rsidR="003612BE" w:rsidRPr="009C6B12">
        <w:rPr>
          <w:szCs w:val="24"/>
          <w:highlight w:val="yellow"/>
        </w:rPr>
        <w:t xml:space="preserve"> </w:t>
      </w:r>
    </w:p>
    <w:p w14:paraId="28EC2801" w14:textId="049BD857" w:rsidR="003612BE" w:rsidRDefault="00D40604" w:rsidP="003C7A46">
      <w:pPr>
        <w:pStyle w:val="Caption"/>
      </w:pPr>
      <w:bookmarkStart w:id="7" w:name="_Ref44421470"/>
      <w:r w:rsidRPr="009C6B12">
        <w:t xml:space="preserve">Figure </w:t>
      </w:r>
      <w:r w:rsidR="00853C23" w:rsidRPr="009C6B12">
        <w:t>S</w:t>
      </w:r>
      <w:fldSimple w:instr=" SEQ Figure \* ARABIC ">
        <w:r w:rsidR="00727084">
          <w:rPr>
            <w:noProof/>
          </w:rPr>
          <w:t>10</w:t>
        </w:r>
      </w:fldSimple>
      <w:bookmarkEnd w:id="7"/>
      <w:r w:rsidRPr="009C6B12">
        <w:t xml:space="preserve"> G band to D band ratios for ribbons in the floating configuration treated in solutions containing varying concentrations of ethylenediamine normali</w:t>
      </w:r>
      <w:r w:rsidR="00E27FFC" w:rsidRPr="009C6B12">
        <w:t>z</w:t>
      </w:r>
      <w:r w:rsidRPr="009C6B12">
        <w:t xml:space="preserve">ed </w:t>
      </w:r>
      <w:r w:rsidRPr="009C6B12">
        <w:lastRenderedPageBreak/>
        <w:t>against the values for a pristine ribbon. The dashed lines enclose plus or minus 1 standard deviation from the average pristine value.</w:t>
      </w:r>
      <w:r w:rsidR="00DB7BE9" w:rsidRPr="009C6B12">
        <w:t xml:space="preserve"> </w:t>
      </w:r>
    </w:p>
    <w:p w14:paraId="1740ACA1" w14:textId="77777777" w:rsidR="002D5C5F" w:rsidRPr="002D5C5F" w:rsidRDefault="002D5C5F" w:rsidP="002D5C5F"/>
    <w:p w14:paraId="53BEEFC6" w14:textId="2A092497" w:rsidR="00F71B0D" w:rsidRDefault="00424D50" w:rsidP="00F71B0D">
      <w:pPr>
        <w:keepNext/>
        <w:spacing w:after="0" w:line="480" w:lineRule="auto"/>
        <w:jc w:val="center"/>
      </w:pPr>
      <w:r>
        <w:rPr>
          <w:noProof/>
        </w:rPr>
        <w:drawing>
          <wp:inline distT="0" distB="0" distL="0" distR="0" wp14:anchorId="4B4FDFCB" wp14:editId="46EB2077">
            <wp:extent cx="3025140" cy="23164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74C78AB5" w14:textId="648DA997" w:rsidR="00430602" w:rsidRDefault="00F71B0D" w:rsidP="003C7A46">
      <w:pPr>
        <w:pStyle w:val="Caption"/>
      </w:pPr>
      <w:r>
        <w:t>Figure S</w:t>
      </w:r>
      <w:r w:rsidR="00B1188E">
        <w:fldChar w:fldCharType="begin"/>
      </w:r>
      <w:r w:rsidR="00B1188E">
        <w:instrText xml:space="preserve"> SEQ Figure \* ARABIC </w:instrText>
      </w:r>
      <w:r w:rsidR="00B1188E">
        <w:fldChar w:fldCharType="separate"/>
      </w:r>
      <w:r w:rsidR="00727084">
        <w:rPr>
          <w:noProof/>
        </w:rPr>
        <w:t>11</w:t>
      </w:r>
      <w:r w:rsidR="00B1188E">
        <w:rPr>
          <w:noProof/>
        </w:rPr>
        <w:fldChar w:fldCharType="end"/>
      </w:r>
      <w:r w:rsidR="00240A26">
        <w:t xml:space="preserve"> X-ray photoelectron survey spectra for ribbons allowed to float freely and treated by a microplasma discharge over the electrolyte for a variety of ethylenediamine concentrations.</w:t>
      </w:r>
    </w:p>
    <w:p w14:paraId="639CCB41" w14:textId="705371BA" w:rsidR="004075B0" w:rsidRPr="009C6B12" w:rsidRDefault="004075B0" w:rsidP="009C6B12">
      <w:pPr>
        <w:spacing w:line="480" w:lineRule="auto"/>
        <w:rPr>
          <w:szCs w:val="24"/>
        </w:rPr>
      </w:pPr>
      <w:r w:rsidRPr="009C6B12">
        <w:rPr>
          <w:szCs w:val="24"/>
        </w:rPr>
        <w:t xml:space="preserve">The at% of nitrogen measured by XPS, </w:t>
      </w:r>
      <w:r w:rsidRPr="009C6B12">
        <w:rPr>
          <w:b/>
          <w:szCs w:val="24"/>
        </w:rPr>
        <w:fldChar w:fldCharType="begin"/>
      </w:r>
      <w:r w:rsidRPr="009C6B12">
        <w:rPr>
          <w:szCs w:val="24"/>
        </w:rPr>
        <w:instrText xml:space="preserve"> REF _Ref23235949 \h </w:instrText>
      </w:r>
      <w:r w:rsidR="009C6B12" w:rsidRPr="009C6B12">
        <w:rPr>
          <w:b/>
          <w:szCs w:val="24"/>
        </w:rPr>
        <w:instrText xml:space="preserve"> \* MERGEFORMAT </w:instrText>
      </w:r>
      <w:r w:rsidRPr="009C6B12">
        <w:rPr>
          <w:b/>
          <w:szCs w:val="24"/>
        </w:rPr>
      </w:r>
      <w:r w:rsidRPr="009C6B12">
        <w:rPr>
          <w:b/>
          <w:szCs w:val="24"/>
        </w:rPr>
        <w:fldChar w:fldCharType="separate"/>
      </w:r>
      <w:r w:rsidR="00727084" w:rsidRPr="00727084">
        <w:rPr>
          <w:szCs w:val="24"/>
        </w:rPr>
        <w:t>Figure S12</w:t>
      </w:r>
      <w:r w:rsidRPr="009C6B12">
        <w:rPr>
          <w:b/>
          <w:szCs w:val="24"/>
        </w:rPr>
        <w:fldChar w:fldCharType="end"/>
      </w:r>
      <w:r w:rsidRPr="009C6B12">
        <w:rPr>
          <w:szCs w:val="24"/>
        </w:rPr>
        <w:t xml:space="preserve">, both soaked and plasma samples, though plasma samples have a slightly higher inclusion of nitrogen. This implies that the availability of the nitrogen species is enhanced to a degree for the plasma-treated samples. </w:t>
      </w:r>
    </w:p>
    <w:p w14:paraId="3E353E15" w14:textId="093D567C" w:rsidR="004075B0" w:rsidRPr="009C6B12" w:rsidRDefault="00D31976" w:rsidP="009C6B12">
      <w:pPr>
        <w:spacing w:after="0" w:line="480" w:lineRule="auto"/>
        <w:rPr>
          <w:szCs w:val="24"/>
        </w:rPr>
      </w:pPr>
      <w:bookmarkStart w:id="8" w:name="_Ref534615931"/>
      <w:r>
        <w:rPr>
          <w:noProof/>
        </w:rPr>
        <w:drawing>
          <wp:inline distT="0" distB="0" distL="0" distR="0" wp14:anchorId="7B7DDFF6" wp14:editId="73D2EA62">
            <wp:extent cx="5146039" cy="196576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78052" cy="1977991"/>
                    </a:xfrm>
                    <a:prstGeom prst="rect">
                      <a:avLst/>
                    </a:prstGeom>
                    <a:noFill/>
                    <a:ln>
                      <a:noFill/>
                    </a:ln>
                  </pic:spPr>
                </pic:pic>
              </a:graphicData>
            </a:graphic>
          </wp:inline>
        </w:drawing>
      </w:r>
    </w:p>
    <w:p w14:paraId="1B9B8638" w14:textId="120615E5" w:rsidR="004075B0" w:rsidRPr="009C6B12" w:rsidRDefault="004075B0" w:rsidP="003C7A46">
      <w:pPr>
        <w:pStyle w:val="Caption"/>
      </w:pPr>
      <w:bookmarkStart w:id="9" w:name="_Ref23235949"/>
      <w:r w:rsidRPr="009C6B12">
        <w:lastRenderedPageBreak/>
        <w:t>Figure S</w:t>
      </w:r>
      <w:fldSimple w:instr=" SEQ Figure \* ARABIC ">
        <w:r w:rsidR="00727084">
          <w:rPr>
            <w:noProof/>
          </w:rPr>
          <w:t>12</w:t>
        </w:r>
      </w:fldSimple>
      <w:bookmarkEnd w:id="8"/>
      <w:bookmarkEnd w:id="9"/>
      <w:r w:rsidRPr="009C6B12">
        <w:t xml:space="preserve"> The atomic percentage of nitrogen determined from the region area of the narrow spectra obtained by x-ray photoelectron spectroscopy at 20 eV pass energy.</w:t>
      </w:r>
      <w:r w:rsidR="00DB7BE9" w:rsidRPr="009C6B12">
        <w:t xml:space="preserve"> </w:t>
      </w:r>
    </w:p>
    <w:p w14:paraId="03A878E9" w14:textId="77777777" w:rsidR="000A081B" w:rsidRPr="009C6B12" w:rsidRDefault="000A081B" w:rsidP="009C6B12">
      <w:pPr>
        <w:spacing w:line="480" w:lineRule="auto"/>
        <w:jc w:val="left"/>
        <w:rPr>
          <w:rFonts w:eastAsiaTheme="majorEastAsia" w:cs="Arial"/>
          <w:b/>
          <w:bCs/>
          <w:iCs/>
          <w:szCs w:val="24"/>
        </w:rPr>
      </w:pPr>
      <w:r w:rsidRPr="009C6B12">
        <w:rPr>
          <w:szCs w:val="24"/>
        </w:rPr>
        <w:br w:type="page"/>
      </w:r>
    </w:p>
    <w:p w14:paraId="713C68CE" w14:textId="5F74AD74" w:rsidR="00B00291" w:rsidRDefault="002F39C5" w:rsidP="009C6B12">
      <w:pPr>
        <w:pStyle w:val="Heading2"/>
        <w:spacing w:line="480" w:lineRule="auto"/>
        <w:rPr>
          <w:szCs w:val="24"/>
        </w:rPr>
      </w:pPr>
      <w:r w:rsidRPr="009C6B12">
        <w:rPr>
          <w:szCs w:val="24"/>
        </w:rPr>
        <w:lastRenderedPageBreak/>
        <w:t>Ribbons</w:t>
      </w:r>
      <w:r w:rsidR="00B00291" w:rsidRPr="009C6B12">
        <w:rPr>
          <w:szCs w:val="24"/>
        </w:rPr>
        <w:t xml:space="preserve"> secured with a PTFE holder</w:t>
      </w:r>
    </w:p>
    <w:p w14:paraId="5D217827" w14:textId="1811555E" w:rsidR="00BA7F12" w:rsidRDefault="00594886" w:rsidP="00BA7F12">
      <w:pPr>
        <w:keepNext/>
        <w:spacing w:after="0" w:line="480" w:lineRule="auto"/>
        <w:jc w:val="center"/>
      </w:pPr>
      <w:r>
        <w:rPr>
          <w:noProof/>
        </w:rPr>
        <w:drawing>
          <wp:inline distT="0" distB="0" distL="0" distR="0" wp14:anchorId="0CE6BE80" wp14:editId="42A2DA9E">
            <wp:extent cx="3025140" cy="23164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32A410F7" w14:textId="50AA7DC5" w:rsidR="00C92485" w:rsidRDefault="00BA7F12" w:rsidP="003C7A46">
      <w:pPr>
        <w:pStyle w:val="Caption"/>
      </w:pPr>
      <w:r>
        <w:t>Figure S</w:t>
      </w:r>
      <w:r w:rsidR="00B1188E">
        <w:fldChar w:fldCharType="begin"/>
      </w:r>
      <w:r w:rsidR="00B1188E">
        <w:instrText xml:space="preserve"> SEQ Figure \* ARABIC </w:instrText>
      </w:r>
      <w:r w:rsidR="00B1188E">
        <w:fldChar w:fldCharType="separate"/>
      </w:r>
      <w:r w:rsidR="00727084">
        <w:rPr>
          <w:noProof/>
        </w:rPr>
        <w:t>13</w:t>
      </w:r>
      <w:r w:rsidR="00B1188E">
        <w:rPr>
          <w:noProof/>
        </w:rPr>
        <w:fldChar w:fldCharType="end"/>
      </w:r>
      <w:r w:rsidR="007B7E92">
        <w:t xml:space="preserve"> </w:t>
      </w:r>
      <w:r w:rsidR="004817F9">
        <w:t>Representative r</w:t>
      </w:r>
      <w:r w:rsidR="007B7E92">
        <w:t xml:space="preserve">aman spectroscopy plots for ribbons secured in place by a PTFE holder but not </w:t>
      </w:r>
      <w:r w:rsidR="004817F9">
        <w:t>connected as the anode.</w:t>
      </w:r>
    </w:p>
    <w:p w14:paraId="3C5472B7" w14:textId="346755D9" w:rsidR="00243995" w:rsidRPr="009C6B12" w:rsidRDefault="00243995" w:rsidP="009C6B12">
      <w:pPr>
        <w:spacing w:line="480" w:lineRule="auto"/>
        <w:rPr>
          <w:szCs w:val="24"/>
        </w:rPr>
      </w:pPr>
      <w:r w:rsidRPr="009C6B12">
        <w:rPr>
          <w:szCs w:val="24"/>
        </w:rPr>
        <w:t>The Raman data collected</w:t>
      </w:r>
      <w:r w:rsidR="00911464" w:rsidRPr="009C6B12">
        <w:rPr>
          <w:szCs w:val="24"/>
        </w:rPr>
        <w:t xml:space="preserve"> in </w:t>
      </w:r>
      <w:r w:rsidR="00D30DB6">
        <w:rPr>
          <w:szCs w:val="24"/>
        </w:rPr>
        <w:t>Table S3</w:t>
      </w:r>
      <w:r w:rsidR="00DE4B30" w:rsidRPr="009C6B12">
        <w:rPr>
          <w:szCs w:val="24"/>
        </w:rPr>
        <w:t xml:space="preserve"> (</w:t>
      </w:r>
      <w:r w:rsidR="00DE4B30" w:rsidRPr="009C6B12">
        <w:rPr>
          <w:szCs w:val="24"/>
        </w:rPr>
        <w:fldChar w:fldCharType="begin"/>
      </w:r>
      <w:r w:rsidR="00DE4B30" w:rsidRPr="009C6B12">
        <w:rPr>
          <w:szCs w:val="24"/>
        </w:rPr>
        <w:instrText xml:space="preserve"> REF _Ref46478869 \h </w:instrText>
      </w:r>
      <w:r w:rsidR="006E2889" w:rsidRPr="009C6B12">
        <w:rPr>
          <w:szCs w:val="24"/>
        </w:rPr>
        <w:instrText xml:space="preserve"> \* MERGEFORMAT </w:instrText>
      </w:r>
      <w:r w:rsidR="00DE4B30" w:rsidRPr="009C6B12">
        <w:rPr>
          <w:szCs w:val="24"/>
        </w:rPr>
      </w:r>
      <w:r w:rsidR="00DE4B30" w:rsidRPr="009C6B12">
        <w:rPr>
          <w:szCs w:val="24"/>
        </w:rPr>
        <w:fldChar w:fldCharType="separate"/>
      </w:r>
      <w:r w:rsidR="00727084" w:rsidRPr="00727084">
        <w:rPr>
          <w:szCs w:val="24"/>
        </w:rPr>
        <w:t>Figure S14</w:t>
      </w:r>
      <w:r w:rsidR="00DE4B30" w:rsidRPr="009C6B12">
        <w:rPr>
          <w:szCs w:val="24"/>
        </w:rPr>
        <w:fldChar w:fldCharType="end"/>
      </w:r>
      <w:r w:rsidR="00DE4B30" w:rsidRPr="009C6B12">
        <w:rPr>
          <w:szCs w:val="24"/>
        </w:rPr>
        <w:t>)</w:t>
      </w:r>
      <w:r w:rsidRPr="009C6B12">
        <w:rPr>
          <w:szCs w:val="24"/>
        </w:rPr>
        <w:t xml:space="preserve"> shows </w:t>
      </w:r>
      <w:r w:rsidR="00C71AA9" w:rsidRPr="009C6B12">
        <w:rPr>
          <w:szCs w:val="24"/>
        </w:rPr>
        <w:t>there is no difference, beyond random variation, between the samples treated by plasma and those soaked in the solution</w:t>
      </w:r>
      <w:r w:rsidRPr="009C6B12">
        <w:rPr>
          <w:szCs w:val="24"/>
        </w:rPr>
        <w:t>, with the G:D ratio remaining at approximately 1.</w:t>
      </w:r>
      <w:r w:rsidR="006564B9" w:rsidRPr="009C6B12">
        <w:rPr>
          <w:szCs w:val="24"/>
        </w:rPr>
        <w:t xml:space="preserve"> </w:t>
      </w:r>
    </w:p>
    <w:p w14:paraId="1C9CBA7D" w14:textId="3D5CF8AB" w:rsidR="00A569EF" w:rsidRDefault="00A569EF" w:rsidP="003C7A46">
      <w:pPr>
        <w:pStyle w:val="Caption"/>
      </w:pPr>
      <w:r w:rsidRPr="00A569EF">
        <w:t>Table S</w:t>
      </w:r>
      <w:fldSimple w:instr=" SEQ Table \* ARABIC ">
        <w:r w:rsidR="00727084">
          <w:rPr>
            <w:noProof/>
          </w:rPr>
          <w:t>3</w:t>
        </w:r>
      </w:fldSimple>
      <w:r w:rsidRPr="00A569EF">
        <w:t xml:space="preserve"> </w:t>
      </w:r>
      <w:r w:rsidRPr="009C6B12">
        <w:t>A summary of the raw data used to compute the normalized values for conductivity, cross-sectional area and g-band to d-band area ratios.</w:t>
      </w:r>
    </w:p>
    <w:tbl>
      <w:tblPr>
        <w:tblStyle w:val="GridTable2"/>
        <w:tblW w:w="5103" w:type="dxa"/>
        <w:jc w:val="center"/>
        <w:tblLook w:val="04A0" w:firstRow="1" w:lastRow="0" w:firstColumn="1" w:lastColumn="0" w:noHBand="0" w:noVBand="1"/>
      </w:tblPr>
      <w:tblGrid>
        <w:gridCol w:w="1701"/>
        <w:gridCol w:w="1701"/>
        <w:gridCol w:w="1701"/>
      </w:tblGrid>
      <w:tr w:rsidR="002B6637" w:rsidRPr="009C6B12" w14:paraId="44AC6B78" w14:textId="77777777" w:rsidTr="00E11946">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4" w:space="0" w:color="auto"/>
            </w:tcBorders>
            <w:vAlign w:val="center"/>
          </w:tcPr>
          <w:p w14:paraId="0C0F3162" w14:textId="77777777" w:rsidR="002B6637" w:rsidRPr="009C6B12" w:rsidRDefault="002B6637" w:rsidP="009C6B12">
            <w:pPr>
              <w:spacing w:line="480" w:lineRule="auto"/>
              <w:jc w:val="center"/>
              <w:rPr>
                <w:rFonts w:cs="Times New Roman"/>
                <w:sz w:val="24"/>
                <w:szCs w:val="24"/>
                <w:lang w:eastAsia="en-GB"/>
              </w:rPr>
            </w:pPr>
            <w:r w:rsidRPr="009C6B12">
              <w:rPr>
                <w:rFonts w:cs="Times New Roman"/>
                <w:sz w:val="24"/>
                <w:szCs w:val="24"/>
                <w:lang w:eastAsia="en-GB"/>
              </w:rPr>
              <w:t>EDA concentration (vol%)</w:t>
            </w:r>
          </w:p>
        </w:tc>
        <w:tc>
          <w:tcPr>
            <w:tcW w:w="3402" w:type="dxa"/>
            <w:gridSpan w:val="2"/>
            <w:tcBorders>
              <w:top w:val="single" w:sz="4" w:space="0" w:color="auto"/>
              <w:bottom w:val="nil"/>
              <w:right w:val="nil"/>
            </w:tcBorders>
            <w:shd w:val="clear" w:color="auto" w:fill="auto"/>
            <w:vAlign w:val="center"/>
          </w:tcPr>
          <w:p w14:paraId="3DE63C84" w14:textId="77777777" w:rsidR="002B6637" w:rsidRPr="009C6B12" w:rsidRDefault="002B6637" w:rsidP="009C6B1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G:D ratio</w:t>
            </w:r>
          </w:p>
        </w:tc>
      </w:tr>
      <w:tr w:rsidR="002B6637" w:rsidRPr="009C6B12" w14:paraId="6AAC89FD" w14:textId="77777777" w:rsidTr="00834F20">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4" w:space="0" w:color="auto"/>
            </w:tcBorders>
            <w:shd w:val="clear" w:color="auto" w:fill="FFFFFF" w:themeFill="background1"/>
            <w:vAlign w:val="center"/>
            <w:hideMark/>
          </w:tcPr>
          <w:p w14:paraId="25A3BA6E" w14:textId="77777777" w:rsidR="002B6637" w:rsidRPr="009C6B12" w:rsidRDefault="002B6637" w:rsidP="009C6B12">
            <w:pPr>
              <w:spacing w:line="480" w:lineRule="auto"/>
              <w:jc w:val="center"/>
              <w:rPr>
                <w:rFonts w:cs="Times New Roman"/>
                <w:sz w:val="24"/>
                <w:szCs w:val="24"/>
                <w:lang w:eastAsia="en-GB"/>
              </w:rPr>
            </w:pPr>
          </w:p>
        </w:tc>
        <w:tc>
          <w:tcPr>
            <w:tcW w:w="1701" w:type="dxa"/>
            <w:tcBorders>
              <w:top w:val="nil"/>
              <w:left w:val="single" w:sz="4" w:space="0" w:color="auto"/>
              <w:bottom w:val="nil"/>
              <w:right w:val="single" w:sz="4" w:space="0" w:color="auto"/>
            </w:tcBorders>
            <w:shd w:val="clear" w:color="auto" w:fill="auto"/>
            <w:vAlign w:val="center"/>
            <w:hideMark/>
          </w:tcPr>
          <w:p w14:paraId="1533CDA7" w14:textId="77777777" w:rsidR="002B6637" w:rsidRPr="009C6B12" w:rsidRDefault="002B6637"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lang w:eastAsia="en-GB"/>
              </w:rPr>
            </w:pPr>
            <w:r w:rsidRPr="009C6B12">
              <w:rPr>
                <w:rFonts w:cs="Times New Roman"/>
                <w:b/>
                <w:bCs/>
                <w:sz w:val="24"/>
                <w:szCs w:val="24"/>
                <w:lang w:eastAsia="en-GB"/>
              </w:rPr>
              <w:t>Pristine</w:t>
            </w:r>
          </w:p>
        </w:tc>
        <w:tc>
          <w:tcPr>
            <w:tcW w:w="1701" w:type="dxa"/>
            <w:tcBorders>
              <w:top w:val="nil"/>
              <w:left w:val="single" w:sz="4" w:space="0" w:color="auto"/>
              <w:bottom w:val="nil"/>
              <w:right w:val="nil"/>
            </w:tcBorders>
            <w:shd w:val="clear" w:color="auto" w:fill="auto"/>
            <w:vAlign w:val="center"/>
            <w:hideMark/>
          </w:tcPr>
          <w:p w14:paraId="7F654247" w14:textId="77777777" w:rsidR="002B6637" w:rsidRPr="009C6B12" w:rsidRDefault="002B6637"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lang w:eastAsia="en-GB"/>
              </w:rPr>
            </w:pPr>
            <w:r w:rsidRPr="009C6B12">
              <w:rPr>
                <w:rFonts w:cs="Times New Roman"/>
                <w:b/>
                <w:bCs/>
                <w:sz w:val="24"/>
                <w:szCs w:val="24"/>
                <w:lang w:eastAsia="en-GB"/>
              </w:rPr>
              <w:t>After treatment</w:t>
            </w:r>
          </w:p>
        </w:tc>
      </w:tr>
      <w:tr w:rsidR="002B6637" w:rsidRPr="009C6B12" w14:paraId="60D26C48" w14:textId="77777777" w:rsidTr="00E11946">
        <w:trPr>
          <w:trHeight w:val="324"/>
          <w:jc w:val="center"/>
        </w:trPr>
        <w:tc>
          <w:tcPr>
            <w:cnfStyle w:val="001000000000" w:firstRow="0" w:lastRow="0" w:firstColumn="1" w:lastColumn="0" w:oddVBand="0" w:evenVBand="0" w:oddHBand="0" w:evenHBand="0" w:firstRowFirstColumn="0" w:firstRowLastColumn="0" w:lastRowFirstColumn="0" w:lastRowLastColumn="0"/>
            <w:tcW w:w="5103" w:type="dxa"/>
            <w:gridSpan w:val="3"/>
            <w:shd w:val="clear" w:color="auto" w:fill="BFBFBF" w:themeFill="background1" w:themeFillShade="BF"/>
            <w:vAlign w:val="bottom"/>
            <w:hideMark/>
          </w:tcPr>
          <w:p w14:paraId="783693D6" w14:textId="29457CBA" w:rsidR="002B6637" w:rsidRPr="009C6B12" w:rsidRDefault="00497378" w:rsidP="009C6B12">
            <w:pPr>
              <w:spacing w:line="480" w:lineRule="auto"/>
              <w:jc w:val="center"/>
              <w:rPr>
                <w:rFonts w:cs="Times New Roman"/>
                <w:sz w:val="24"/>
                <w:szCs w:val="24"/>
                <w:lang w:eastAsia="en-GB"/>
              </w:rPr>
            </w:pPr>
            <w:r w:rsidRPr="009C6B12">
              <w:rPr>
                <w:rFonts w:cs="Times New Roman"/>
                <w:sz w:val="24"/>
                <w:szCs w:val="24"/>
                <w:lang w:eastAsia="en-GB"/>
              </w:rPr>
              <w:t>PTFE holder</w:t>
            </w:r>
          </w:p>
        </w:tc>
      </w:tr>
      <w:tr w:rsidR="002B6637" w:rsidRPr="009C6B12" w14:paraId="487CDD50" w14:textId="77777777" w:rsidTr="00E11946">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vAlign w:val="center"/>
            <w:hideMark/>
          </w:tcPr>
          <w:p w14:paraId="0390E399" w14:textId="77777777" w:rsidR="002B6637" w:rsidRPr="009C6B12" w:rsidRDefault="002B6637" w:rsidP="009C6B12">
            <w:pPr>
              <w:spacing w:line="480" w:lineRule="auto"/>
              <w:jc w:val="center"/>
              <w:rPr>
                <w:rFonts w:cs="Times New Roman"/>
                <w:sz w:val="24"/>
                <w:szCs w:val="24"/>
                <w:lang w:eastAsia="en-GB"/>
              </w:rPr>
            </w:pPr>
            <w:r w:rsidRPr="009C6B12">
              <w:rPr>
                <w:rFonts w:cs="Times New Roman"/>
                <w:sz w:val="24"/>
                <w:szCs w:val="24"/>
                <w:lang w:eastAsia="en-GB"/>
              </w:rPr>
              <w:t>2.5</w:t>
            </w:r>
          </w:p>
        </w:tc>
        <w:tc>
          <w:tcPr>
            <w:tcW w:w="1701" w:type="dxa"/>
            <w:shd w:val="clear" w:color="auto" w:fill="auto"/>
            <w:vAlign w:val="center"/>
            <w:hideMark/>
          </w:tcPr>
          <w:p w14:paraId="68780519" w14:textId="32EA641D" w:rsidR="002B6637" w:rsidRPr="009C6B12" w:rsidRDefault="002B6637"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w:t>
            </w:r>
            <w:r w:rsidR="00D70129" w:rsidRPr="009C6B12">
              <w:rPr>
                <w:rFonts w:cs="Times New Roman"/>
                <w:sz w:val="24"/>
                <w:szCs w:val="24"/>
                <w:lang w:eastAsia="en-GB"/>
              </w:rPr>
              <w:t>2</w:t>
            </w:r>
            <w:r w:rsidRPr="009C6B12">
              <w:rPr>
                <w:rFonts w:cs="Times New Roman"/>
                <w:sz w:val="24"/>
                <w:szCs w:val="24"/>
                <w:lang w:eastAsia="en-GB"/>
              </w:rPr>
              <w:t>±0.4</w:t>
            </w:r>
          </w:p>
        </w:tc>
        <w:tc>
          <w:tcPr>
            <w:tcW w:w="1701" w:type="dxa"/>
            <w:shd w:val="clear" w:color="auto" w:fill="auto"/>
            <w:vAlign w:val="center"/>
            <w:hideMark/>
          </w:tcPr>
          <w:p w14:paraId="5F6889D7" w14:textId="1058D7B9" w:rsidR="002B6637" w:rsidRPr="009C6B12" w:rsidRDefault="002B6637"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1.0±0.3</w:t>
            </w:r>
          </w:p>
        </w:tc>
      </w:tr>
      <w:tr w:rsidR="002B6637" w:rsidRPr="009C6B12" w14:paraId="43686A60" w14:textId="77777777" w:rsidTr="00E11946">
        <w:trPr>
          <w:trHeight w:val="324"/>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vAlign w:val="center"/>
            <w:hideMark/>
          </w:tcPr>
          <w:p w14:paraId="79432897" w14:textId="77777777" w:rsidR="002B6637" w:rsidRPr="009C6B12" w:rsidRDefault="002B6637" w:rsidP="009C6B12">
            <w:pPr>
              <w:spacing w:line="480" w:lineRule="auto"/>
              <w:jc w:val="center"/>
              <w:rPr>
                <w:rFonts w:cs="Times New Roman"/>
                <w:sz w:val="24"/>
                <w:szCs w:val="24"/>
                <w:lang w:eastAsia="en-GB"/>
              </w:rPr>
            </w:pPr>
            <w:r w:rsidRPr="009C6B12">
              <w:rPr>
                <w:rFonts w:cs="Times New Roman"/>
                <w:sz w:val="24"/>
                <w:szCs w:val="24"/>
                <w:lang w:eastAsia="en-GB"/>
              </w:rPr>
              <w:t>5</w:t>
            </w:r>
          </w:p>
        </w:tc>
        <w:tc>
          <w:tcPr>
            <w:tcW w:w="1701" w:type="dxa"/>
            <w:shd w:val="clear" w:color="auto" w:fill="auto"/>
            <w:vAlign w:val="center"/>
            <w:hideMark/>
          </w:tcPr>
          <w:p w14:paraId="20792397" w14:textId="16FD6FEE" w:rsidR="002B6637" w:rsidRPr="009C6B12" w:rsidRDefault="00847F76" w:rsidP="009C6B1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1.0</w:t>
            </w:r>
            <w:r w:rsidR="002B6637" w:rsidRPr="009C6B12">
              <w:rPr>
                <w:rFonts w:cs="Times New Roman"/>
                <w:sz w:val="24"/>
                <w:szCs w:val="24"/>
                <w:lang w:eastAsia="en-GB"/>
              </w:rPr>
              <w:t>±0.3</w:t>
            </w:r>
          </w:p>
        </w:tc>
        <w:tc>
          <w:tcPr>
            <w:tcW w:w="1701" w:type="dxa"/>
            <w:shd w:val="clear" w:color="auto" w:fill="auto"/>
            <w:vAlign w:val="center"/>
            <w:hideMark/>
          </w:tcPr>
          <w:p w14:paraId="62571FB6" w14:textId="477A9790" w:rsidR="002B6637" w:rsidRPr="009C6B12" w:rsidRDefault="002B6637" w:rsidP="009C6B1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1.1±0.4</w:t>
            </w:r>
          </w:p>
        </w:tc>
      </w:tr>
      <w:tr w:rsidR="002B6637" w:rsidRPr="009C6B12" w14:paraId="09B0F540" w14:textId="77777777" w:rsidTr="00E11946">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vAlign w:val="center"/>
            <w:hideMark/>
          </w:tcPr>
          <w:p w14:paraId="17C5B5E0" w14:textId="77777777" w:rsidR="002B6637" w:rsidRPr="009C6B12" w:rsidRDefault="002B6637" w:rsidP="009C6B12">
            <w:pPr>
              <w:spacing w:line="480" w:lineRule="auto"/>
              <w:jc w:val="center"/>
              <w:rPr>
                <w:rFonts w:cs="Times New Roman"/>
                <w:sz w:val="24"/>
                <w:szCs w:val="24"/>
                <w:lang w:eastAsia="en-GB"/>
              </w:rPr>
            </w:pPr>
            <w:r w:rsidRPr="009C6B12">
              <w:rPr>
                <w:rFonts w:cs="Times New Roman"/>
                <w:sz w:val="24"/>
                <w:szCs w:val="24"/>
                <w:lang w:eastAsia="en-GB"/>
              </w:rPr>
              <w:t>10</w:t>
            </w:r>
          </w:p>
        </w:tc>
        <w:tc>
          <w:tcPr>
            <w:tcW w:w="1701" w:type="dxa"/>
            <w:shd w:val="clear" w:color="auto" w:fill="auto"/>
            <w:vAlign w:val="center"/>
            <w:hideMark/>
          </w:tcPr>
          <w:p w14:paraId="16DF136A" w14:textId="11F774C0" w:rsidR="002B6637" w:rsidRPr="009C6B12" w:rsidRDefault="00847F76"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0.9</w:t>
            </w:r>
            <w:r w:rsidR="002B6637" w:rsidRPr="009C6B12">
              <w:rPr>
                <w:rFonts w:cs="Times New Roman"/>
                <w:sz w:val="24"/>
                <w:szCs w:val="24"/>
                <w:lang w:eastAsia="en-GB"/>
              </w:rPr>
              <w:t>±0.</w:t>
            </w:r>
            <w:r w:rsidRPr="009C6B12">
              <w:rPr>
                <w:rFonts w:cs="Times New Roman"/>
                <w:sz w:val="24"/>
                <w:szCs w:val="24"/>
                <w:lang w:eastAsia="en-GB"/>
              </w:rPr>
              <w:t>3</w:t>
            </w:r>
          </w:p>
        </w:tc>
        <w:tc>
          <w:tcPr>
            <w:tcW w:w="1701" w:type="dxa"/>
            <w:shd w:val="clear" w:color="auto" w:fill="auto"/>
            <w:vAlign w:val="center"/>
            <w:hideMark/>
          </w:tcPr>
          <w:p w14:paraId="06F89677" w14:textId="5D55B820" w:rsidR="002B6637" w:rsidRPr="009C6B12" w:rsidRDefault="002B6637"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0.9±0.3</w:t>
            </w:r>
          </w:p>
        </w:tc>
      </w:tr>
      <w:tr w:rsidR="002B6637" w:rsidRPr="009C6B12" w14:paraId="4FBB1176" w14:textId="77777777" w:rsidTr="00E11946">
        <w:trPr>
          <w:trHeight w:val="324"/>
          <w:jc w:val="center"/>
        </w:trPr>
        <w:tc>
          <w:tcPr>
            <w:cnfStyle w:val="001000000000" w:firstRow="0" w:lastRow="0" w:firstColumn="1" w:lastColumn="0" w:oddVBand="0" w:evenVBand="0" w:oddHBand="0" w:evenHBand="0" w:firstRowFirstColumn="0" w:firstRowLastColumn="0" w:lastRowFirstColumn="0" w:lastRowLastColumn="0"/>
            <w:tcW w:w="5103" w:type="dxa"/>
            <w:gridSpan w:val="3"/>
            <w:shd w:val="clear" w:color="auto" w:fill="BFBFBF" w:themeFill="background1" w:themeFillShade="BF"/>
            <w:vAlign w:val="center"/>
            <w:hideMark/>
          </w:tcPr>
          <w:p w14:paraId="64BD5D8F" w14:textId="77777777" w:rsidR="002B6637" w:rsidRPr="009C6B12" w:rsidRDefault="002B6637" w:rsidP="009C6B12">
            <w:pPr>
              <w:spacing w:line="480" w:lineRule="auto"/>
              <w:jc w:val="center"/>
              <w:rPr>
                <w:rFonts w:cs="Times New Roman"/>
                <w:sz w:val="24"/>
                <w:szCs w:val="24"/>
                <w:lang w:eastAsia="en-GB"/>
              </w:rPr>
            </w:pPr>
            <w:r w:rsidRPr="009C6B12">
              <w:rPr>
                <w:rFonts w:cs="Times New Roman"/>
                <w:sz w:val="24"/>
                <w:szCs w:val="24"/>
                <w:lang w:eastAsia="en-GB"/>
              </w:rPr>
              <w:t>Soaked</w:t>
            </w:r>
          </w:p>
        </w:tc>
      </w:tr>
      <w:tr w:rsidR="002B6637" w:rsidRPr="009C6B12" w14:paraId="25B5DBEF" w14:textId="77777777" w:rsidTr="00E11946">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vAlign w:val="center"/>
            <w:hideMark/>
          </w:tcPr>
          <w:p w14:paraId="5699C5E4" w14:textId="77777777" w:rsidR="002B6637" w:rsidRPr="009C6B12" w:rsidRDefault="002B6637" w:rsidP="009C6B12">
            <w:pPr>
              <w:spacing w:line="480" w:lineRule="auto"/>
              <w:jc w:val="center"/>
              <w:rPr>
                <w:rFonts w:cs="Times New Roman"/>
                <w:sz w:val="24"/>
                <w:szCs w:val="24"/>
                <w:lang w:eastAsia="en-GB"/>
              </w:rPr>
            </w:pPr>
            <w:r w:rsidRPr="009C6B12">
              <w:rPr>
                <w:rFonts w:cs="Times New Roman"/>
                <w:sz w:val="24"/>
                <w:szCs w:val="24"/>
                <w:lang w:eastAsia="en-GB"/>
              </w:rPr>
              <w:lastRenderedPageBreak/>
              <w:t>10</w:t>
            </w:r>
          </w:p>
        </w:tc>
        <w:tc>
          <w:tcPr>
            <w:tcW w:w="1701" w:type="dxa"/>
            <w:shd w:val="clear" w:color="auto" w:fill="auto"/>
            <w:vAlign w:val="center"/>
            <w:hideMark/>
          </w:tcPr>
          <w:p w14:paraId="6449967D" w14:textId="77777777" w:rsidR="002B6637" w:rsidRPr="009C6B12" w:rsidRDefault="002B6637"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1.1±0.3</w:t>
            </w:r>
          </w:p>
        </w:tc>
        <w:tc>
          <w:tcPr>
            <w:tcW w:w="1701" w:type="dxa"/>
            <w:shd w:val="clear" w:color="auto" w:fill="auto"/>
            <w:vAlign w:val="center"/>
            <w:hideMark/>
          </w:tcPr>
          <w:p w14:paraId="761F315E" w14:textId="77777777" w:rsidR="002B6637" w:rsidRPr="009C6B12" w:rsidRDefault="002B6637" w:rsidP="009C6B1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eastAsia="en-GB"/>
              </w:rPr>
            </w:pPr>
            <w:r w:rsidRPr="009C6B12">
              <w:rPr>
                <w:rFonts w:cs="Times New Roman"/>
                <w:sz w:val="24"/>
                <w:szCs w:val="24"/>
                <w:lang w:eastAsia="en-GB"/>
              </w:rPr>
              <w:t>1.1±0.2</w:t>
            </w:r>
          </w:p>
        </w:tc>
      </w:tr>
    </w:tbl>
    <w:p w14:paraId="707BB8BA" w14:textId="77777777" w:rsidR="00594886" w:rsidRDefault="00594886" w:rsidP="009C6B12">
      <w:pPr>
        <w:spacing w:after="0" w:line="480" w:lineRule="auto"/>
        <w:jc w:val="center"/>
        <w:rPr>
          <w:szCs w:val="24"/>
        </w:rPr>
      </w:pPr>
    </w:p>
    <w:p w14:paraId="650C00A4" w14:textId="32646DA4" w:rsidR="00C6717D" w:rsidRPr="009C6B12" w:rsidRDefault="004420D8" w:rsidP="009C6B12">
      <w:pPr>
        <w:spacing w:after="0" w:line="480" w:lineRule="auto"/>
        <w:jc w:val="center"/>
        <w:rPr>
          <w:szCs w:val="24"/>
        </w:rPr>
      </w:pPr>
      <w:r>
        <w:rPr>
          <w:noProof/>
        </w:rPr>
        <w:drawing>
          <wp:inline distT="0" distB="0" distL="0" distR="0" wp14:anchorId="3293D279" wp14:editId="08D618F4">
            <wp:extent cx="3025140" cy="23164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4CE633AE" w14:textId="59CD29B9" w:rsidR="00E3221F" w:rsidRDefault="00E3221F" w:rsidP="003C7A46">
      <w:pPr>
        <w:pStyle w:val="Caption"/>
      </w:pPr>
      <w:bookmarkStart w:id="10" w:name="_Ref46478869"/>
      <w:r w:rsidRPr="009C6B12">
        <w:t>Figure S</w:t>
      </w:r>
      <w:fldSimple w:instr=" SEQ Figure \* ARABIC ">
        <w:r w:rsidR="00727084">
          <w:rPr>
            <w:noProof/>
          </w:rPr>
          <w:t>14</w:t>
        </w:r>
      </w:fldSimple>
      <w:bookmarkEnd w:id="10"/>
      <w:r w:rsidRPr="009C6B12">
        <w:t xml:space="preserve"> G band to D band ratio</w:t>
      </w:r>
      <w:r w:rsidR="00B46ACE" w:rsidRPr="009C6B12">
        <w:t>s</w:t>
      </w:r>
      <w:r w:rsidRPr="009C6B12">
        <w:t xml:space="preserve"> for ribbons secured by a PTFE holder and treated in solutions containing varying concentrations of ethylenediamine</w:t>
      </w:r>
      <w:r w:rsidR="00B46ACE" w:rsidRPr="009C6B12">
        <w:t xml:space="preserve"> normali</w:t>
      </w:r>
      <w:r w:rsidR="00E27FFC" w:rsidRPr="009C6B12">
        <w:t>z</w:t>
      </w:r>
      <w:r w:rsidR="00B46ACE" w:rsidRPr="009C6B12">
        <w:t>ed against the values for a pristine ribbon</w:t>
      </w:r>
      <w:r w:rsidRPr="009C6B12">
        <w:t>.</w:t>
      </w:r>
      <w:r w:rsidR="009B0421" w:rsidRPr="009C6B12">
        <w:t xml:space="preserve"> The dashed lines enclose plus or minus 1 standard deviation from the average pristine value.</w:t>
      </w:r>
      <w:r w:rsidR="00DB7BE9" w:rsidRPr="009C6B12">
        <w:t xml:space="preserve"> </w:t>
      </w:r>
    </w:p>
    <w:p w14:paraId="1C91E636" w14:textId="24395CC4" w:rsidR="005F65A7" w:rsidRDefault="005F65A7" w:rsidP="005F65A7"/>
    <w:p w14:paraId="4D52BF02" w14:textId="35454228" w:rsidR="00F71B0D" w:rsidRDefault="00133BBA" w:rsidP="00F71B0D">
      <w:pPr>
        <w:keepNext/>
        <w:spacing w:after="0"/>
        <w:jc w:val="center"/>
      </w:pPr>
      <w:r>
        <w:rPr>
          <w:noProof/>
        </w:rPr>
        <w:lastRenderedPageBreak/>
        <w:drawing>
          <wp:inline distT="0" distB="0" distL="0" distR="0" wp14:anchorId="17A58CA5" wp14:editId="44ED6F49">
            <wp:extent cx="3025140" cy="23164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538A52AE" w14:textId="4DE01852" w:rsidR="007B2B02" w:rsidRPr="005F65A7" w:rsidRDefault="00F71B0D" w:rsidP="003C7A46">
      <w:pPr>
        <w:pStyle w:val="Caption"/>
      </w:pPr>
      <w:r>
        <w:t>Figure S</w:t>
      </w:r>
      <w:r w:rsidR="00B1188E">
        <w:fldChar w:fldCharType="begin"/>
      </w:r>
      <w:r w:rsidR="00B1188E">
        <w:instrText xml:space="preserve"> SEQ Figure \* ARABIC </w:instrText>
      </w:r>
      <w:r w:rsidR="00B1188E">
        <w:fldChar w:fldCharType="separate"/>
      </w:r>
      <w:r w:rsidR="00727084">
        <w:rPr>
          <w:noProof/>
        </w:rPr>
        <w:t>15</w:t>
      </w:r>
      <w:r w:rsidR="00B1188E">
        <w:rPr>
          <w:noProof/>
        </w:rPr>
        <w:fldChar w:fldCharType="end"/>
      </w:r>
      <w:r w:rsidR="00F76466">
        <w:t xml:space="preserve"> X-ray photoelectron </w:t>
      </w:r>
      <w:r w:rsidR="00087816">
        <w:t>survey spectra of ribbons secured in place by a PTFE block, but not connected as the anode to the system.</w:t>
      </w:r>
    </w:p>
    <w:p w14:paraId="408F1C78" w14:textId="0A19226C" w:rsidR="00E3221F" w:rsidRPr="009C6B12" w:rsidRDefault="00E3221F" w:rsidP="009C6B12">
      <w:pPr>
        <w:spacing w:line="480" w:lineRule="auto"/>
        <w:rPr>
          <w:szCs w:val="24"/>
        </w:rPr>
      </w:pPr>
      <w:r w:rsidRPr="009C6B12">
        <w:rPr>
          <w:szCs w:val="24"/>
        </w:rPr>
        <w:t xml:space="preserve">The XPS data, </w:t>
      </w:r>
      <w:r w:rsidRPr="009C6B12">
        <w:rPr>
          <w:b/>
          <w:szCs w:val="24"/>
        </w:rPr>
        <w:fldChar w:fldCharType="begin"/>
      </w:r>
      <w:r w:rsidRPr="009C6B12">
        <w:rPr>
          <w:szCs w:val="24"/>
        </w:rPr>
        <w:instrText xml:space="preserve"> REF _Ref23235883 \h </w:instrText>
      </w:r>
      <w:r w:rsidR="009C6B12" w:rsidRPr="009C6B12">
        <w:rPr>
          <w:b/>
          <w:szCs w:val="24"/>
        </w:rPr>
        <w:instrText xml:space="preserve"> \* MERGEFORMAT </w:instrText>
      </w:r>
      <w:r w:rsidRPr="009C6B12">
        <w:rPr>
          <w:b/>
          <w:szCs w:val="24"/>
        </w:rPr>
      </w:r>
      <w:r w:rsidRPr="009C6B12">
        <w:rPr>
          <w:b/>
          <w:szCs w:val="24"/>
        </w:rPr>
        <w:fldChar w:fldCharType="separate"/>
      </w:r>
      <w:r w:rsidR="00727084" w:rsidRPr="00727084">
        <w:rPr>
          <w:szCs w:val="24"/>
        </w:rPr>
        <w:t>Figure S16</w:t>
      </w:r>
      <w:r w:rsidRPr="009C6B12">
        <w:rPr>
          <w:b/>
          <w:szCs w:val="24"/>
        </w:rPr>
        <w:fldChar w:fldCharType="end"/>
      </w:r>
      <w:r w:rsidRPr="009C6B12">
        <w:rPr>
          <w:szCs w:val="24"/>
        </w:rPr>
        <w:t xml:space="preserve">, elucidates that the nitrogen content </w:t>
      </w:r>
      <w:r w:rsidRPr="009C6B12">
        <w:rPr>
          <w:noProof/>
          <w:szCs w:val="24"/>
        </w:rPr>
        <w:t>is significantly</w:t>
      </w:r>
      <w:r w:rsidRPr="009C6B12">
        <w:rPr>
          <w:szCs w:val="24"/>
        </w:rPr>
        <w:t xml:space="preserve"> increased for both soaked and plasma-treated samples. The difference between soaked and plasma is </w:t>
      </w:r>
      <w:r w:rsidR="00873336" w:rsidRPr="009C6B12">
        <w:rPr>
          <w:szCs w:val="24"/>
        </w:rPr>
        <w:t>low with an overlap of the bounds of</w:t>
      </w:r>
      <w:r w:rsidRPr="009C6B12">
        <w:rPr>
          <w:szCs w:val="24"/>
        </w:rPr>
        <w:t xml:space="preserve"> </w:t>
      </w:r>
      <w:r w:rsidRPr="009C6B12">
        <w:rPr>
          <w:rFonts w:cs="Times New Roman"/>
          <w:szCs w:val="24"/>
        </w:rPr>
        <w:t>±</w:t>
      </w:r>
      <w:r w:rsidRPr="009C6B12">
        <w:rPr>
          <w:szCs w:val="24"/>
        </w:rPr>
        <w:t xml:space="preserve"> 1 S.D. </w:t>
      </w:r>
    </w:p>
    <w:p w14:paraId="4D4409D3" w14:textId="034210E4" w:rsidR="00E3221F" w:rsidRPr="009C6B12" w:rsidRDefault="00A31705" w:rsidP="009C6B12">
      <w:pPr>
        <w:spacing w:after="0" w:line="480" w:lineRule="auto"/>
        <w:rPr>
          <w:szCs w:val="24"/>
        </w:rPr>
      </w:pPr>
      <w:bookmarkStart w:id="11" w:name="_Ref527537850"/>
      <w:r>
        <w:rPr>
          <w:noProof/>
        </w:rPr>
        <w:drawing>
          <wp:inline distT="0" distB="0" distL="0" distR="0" wp14:anchorId="4B722CBB" wp14:editId="71F09216">
            <wp:extent cx="5220000" cy="192416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20000" cy="1924161"/>
                    </a:xfrm>
                    <a:prstGeom prst="rect">
                      <a:avLst/>
                    </a:prstGeom>
                    <a:noFill/>
                    <a:ln>
                      <a:noFill/>
                    </a:ln>
                  </pic:spPr>
                </pic:pic>
              </a:graphicData>
            </a:graphic>
          </wp:inline>
        </w:drawing>
      </w:r>
    </w:p>
    <w:p w14:paraId="4639C283" w14:textId="3A6215E9" w:rsidR="00E3221F" w:rsidRPr="009C6B12" w:rsidRDefault="00E3221F" w:rsidP="003C7A46">
      <w:pPr>
        <w:pStyle w:val="Caption"/>
      </w:pPr>
      <w:bookmarkStart w:id="12" w:name="_Ref23235883"/>
      <w:r w:rsidRPr="009C6B12">
        <w:t>Figure S</w:t>
      </w:r>
      <w:fldSimple w:instr=" SEQ Figure \* ARABIC ">
        <w:r w:rsidR="00727084">
          <w:rPr>
            <w:noProof/>
          </w:rPr>
          <w:t>16</w:t>
        </w:r>
      </w:fldSimple>
      <w:bookmarkEnd w:id="11"/>
      <w:bookmarkEnd w:id="12"/>
      <w:r w:rsidRPr="009C6B12">
        <w:t xml:space="preserve"> X-ray photoelectron spectroscopy region area percentages plotted for nitrogen with samples treated in </w:t>
      </w:r>
      <w:r w:rsidRPr="009C6B12">
        <w:rPr>
          <w:noProof/>
        </w:rPr>
        <w:t>ethylenediamine</w:t>
      </w:r>
      <w:r w:rsidRPr="009C6B12">
        <w:t xml:space="preserve"> solution, whilst secured within the PTFE holder.</w:t>
      </w:r>
      <w:r w:rsidR="00DB7BE9" w:rsidRPr="009C6B12">
        <w:t xml:space="preserve"> </w:t>
      </w:r>
    </w:p>
    <w:p w14:paraId="524EB05A" w14:textId="77777777" w:rsidR="000A081B" w:rsidRPr="009C6B12" w:rsidRDefault="000A081B" w:rsidP="009C6B12">
      <w:pPr>
        <w:spacing w:line="480" w:lineRule="auto"/>
        <w:jc w:val="left"/>
        <w:rPr>
          <w:rFonts w:eastAsiaTheme="majorEastAsia" w:cs="Arial"/>
          <w:b/>
          <w:bCs/>
          <w:iCs/>
          <w:szCs w:val="24"/>
        </w:rPr>
      </w:pPr>
      <w:r w:rsidRPr="009C6B12">
        <w:rPr>
          <w:szCs w:val="24"/>
        </w:rPr>
        <w:br w:type="page"/>
      </w:r>
    </w:p>
    <w:p w14:paraId="58B73B5D" w14:textId="2FCFDACE" w:rsidR="003C180F" w:rsidRDefault="003C180F" w:rsidP="009C6B12">
      <w:pPr>
        <w:pStyle w:val="Heading2"/>
        <w:spacing w:line="480" w:lineRule="auto"/>
        <w:rPr>
          <w:szCs w:val="24"/>
        </w:rPr>
      </w:pPr>
      <w:r w:rsidRPr="009C6B12">
        <w:rPr>
          <w:szCs w:val="24"/>
        </w:rPr>
        <w:lastRenderedPageBreak/>
        <w:t>Comparing the configurations</w:t>
      </w:r>
    </w:p>
    <w:p w14:paraId="32A0CDC3" w14:textId="379F5F67" w:rsidR="007170B2" w:rsidRDefault="006C767D" w:rsidP="007170B2">
      <w:pPr>
        <w:keepNext/>
        <w:spacing w:after="0" w:line="480" w:lineRule="auto"/>
        <w:jc w:val="center"/>
      </w:pPr>
      <w:r>
        <w:rPr>
          <w:noProof/>
        </w:rPr>
        <w:drawing>
          <wp:inline distT="0" distB="0" distL="0" distR="0" wp14:anchorId="2A121FFE" wp14:editId="737E800D">
            <wp:extent cx="3025140" cy="23164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12C516E8" w14:textId="7BC36723" w:rsidR="00FE2E3F" w:rsidRDefault="007170B2" w:rsidP="003C7A46">
      <w:pPr>
        <w:pStyle w:val="Caption"/>
      </w:pPr>
      <w:r>
        <w:t>Figure S</w:t>
      </w:r>
      <w:r w:rsidR="00B1188E">
        <w:fldChar w:fldCharType="begin"/>
      </w:r>
      <w:r w:rsidR="00B1188E">
        <w:instrText xml:space="preserve"> SEQ Figure \* ARABIC </w:instrText>
      </w:r>
      <w:r w:rsidR="00B1188E">
        <w:fldChar w:fldCharType="separate"/>
      </w:r>
      <w:r w:rsidR="00727084">
        <w:rPr>
          <w:noProof/>
        </w:rPr>
        <w:t>17</w:t>
      </w:r>
      <w:r w:rsidR="00B1188E">
        <w:rPr>
          <w:noProof/>
        </w:rPr>
        <w:fldChar w:fldCharType="end"/>
      </w:r>
      <w:r>
        <w:t xml:space="preserve"> </w:t>
      </w:r>
      <w:r w:rsidR="00240A26">
        <w:t>Raman spectroscopy</w:t>
      </w:r>
      <w:r w:rsidR="00F76466">
        <w:t xml:space="preserve"> plots of the different functionalisation methodologies used throughout this work at a fixed </w:t>
      </w:r>
      <w:r>
        <w:t xml:space="preserve">10 vol% EDA </w:t>
      </w:r>
      <w:r w:rsidR="00F76466">
        <w:t>concentration</w:t>
      </w:r>
      <w:r>
        <w:t>.</w:t>
      </w:r>
    </w:p>
    <w:p w14:paraId="6CAA2B5F" w14:textId="7390F241" w:rsidR="00593B10" w:rsidRDefault="00593B10" w:rsidP="009C6B12">
      <w:pPr>
        <w:spacing w:line="480" w:lineRule="auto"/>
        <w:rPr>
          <w:szCs w:val="24"/>
        </w:rPr>
      </w:pPr>
      <w:r w:rsidRPr="009C6B12">
        <w:rPr>
          <w:szCs w:val="24"/>
        </w:rPr>
        <w:t xml:space="preserve">As mentioned in the main manuscript, </w:t>
      </w:r>
      <w:r w:rsidR="00B828C2" w:rsidRPr="009C6B12">
        <w:rPr>
          <w:szCs w:val="24"/>
        </w:rPr>
        <w:t xml:space="preserve">XPS measurements </w:t>
      </w:r>
      <w:r w:rsidRPr="009C6B12">
        <w:rPr>
          <w:szCs w:val="24"/>
        </w:rPr>
        <w:t xml:space="preserve">have </w:t>
      </w:r>
      <w:r w:rsidR="00B828C2" w:rsidRPr="009C6B12">
        <w:rPr>
          <w:szCs w:val="24"/>
        </w:rPr>
        <w:t>revealed that the soaked samples appear to have increased nitrogen content, despite having no exposure to a plasma</w:t>
      </w:r>
      <w:r w:rsidR="006D64BD" w:rsidRPr="009C6B12">
        <w:rPr>
          <w:szCs w:val="24"/>
        </w:rPr>
        <w:t xml:space="preserve"> and may be binding to existing lattice defects</w:t>
      </w:r>
      <w:r w:rsidR="00B828C2" w:rsidRPr="009C6B12">
        <w:rPr>
          <w:szCs w:val="24"/>
        </w:rPr>
        <w:t xml:space="preserve">, </w:t>
      </w:r>
      <w:r w:rsidR="00B828C2" w:rsidRPr="009C6B12">
        <w:rPr>
          <w:szCs w:val="24"/>
        </w:rPr>
        <w:fldChar w:fldCharType="begin"/>
      </w:r>
      <w:r w:rsidR="00B828C2" w:rsidRPr="009C6B12">
        <w:rPr>
          <w:szCs w:val="24"/>
        </w:rPr>
        <w:instrText xml:space="preserve"> REF _Ref22713863 \h </w:instrText>
      </w:r>
      <w:r w:rsidR="009C6B12" w:rsidRPr="009C6B12">
        <w:rPr>
          <w:szCs w:val="24"/>
        </w:rPr>
        <w:instrText xml:space="preserve"> \* MERGEFORMAT </w:instrText>
      </w:r>
      <w:r w:rsidR="00B828C2" w:rsidRPr="009C6B12">
        <w:rPr>
          <w:szCs w:val="24"/>
        </w:rPr>
      </w:r>
      <w:r w:rsidR="00B828C2" w:rsidRPr="009C6B12">
        <w:rPr>
          <w:szCs w:val="24"/>
        </w:rPr>
        <w:fldChar w:fldCharType="separate"/>
      </w:r>
      <w:r w:rsidR="00727084" w:rsidRPr="00727084">
        <w:rPr>
          <w:szCs w:val="24"/>
        </w:rPr>
        <w:t>Figure S19</w:t>
      </w:r>
      <w:r w:rsidR="00B828C2" w:rsidRPr="009C6B12">
        <w:rPr>
          <w:szCs w:val="24"/>
        </w:rPr>
        <w:fldChar w:fldCharType="end"/>
      </w:r>
      <w:r w:rsidR="00B828C2" w:rsidRPr="009C6B12">
        <w:rPr>
          <w:szCs w:val="24"/>
        </w:rPr>
        <w:t xml:space="preserve">. </w:t>
      </w:r>
      <w:r w:rsidRPr="009C6B12">
        <w:rPr>
          <w:szCs w:val="24"/>
        </w:rPr>
        <w:t>By treating the sample in the “floating” configuration the nitrogen content can be increased slightly (</w:t>
      </w:r>
      <w:r w:rsidRPr="009C6B12">
        <w:rPr>
          <w:rFonts w:cs="Times New Roman"/>
          <w:szCs w:val="24"/>
        </w:rPr>
        <w:t>≈</w:t>
      </w:r>
      <w:r w:rsidRPr="009C6B12">
        <w:rPr>
          <w:szCs w:val="24"/>
        </w:rPr>
        <w:t xml:space="preserve"> 1 at% increase). Similarly, using the “PTFE holder” to secure the ribbon fully submerged and expos</w:t>
      </w:r>
      <w:r w:rsidR="00933FDB" w:rsidRPr="009C6B12">
        <w:rPr>
          <w:szCs w:val="24"/>
        </w:rPr>
        <w:t>ed</w:t>
      </w:r>
      <w:r w:rsidRPr="009C6B12">
        <w:rPr>
          <w:szCs w:val="24"/>
        </w:rPr>
        <w:t xml:space="preserve"> to the plasma gives a larger nitrogen content than either soaking or floating configurations. An average nitrogen percentage increase of approximately 1.8 at% is observed across the three EDA concentrations.</w:t>
      </w:r>
      <w:r w:rsidR="003F0BEA" w:rsidRPr="009C6B12">
        <w:rPr>
          <w:szCs w:val="24"/>
        </w:rPr>
        <w:t xml:space="preserve"> These results suggest that the plasma or plasm</w:t>
      </w:r>
      <w:r w:rsidR="00503CAA" w:rsidRPr="009C6B12">
        <w:rPr>
          <w:szCs w:val="24"/>
        </w:rPr>
        <w:t>a</w:t>
      </w:r>
      <w:r w:rsidR="003F0BEA" w:rsidRPr="009C6B12">
        <w:rPr>
          <w:szCs w:val="24"/>
        </w:rPr>
        <w:t>-generated species aid the binding of nitrogen groups on the lattice in some manner.</w:t>
      </w:r>
      <w:r w:rsidRPr="009C6B12">
        <w:rPr>
          <w:szCs w:val="24"/>
        </w:rPr>
        <w:t xml:space="preserve"> Regardless, both of these configurations fall short of both the electrolysis and </w:t>
      </w:r>
      <w:r w:rsidR="003F0BEA" w:rsidRPr="009C6B12">
        <w:rPr>
          <w:szCs w:val="24"/>
        </w:rPr>
        <w:t>PiNE</w:t>
      </w:r>
      <w:r w:rsidRPr="009C6B12">
        <w:rPr>
          <w:szCs w:val="24"/>
        </w:rPr>
        <w:t xml:space="preserve"> configurations.</w:t>
      </w:r>
      <w:r w:rsidR="003F0BEA" w:rsidRPr="009C6B12">
        <w:rPr>
          <w:szCs w:val="24"/>
        </w:rPr>
        <w:t xml:space="preserve"> This suggests that the migration of charged species is occurring, which bolsters the attachment of nitrogen</w:t>
      </w:r>
      <w:r w:rsidR="0036558B" w:rsidRPr="009C6B12">
        <w:rPr>
          <w:szCs w:val="24"/>
        </w:rPr>
        <w:t xml:space="preserve"> to the CNT ribbons when they act as the anode.</w:t>
      </w:r>
    </w:p>
    <w:p w14:paraId="496B88E4" w14:textId="77777777" w:rsidR="005F65A7" w:rsidRDefault="005F65A7" w:rsidP="005F65A7"/>
    <w:p w14:paraId="6346D615" w14:textId="4B258BB1" w:rsidR="007B2B02" w:rsidRDefault="00546B5A" w:rsidP="007B2B02">
      <w:pPr>
        <w:keepNext/>
        <w:spacing w:after="0"/>
        <w:jc w:val="center"/>
      </w:pPr>
      <w:r>
        <w:rPr>
          <w:noProof/>
        </w:rPr>
        <w:lastRenderedPageBreak/>
        <w:drawing>
          <wp:inline distT="0" distB="0" distL="0" distR="0" wp14:anchorId="37A887AD" wp14:editId="60316A69">
            <wp:extent cx="3025140" cy="23164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25140" cy="2316480"/>
                    </a:xfrm>
                    <a:prstGeom prst="rect">
                      <a:avLst/>
                    </a:prstGeom>
                    <a:noFill/>
                    <a:ln>
                      <a:noFill/>
                    </a:ln>
                  </pic:spPr>
                </pic:pic>
              </a:graphicData>
            </a:graphic>
          </wp:inline>
        </w:drawing>
      </w:r>
    </w:p>
    <w:p w14:paraId="5DBEF46E" w14:textId="617D94DD" w:rsidR="007B2B02" w:rsidRPr="009A0469" w:rsidRDefault="007B2B02" w:rsidP="003C7A46">
      <w:pPr>
        <w:pStyle w:val="Caption"/>
      </w:pPr>
      <w:r>
        <w:t>Figure S</w:t>
      </w:r>
      <w:r w:rsidR="00B1188E">
        <w:fldChar w:fldCharType="begin"/>
      </w:r>
      <w:r w:rsidR="00B1188E">
        <w:instrText xml:space="preserve"> SEQ Figure \* ARABIC </w:instrText>
      </w:r>
      <w:r w:rsidR="00B1188E">
        <w:fldChar w:fldCharType="separate"/>
      </w:r>
      <w:r w:rsidR="00727084">
        <w:rPr>
          <w:noProof/>
        </w:rPr>
        <w:t>18</w:t>
      </w:r>
      <w:r w:rsidR="00B1188E">
        <w:rPr>
          <w:noProof/>
        </w:rPr>
        <w:fldChar w:fldCharType="end"/>
      </w:r>
      <w:r w:rsidR="00240A26">
        <w:t xml:space="preserve"> X-ray photoelectron survey spectra comparison of the different treatment configurations for a fixed ethylenediamine concentration of 10 vol%.</w:t>
      </w:r>
    </w:p>
    <w:p w14:paraId="1034607C" w14:textId="64ACFED2" w:rsidR="00B828C2" w:rsidRPr="009C6B12" w:rsidRDefault="001D6904" w:rsidP="003C7A46">
      <w:pPr>
        <w:pStyle w:val="Caption"/>
      </w:pPr>
      <w:r>
        <w:rPr>
          <w:noProof/>
        </w:rPr>
        <w:drawing>
          <wp:inline distT="0" distB="0" distL="0" distR="0" wp14:anchorId="5077B41C" wp14:editId="5AB550C1">
            <wp:extent cx="5220000" cy="19940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20000" cy="1994015"/>
                    </a:xfrm>
                    <a:prstGeom prst="rect">
                      <a:avLst/>
                    </a:prstGeom>
                    <a:noFill/>
                    <a:ln>
                      <a:noFill/>
                    </a:ln>
                  </pic:spPr>
                </pic:pic>
              </a:graphicData>
            </a:graphic>
          </wp:inline>
        </w:drawing>
      </w:r>
      <w:r w:rsidR="00F63748" w:rsidRPr="009C6B12">
        <w:t xml:space="preserve"> </w:t>
      </w:r>
      <w:bookmarkStart w:id="13" w:name="_Ref22713863"/>
      <w:r w:rsidR="00B828C2" w:rsidRPr="009C6B12">
        <w:t>Figure S</w:t>
      </w:r>
      <w:fldSimple w:instr=" SEQ Figure \* ARABIC ">
        <w:r w:rsidR="00727084">
          <w:rPr>
            <w:noProof/>
          </w:rPr>
          <w:t>19</w:t>
        </w:r>
      </w:fldSimple>
      <w:bookmarkEnd w:id="13"/>
      <w:r w:rsidR="00B828C2" w:rsidRPr="009C6B12">
        <w:t xml:space="preserve"> The atomic percentage of nitrogen measured by x-ray photoelectron spectroscopy for samples treated in by plasma in an </w:t>
      </w:r>
      <w:r w:rsidR="00B828C2" w:rsidRPr="009C6B12">
        <w:rPr>
          <w:noProof/>
        </w:rPr>
        <w:t>ethylenediamine</w:t>
      </w:r>
      <w:r w:rsidR="00B828C2" w:rsidRPr="009C6B12">
        <w:t xml:space="preserve"> solution for different ribbon positioning. </w:t>
      </w:r>
    </w:p>
    <w:p w14:paraId="1AEE3694" w14:textId="264A1327" w:rsidR="00C6717D" w:rsidRPr="009C6B12" w:rsidRDefault="00C6717D" w:rsidP="009C6B12">
      <w:pPr>
        <w:spacing w:line="480" w:lineRule="auto"/>
        <w:rPr>
          <w:szCs w:val="24"/>
        </w:rPr>
      </w:pPr>
      <w:r w:rsidRPr="009C6B12">
        <w:rPr>
          <w:szCs w:val="24"/>
        </w:rPr>
        <w:t xml:space="preserve">The different sample configurations are compared for each EDA </w:t>
      </w:r>
      <w:r w:rsidR="00EB6517" w:rsidRPr="009C6B12">
        <w:rPr>
          <w:szCs w:val="24"/>
        </w:rPr>
        <w:t>vol%</w:t>
      </w:r>
      <w:r w:rsidRPr="009C6B12">
        <w:rPr>
          <w:szCs w:val="24"/>
        </w:rPr>
        <w:t xml:space="preserve"> concentration; 2.5 </w:t>
      </w:r>
      <w:r w:rsidR="00EB6517" w:rsidRPr="009C6B12">
        <w:rPr>
          <w:szCs w:val="24"/>
        </w:rPr>
        <w:t>vol%</w:t>
      </w:r>
      <w:r w:rsidRPr="009C6B12">
        <w:rPr>
          <w:szCs w:val="24"/>
        </w:rPr>
        <w:t xml:space="preserve"> in </w:t>
      </w:r>
      <w:r w:rsidRPr="009C6B12">
        <w:rPr>
          <w:szCs w:val="24"/>
        </w:rPr>
        <w:fldChar w:fldCharType="begin"/>
      </w:r>
      <w:r w:rsidRPr="009C6B12">
        <w:rPr>
          <w:szCs w:val="24"/>
        </w:rPr>
        <w:instrText xml:space="preserve"> REF _Ref23847014 \h </w:instrText>
      </w:r>
      <w:r w:rsidR="009C6B12" w:rsidRPr="009C6B12">
        <w:rPr>
          <w:szCs w:val="24"/>
        </w:rPr>
        <w:instrText xml:space="preserve"> \* MERGEFORMAT </w:instrText>
      </w:r>
      <w:r w:rsidRPr="009C6B12">
        <w:rPr>
          <w:szCs w:val="24"/>
        </w:rPr>
      </w:r>
      <w:r w:rsidRPr="009C6B12">
        <w:rPr>
          <w:szCs w:val="24"/>
        </w:rPr>
        <w:fldChar w:fldCharType="separate"/>
      </w:r>
      <w:r w:rsidR="00727084" w:rsidRPr="00727084">
        <w:rPr>
          <w:szCs w:val="24"/>
        </w:rPr>
        <w:t>Figure S20</w:t>
      </w:r>
      <w:r w:rsidRPr="009C6B12">
        <w:rPr>
          <w:szCs w:val="24"/>
        </w:rPr>
        <w:fldChar w:fldCharType="end"/>
      </w:r>
      <w:r w:rsidRPr="009C6B12">
        <w:rPr>
          <w:szCs w:val="24"/>
        </w:rPr>
        <w:t xml:space="preserve">a, 5 </w:t>
      </w:r>
      <w:r w:rsidR="00EB6517" w:rsidRPr="009C6B12">
        <w:rPr>
          <w:szCs w:val="24"/>
        </w:rPr>
        <w:t>vol%</w:t>
      </w:r>
      <w:r w:rsidRPr="009C6B12">
        <w:rPr>
          <w:szCs w:val="24"/>
        </w:rPr>
        <w:t xml:space="preserve"> in </w:t>
      </w:r>
      <w:r w:rsidRPr="009C6B12">
        <w:rPr>
          <w:szCs w:val="24"/>
        </w:rPr>
        <w:fldChar w:fldCharType="begin"/>
      </w:r>
      <w:r w:rsidRPr="009C6B12">
        <w:rPr>
          <w:szCs w:val="24"/>
        </w:rPr>
        <w:instrText xml:space="preserve"> REF _Ref23847014 \h </w:instrText>
      </w:r>
      <w:r w:rsidR="009C6B12" w:rsidRPr="009C6B12">
        <w:rPr>
          <w:szCs w:val="24"/>
        </w:rPr>
        <w:instrText xml:space="preserve"> \* MERGEFORMAT </w:instrText>
      </w:r>
      <w:r w:rsidRPr="009C6B12">
        <w:rPr>
          <w:szCs w:val="24"/>
        </w:rPr>
      </w:r>
      <w:r w:rsidRPr="009C6B12">
        <w:rPr>
          <w:szCs w:val="24"/>
        </w:rPr>
        <w:fldChar w:fldCharType="separate"/>
      </w:r>
      <w:r w:rsidR="00727084" w:rsidRPr="00727084">
        <w:rPr>
          <w:szCs w:val="24"/>
        </w:rPr>
        <w:t>Figure S20</w:t>
      </w:r>
      <w:r w:rsidRPr="009C6B12">
        <w:rPr>
          <w:szCs w:val="24"/>
        </w:rPr>
        <w:fldChar w:fldCharType="end"/>
      </w:r>
      <w:r w:rsidRPr="009C6B12">
        <w:rPr>
          <w:szCs w:val="24"/>
        </w:rPr>
        <w:t xml:space="preserve">b and 10 </w:t>
      </w:r>
      <w:r w:rsidR="00EB6517" w:rsidRPr="009C6B12">
        <w:rPr>
          <w:szCs w:val="24"/>
        </w:rPr>
        <w:t>vol%</w:t>
      </w:r>
      <w:r w:rsidRPr="009C6B12">
        <w:rPr>
          <w:szCs w:val="24"/>
        </w:rPr>
        <w:t xml:space="preserve"> in </w:t>
      </w:r>
      <w:r w:rsidRPr="009C6B12">
        <w:rPr>
          <w:szCs w:val="24"/>
        </w:rPr>
        <w:fldChar w:fldCharType="begin"/>
      </w:r>
      <w:r w:rsidRPr="009C6B12">
        <w:rPr>
          <w:szCs w:val="24"/>
        </w:rPr>
        <w:instrText xml:space="preserve"> REF _Ref23847014 \h </w:instrText>
      </w:r>
      <w:r w:rsidR="009C6B12" w:rsidRPr="009C6B12">
        <w:rPr>
          <w:szCs w:val="24"/>
        </w:rPr>
        <w:instrText xml:space="preserve"> \* MERGEFORMAT </w:instrText>
      </w:r>
      <w:r w:rsidRPr="009C6B12">
        <w:rPr>
          <w:szCs w:val="24"/>
        </w:rPr>
      </w:r>
      <w:r w:rsidRPr="009C6B12">
        <w:rPr>
          <w:szCs w:val="24"/>
        </w:rPr>
        <w:fldChar w:fldCharType="separate"/>
      </w:r>
      <w:r w:rsidR="00727084" w:rsidRPr="00727084">
        <w:rPr>
          <w:szCs w:val="24"/>
        </w:rPr>
        <w:t>Figure S20</w:t>
      </w:r>
      <w:r w:rsidRPr="009C6B12">
        <w:rPr>
          <w:szCs w:val="24"/>
        </w:rPr>
        <w:fldChar w:fldCharType="end"/>
      </w:r>
      <w:r w:rsidRPr="009C6B12">
        <w:rPr>
          <w:szCs w:val="24"/>
        </w:rPr>
        <w:t>c. Of the considered bonding types, only three appear to be present, amines groups, pyrrolic groups and graphitic groups. The method of securing the CNT ribbon can significantly impact the absolute amount of doping present in the ribbons, with a clear trend of increasing content when moving from a simple soaking system to the ribbon electrode configuration.</w:t>
      </w:r>
      <w:r w:rsidR="00C34C90" w:rsidRPr="009C6B12">
        <w:rPr>
          <w:szCs w:val="24"/>
        </w:rPr>
        <w:t xml:space="preserve"> Clearly, the quantity of nitrogen added in either the </w:t>
      </w:r>
      <w:r w:rsidR="00C34C90" w:rsidRPr="009C6B12">
        <w:rPr>
          <w:szCs w:val="24"/>
        </w:rPr>
        <w:lastRenderedPageBreak/>
        <w:t>floating or PTFE holder samples is inferior to that of the ribbon electrode.</w:t>
      </w:r>
      <w:r w:rsidR="005645DF" w:rsidRPr="009C6B12">
        <w:rPr>
          <w:szCs w:val="24"/>
        </w:rPr>
        <w:t xml:space="preserve"> This becomes particularly apparent when the peak areas for each bonding are normali</w:t>
      </w:r>
      <w:r w:rsidR="00933FDB" w:rsidRPr="009C6B12">
        <w:rPr>
          <w:szCs w:val="24"/>
        </w:rPr>
        <w:t>z</w:t>
      </w:r>
      <w:r w:rsidR="005645DF" w:rsidRPr="009C6B12">
        <w:rPr>
          <w:szCs w:val="24"/>
        </w:rPr>
        <w:t xml:space="preserve">ed against the values for a soaked sample in a given concentration, </w:t>
      </w:r>
      <w:r w:rsidR="001E2C5C">
        <w:rPr>
          <w:szCs w:val="24"/>
        </w:rPr>
        <w:t>Table S4</w:t>
      </w:r>
      <w:r w:rsidR="00CE0614" w:rsidRPr="009C6B12">
        <w:rPr>
          <w:szCs w:val="24"/>
        </w:rPr>
        <w:t xml:space="preserve"> and </w:t>
      </w:r>
      <w:r w:rsidR="000F3B34" w:rsidRPr="009C6B12">
        <w:rPr>
          <w:szCs w:val="24"/>
        </w:rPr>
        <w:fldChar w:fldCharType="begin"/>
      </w:r>
      <w:r w:rsidR="000F3B34" w:rsidRPr="009C6B12">
        <w:rPr>
          <w:szCs w:val="24"/>
        </w:rPr>
        <w:instrText xml:space="preserve"> REF _Ref46482621 \h </w:instrText>
      </w:r>
      <w:r w:rsidR="009C6B12" w:rsidRPr="009C6B12">
        <w:rPr>
          <w:szCs w:val="24"/>
        </w:rPr>
        <w:instrText xml:space="preserve"> \* MERGEFORMAT </w:instrText>
      </w:r>
      <w:r w:rsidR="000F3B34" w:rsidRPr="009C6B12">
        <w:rPr>
          <w:szCs w:val="24"/>
        </w:rPr>
      </w:r>
      <w:r w:rsidR="000F3B34" w:rsidRPr="009C6B12">
        <w:rPr>
          <w:szCs w:val="24"/>
        </w:rPr>
        <w:fldChar w:fldCharType="separate"/>
      </w:r>
      <w:r w:rsidR="00727084" w:rsidRPr="00727084">
        <w:rPr>
          <w:szCs w:val="24"/>
        </w:rPr>
        <w:t>Figure S21</w:t>
      </w:r>
      <w:r w:rsidR="000F3B34" w:rsidRPr="009C6B12">
        <w:rPr>
          <w:szCs w:val="24"/>
        </w:rPr>
        <w:fldChar w:fldCharType="end"/>
      </w:r>
      <w:r w:rsidR="005645DF" w:rsidRPr="009C6B12">
        <w:rPr>
          <w:szCs w:val="24"/>
        </w:rPr>
        <w:t>.  Taking 2.5 vol% EDA as an example, the peak area for amine of a “floating” sample is 3.2 times the area of a soaked sample, with the “PTFE holder” sample appearing similar at 3.4-fold. This compares with a massive 19-fold increase in the case of the “ribbon electrode”. Similarly, the trend exists for pyrollic nitrogen where moving from “floating” to “PTFE holder” to “ribbon electrode” yields a normali</w:t>
      </w:r>
      <w:r w:rsidR="00933FDB" w:rsidRPr="009C6B12">
        <w:rPr>
          <w:szCs w:val="24"/>
        </w:rPr>
        <w:t>z</w:t>
      </w:r>
      <w:r w:rsidR="005645DF" w:rsidRPr="009C6B12">
        <w:rPr>
          <w:szCs w:val="24"/>
        </w:rPr>
        <w:t>ed peak area of 1.7, 3.2 and 7.5 respectively. Interestingly, the graphitic nitrogen quantities are quite low for both the “floating” and “PTFE holder” samples, giving normali</w:t>
      </w:r>
      <w:r w:rsidR="00933FDB" w:rsidRPr="009C6B12">
        <w:rPr>
          <w:szCs w:val="24"/>
        </w:rPr>
        <w:t>z</w:t>
      </w:r>
      <w:r w:rsidR="005645DF" w:rsidRPr="009C6B12">
        <w:rPr>
          <w:szCs w:val="24"/>
        </w:rPr>
        <w:t>ed values of 0.9 and 2.1. The “ribbon electrode” appears to facilitate the inclusion of graphitic nitrogens, providing a 19-fold increase compared to the soaked sample.</w:t>
      </w:r>
    </w:p>
    <w:p w14:paraId="35FBB687" w14:textId="2DB7805F" w:rsidR="00C6717D" w:rsidRPr="009C6B12" w:rsidRDefault="00A3134E" w:rsidP="009C6B12">
      <w:pPr>
        <w:keepNext/>
        <w:spacing w:after="0" w:line="480" w:lineRule="auto"/>
        <w:rPr>
          <w:szCs w:val="24"/>
        </w:rPr>
      </w:pPr>
      <w:r w:rsidRPr="009C6B12">
        <w:rPr>
          <w:szCs w:val="24"/>
        </w:rPr>
        <w:lastRenderedPageBreak/>
        <w:t xml:space="preserve">  </w:t>
      </w:r>
      <w:r w:rsidR="001C248D" w:rsidRPr="009C6B12">
        <w:rPr>
          <w:szCs w:val="24"/>
        </w:rPr>
        <w:t xml:space="preserve"> </w:t>
      </w:r>
      <w:r w:rsidR="005C4E2E">
        <w:rPr>
          <w:noProof/>
          <w:szCs w:val="24"/>
        </w:rPr>
        <w:drawing>
          <wp:inline distT="0" distB="0" distL="0" distR="0" wp14:anchorId="119ED032" wp14:editId="2C10B222">
            <wp:extent cx="5243195" cy="226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43195" cy="2268220"/>
                    </a:xfrm>
                    <a:prstGeom prst="rect">
                      <a:avLst/>
                    </a:prstGeom>
                    <a:noFill/>
                  </pic:spPr>
                </pic:pic>
              </a:graphicData>
            </a:graphic>
          </wp:inline>
        </w:drawing>
      </w:r>
    </w:p>
    <w:p w14:paraId="14963AAD" w14:textId="6C9705C3" w:rsidR="00C6717D" w:rsidRPr="009C6B12" w:rsidRDefault="00C6717D" w:rsidP="003C7A46">
      <w:pPr>
        <w:pStyle w:val="Caption"/>
      </w:pPr>
      <w:bookmarkStart w:id="14" w:name="_Ref23847014"/>
      <w:r w:rsidRPr="009C6B12">
        <w:t>Figure S</w:t>
      </w:r>
      <w:fldSimple w:instr=" SEQ Figure \* ARABIC ">
        <w:r w:rsidR="00727084">
          <w:rPr>
            <w:noProof/>
          </w:rPr>
          <w:t>20</w:t>
        </w:r>
      </w:fldSimple>
      <w:bookmarkEnd w:id="14"/>
      <w:r w:rsidRPr="009C6B12">
        <w:t xml:space="preserve"> Development of N 1s high-resolution spectra for different system configurations with (a) 2.5 %, (b) 5 % and (c) 10 % ethylenediamine by volume in the electrolyte solution.</w:t>
      </w:r>
      <w:r w:rsidR="00DB7BE9" w:rsidRPr="009C6B12">
        <w:t xml:space="preserve"> </w:t>
      </w:r>
    </w:p>
    <w:p w14:paraId="62D5D6F5" w14:textId="77777777" w:rsidR="000A081B" w:rsidRPr="009C6B12" w:rsidRDefault="000A081B" w:rsidP="009C6B12">
      <w:pPr>
        <w:spacing w:line="480" w:lineRule="auto"/>
        <w:rPr>
          <w:szCs w:val="24"/>
        </w:rPr>
      </w:pPr>
      <w:r w:rsidRPr="009C6B12">
        <w:rPr>
          <w:szCs w:val="24"/>
        </w:rPr>
        <w:br w:type="page"/>
      </w:r>
    </w:p>
    <w:p w14:paraId="562CFB16" w14:textId="3BAD2FD8" w:rsidR="00A569EF" w:rsidRDefault="00A569EF" w:rsidP="003C7A46">
      <w:pPr>
        <w:pStyle w:val="Caption"/>
      </w:pPr>
      <w:r w:rsidRPr="00A569EF">
        <w:lastRenderedPageBreak/>
        <w:t>Table S</w:t>
      </w:r>
      <w:fldSimple w:instr=" SEQ Table \* ARABIC ">
        <w:r w:rsidR="00727084">
          <w:rPr>
            <w:noProof/>
          </w:rPr>
          <w:t>4</w:t>
        </w:r>
      </w:fldSimple>
      <w:r w:rsidRPr="00A569EF">
        <w:t xml:space="preserve"> </w:t>
      </w:r>
      <w:r w:rsidRPr="009C6B12">
        <w:t>Nitrogen peak areas from x-ray photoelectron spectroscopy for ribbons treated either floating, held in the PTFE holder or used as an electrode, normalized by dividing by the corresponding peak areas of a soaked sample.</w:t>
      </w:r>
    </w:p>
    <w:tbl>
      <w:tblPr>
        <w:tblStyle w:val="TableGrid"/>
        <w:tblW w:w="6331" w:type="dxa"/>
        <w:jc w:val="center"/>
        <w:tblLook w:val="04A0" w:firstRow="1" w:lastRow="0" w:firstColumn="1" w:lastColumn="0" w:noHBand="0" w:noVBand="1"/>
      </w:tblPr>
      <w:tblGrid>
        <w:gridCol w:w="1015"/>
        <w:gridCol w:w="1870"/>
        <w:gridCol w:w="1068"/>
        <w:gridCol w:w="1016"/>
        <w:gridCol w:w="1362"/>
      </w:tblGrid>
      <w:tr w:rsidR="00B828C2" w:rsidRPr="009C6B12" w14:paraId="12B3134C" w14:textId="77777777" w:rsidTr="00593B10">
        <w:trPr>
          <w:trHeight w:val="315"/>
          <w:jc w:val="center"/>
        </w:trPr>
        <w:tc>
          <w:tcPr>
            <w:tcW w:w="1015" w:type="dxa"/>
            <w:vMerge w:val="restart"/>
            <w:tcBorders>
              <w:top w:val="single" w:sz="4" w:space="0" w:color="auto"/>
              <w:left w:val="single" w:sz="4" w:space="0" w:color="auto"/>
              <w:bottom w:val="single" w:sz="4" w:space="0" w:color="auto"/>
              <w:right w:val="single" w:sz="4" w:space="0" w:color="auto"/>
            </w:tcBorders>
            <w:vAlign w:val="center"/>
            <w:hideMark/>
          </w:tcPr>
          <w:p w14:paraId="30D31E9C" w14:textId="2FD03D8B" w:rsidR="00B828C2" w:rsidRPr="009C6B12" w:rsidRDefault="00B828C2" w:rsidP="009C6B12">
            <w:pPr>
              <w:spacing w:after="0" w:line="480" w:lineRule="auto"/>
              <w:jc w:val="center"/>
              <w:rPr>
                <w:rFonts w:cs="Times New Roman"/>
                <w:b/>
                <w:color w:val="000000"/>
                <w:szCs w:val="24"/>
                <w:lang w:eastAsia="en-GB"/>
              </w:rPr>
            </w:pPr>
            <w:r w:rsidRPr="009C6B12">
              <w:rPr>
                <w:szCs w:val="24"/>
              </w:rPr>
              <w:br w:type="page"/>
            </w:r>
            <w:r w:rsidRPr="009C6B12">
              <w:rPr>
                <w:rFonts w:cs="Times New Roman"/>
                <w:b/>
                <w:color w:val="000000"/>
                <w:szCs w:val="24"/>
                <w:lang w:eastAsia="en-GB"/>
              </w:rPr>
              <w:t xml:space="preserve">EDA </w:t>
            </w:r>
            <w:r w:rsidRPr="009C6B12">
              <w:rPr>
                <w:rFonts w:cs="Times New Roman"/>
                <w:b/>
                <w:color w:val="000000"/>
                <w:szCs w:val="24"/>
                <w:lang w:eastAsia="en-GB"/>
              </w:rPr>
              <w:br/>
              <w:t>(% vol)</w:t>
            </w:r>
          </w:p>
        </w:tc>
        <w:tc>
          <w:tcPr>
            <w:tcW w:w="1870" w:type="dxa"/>
            <w:vMerge w:val="restart"/>
            <w:tcBorders>
              <w:top w:val="single" w:sz="4" w:space="0" w:color="auto"/>
              <w:left w:val="single" w:sz="4" w:space="0" w:color="auto"/>
              <w:bottom w:val="single" w:sz="4" w:space="0" w:color="auto"/>
              <w:right w:val="single" w:sz="4" w:space="0" w:color="auto"/>
            </w:tcBorders>
            <w:vAlign w:val="center"/>
            <w:hideMark/>
          </w:tcPr>
          <w:p w14:paraId="2E4A272F" w14:textId="77777777" w:rsidR="00B828C2" w:rsidRPr="009C6B12" w:rsidRDefault="00B828C2" w:rsidP="009C6B12">
            <w:pPr>
              <w:spacing w:after="0" w:line="480" w:lineRule="auto"/>
              <w:jc w:val="center"/>
              <w:rPr>
                <w:rFonts w:cs="Times New Roman"/>
                <w:b/>
                <w:color w:val="000000"/>
                <w:szCs w:val="24"/>
                <w:lang w:eastAsia="en-GB"/>
              </w:rPr>
            </w:pPr>
            <w:r w:rsidRPr="009C6B12">
              <w:rPr>
                <w:rFonts w:cs="Times New Roman"/>
                <w:b/>
                <w:color w:val="000000"/>
                <w:szCs w:val="24"/>
                <w:lang w:eastAsia="en-GB"/>
              </w:rPr>
              <w:t>Sample</w:t>
            </w:r>
          </w:p>
        </w:tc>
        <w:tc>
          <w:tcPr>
            <w:tcW w:w="3446" w:type="dxa"/>
            <w:gridSpan w:val="3"/>
            <w:tcBorders>
              <w:top w:val="single" w:sz="4" w:space="0" w:color="auto"/>
              <w:left w:val="single" w:sz="4" w:space="0" w:color="auto"/>
              <w:bottom w:val="single" w:sz="4" w:space="0" w:color="auto"/>
              <w:right w:val="single" w:sz="4" w:space="0" w:color="auto"/>
            </w:tcBorders>
            <w:noWrap/>
            <w:vAlign w:val="center"/>
            <w:hideMark/>
          </w:tcPr>
          <w:p w14:paraId="6DCDFEC1" w14:textId="4538B729" w:rsidR="00B828C2" w:rsidRPr="009C6B12" w:rsidRDefault="00B828C2" w:rsidP="009C6B12">
            <w:pPr>
              <w:spacing w:after="0" w:line="480" w:lineRule="auto"/>
              <w:jc w:val="center"/>
              <w:rPr>
                <w:rFonts w:cs="Times New Roman"/>
                <w:b/>
                <w:color w:val="000000"/>
                <w:szCs w:val="24"/>
                <w:lang w:eastAsia="en-GB"/>
              </w:rPr>
            </w:pPr>
            <w:r w:rsidRPr="009C6B12">
              <w:rPr>
                <w:rFonts w:cs="Times New Roman"/>
                <w:b/>
                <w:color w:val="000000"/>
                <w:szCs w:val="24"/>
                <w:lang w:eastAsia="en-GB"/>
              </w:rPr>
              <w:t>Peak area normali</w:t>
            </w:r>
            <w:r w:rsidR="00933FDB" w:rsidRPr="009C6B12">
              <w:rPr>
                <w:rFonts w:cs="Times New Roman"/>
                <w:b/>
                <w:color w:val="000000"/>
                <w:szCs w:val="24"/>
                <w:lang w:eastAsia="en-GB"/>
              </w:rPr>
              <w:t>z</w:t>
            </w:r>
            <w:r w:rsidRPr="009C6B12">
              <w:rPr>
                <w:rFonts w:cs="Times New Roman"/>
                <w:b/>
                <w:color w:val="000000"/>
                <w:szCs w:val="24"/>
                <w:lang w:eastAsia="en-GB"/>
              </w:rPr>
              <w:t>ed to soaked sample</w:t>
            </w:r>
          </w:p>
        </w:tc>
      </w:tr>
      <w:tr w:rsidR="00B828C2" w:rsidRPr="009C6B12" w14:paraId="0521451F" w14:textId="77777777" w:rsidTr="00593B10">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814B6" w14:textId="77777777" w:rsidR="00B828C2" w:rsidRPr="009C6B12" w:rsidRDefault="00B828C2" w:rsidP="009C6B12">
            <w:pPr>
              <w:spacing w:after="0" w:line="480" w:lineRule="auto"/>
              <w:jc w:val="left"/>
              <w:rPr>
                <w:rFonts w:cs="Times New Roman"/>
                <w:b/>
                <w:color w:val="000000"/>
                <w:szCs w:val="24"/>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3F7C9C" w14:textId="77777777" w:rsidR="00B828C2" w:rsidRPr="009C6B12" w:rsidRDefault="00B828C2" w:rsidP="009C6B12">
            <w:pPr>
              <w:spacing w:after="0" w:line="480" w:lineRule="auto"/>
              <w:jc w:val="left"/>
              <w:rPr>
                <w:rFonts w:cs="Times New Roman"/>
                <w:b/>
                <w:color w:val="000000"/>
                <w:szCs w:val="24"/>
                <w:lang w:eastAsia="en-GB"/>
              </w:rPr>
            </w:pPr>
          </w:p>
        </w:tc>
        <w:tc>
          <w:tcPr>
            <w:tcW w:w="1068" w:type="dxa"/>
            <w:tcBorders>
              <w:top w:val="single" w:sz="4" w:space="0" w:color="auto"/>
              <w:left w:val="single" w:sz="4" w:space="0" w:color="auto"/>
              <w:bottom w:val="single" w:sz="4" w:space="0" w:color="auto"/>
              <w:right w:val="single" w:sz="4" w:space="0" w:color="auto"/>
            </w:tcBorders>
            <w:noWrap/>
            <w:vAlign w:val="center"/>
            <w:hideMark/>
          </w:tcPr>
          <w:p w14:paraId="109C3521" w14:textId="77777777" w:rsidR="00B828C2" w:rsidRPr="009C6B12" w:rsidRDefault="00B828C2" w:rsidP="009C6B12">
            <w:pPr>
              <w:spacing w:after="0" w:line="480" w:lineRule="auto"/>
              <w:jc w:val="center"/>
              <w:rPr>
                <w:rFonts w:cs="Times New Roman"/>
                <w:b/>
                <w:color w:val="000000"/>
                <w:szCs w:val="24"/>
                <w:lang w:eastAsia="en-GB"/>
              </w:rPr>
            </w:pPr>
            <w:r w:rsidRPr="009C6B12">
              <w:rPr>
                <w:rFonts w:cs="Times New Roman"/>
                <w:b/>
                <w:color w:val="000000"/>
                <w:szCs w:val="24"/>
                <w:lang w:eastAsia="en-GB"/>
              </w:rPr>
              <w:t>Amine</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53AEFF44" w14:textId="77777777" w:rsidR="00B828C2" w:rsidRPr="009C6B12" w:rsidRDefault="00B828C2" w:rsidP="009C6B12">
            <w:pPr>
              <w:spacing w:after="0" w:line="480" w:lineRule="auto"/>
              <w:jc w:val="center"/>
              <w:rPr>
                <w:rFonts w:cs="Times New Roman"/>
                <w:b/>
                <w:color w:val="000000"/>
                <w:szCs w:val="24"/>
                <w:lang w:eastAsia="en-GB"/>
              </w:rPr>
            </w:pPr>
            <w:r w:rsidRPr="009C6B12">
              <w:rPr>
                <w:rFonts w:cs="Times New Roman"/>
                <w:b/>
                <w:color w:val="000000"/>
                <w:szCs w:val="24"/>
                <w:lang w:eastAsia="en-GB"/>
              </w:rPr>
              <w:t>Pyrollic</w:t>
            </w:r>
          </w:p>
        </w:tc>
        <w:tc>
          <w:tcPr>
            <w:tcW w:w="1362" w:type="dxa"/>
            <w:tcBorders>
              <w:top w:val="single" w:sz="4" w:space="0" w:color="auto"/>
              <w:left w:val="single" w:sz="4" w:space="0" w:color="auto"/>
              <w:bottom w:val="single" w:sz="4" w:space="0" w:color="auto"/>
              <w:right w:val="single" w:sz="4" w:space="0" w:color="auto"/>
            </w:tcBorders>
            <w:noWrap/>
            <w:vAlign w:val="center"/>
            <w:hideMark/>
          </w:tcPr>
          <w:p w14:paraId="7B83AA18" w14:textId="77777777" w:rsidR="00B828C2" w:rsidRPr="009C6B12" w:rsidRDefault="00B828C2" w:rsidP="009C6B12">
            <w:pPr>
              <w:spacing w:after="0" w:line="480" w:lineRule="auto"/>
              <w:jc w:val="center"/>
              <w:rPr>
                <w:rFonts w:cs="Times New Roman"/>
                <w:b/>
                <w:color w:val="000000"/>
                <w:szCs w:val="24"/>
                <w:lang w:eastAsia="en-GB"/>
              </w:rPr>
            </w:pPr>
            <w:r w:rsidRPr="009C6B12">
              <w:rPr>
                <w:rFonts w:cs="Times New Roman"/>
                <w:b/>
                <w:color w:val="000000"/>
                <w:szCs w:val="24"/>
                <w:lang w:eastAsia="en-GB"/>
              </w:rPr>
              <w:t>Graphitic</w:t>
            </w:r>
          </w:p>
        </w:tc>
      </w:tr>
      <w:tr w:rsidR="00B828C2" w:rsidRPr="009C6B12" w14:paraId="29FA3C59" w14:textId="77777777" w:rsidTr="00337F6D">
        <w:trPr>
          <w:trHeight w:val="317"/>
          <w:jc w:val="center"/>
        </w:trPr>
        <w:tc>
          <w:tcPr>
            <w:tcW w:w="1015" w:type="dxa"/>
            <w:vMerge w:val="restart"/>
            <w:tcBorders>
              <w:top w:val="single" w:sz="4" w:space="0" w:color="auto"/>
              <w:left w:val="single" w:sz="4" w:space="0" w:color="auto"/>
              <w:bottom w:val="single" w:sz="4" w:space="0" w:color="auto"/>
              <w:right w:val="single" w:sz="4" w:space="0" w:color="auto"/>
            </w:tcBorders>
            <w:noWrap/>
            <w:vAlign w:val="center"/>
            <w:hideMark/>
          </w:tcPr>
          <w:p w14:paraId="6865670A" w14:textId="77777777" w:rsidR="00B828C2" w:rsidRPr="009C6B12" w:rsidRDefault="00B828C2" w:rsidP="009C6B12">
            <w:pPr>
              <w:spacing w:after="0" w:line="480" w:lineRule="auto"/>
              <w:jc w:val="center"/>
              <w:rPr>
                <w:rFonts w:cs="Times New Roman"/>
                <w:b/>
                <w:color w:val="000000"/>
                <w:szCs w:val="24"/>
                <w:lang w:eastAsia="en-GB"/>
              </w:rPr>
            </w:pPr>
            <w:r w:rsidRPr="009C6B12">
              <w:rPr>
                <w:rFonts w:cs="Times New Roman"/>
                <w:b/>
                <w:color w:val="000000"/>
                <w:szCs w:val="24"/>
                <w:lang w:eastAsia="en-GB"/>
              </w:rPr>
              <w:t>2.5</w:t>
            </w:r>
          </w:p>
        </w:tc>
        <w:tc>
          <w:tcPr>
            <w:tcW w:w="1870" w:type="dxa"/>
            <w:tcBorders>
              <w:top w:val="single" w:sz="4" w:space="0" w:color="auto"/>
              <w:left w:val="single" w:sz="4" w:space="0" w:color="auto"/>
              <w:bottom w:val="single" w:sz="4" w:space="0" w:color="auto"/>
              <w:right w:val="single" w:sz="4" w:space="0" w:color="auto"/>
            </w:tcBorders>
            <w:vAlign w:val="center"/>
            <w:hideMark/>
          </w:tcPr>
          <w:p w14:paraId="152ECDFE"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Floating</w:t>
            </w:r>
          </w:p>
        </w:tc>
        <w:tc>
          <w:tcPr>
            <w:tcW w:w="1068" w:type="dxa"/>
            <w:tcBorders>
              <w:top w:val="single" w:sz="4" w:space="0" w:color="auto"/>
              <w:left w:val="single" w:sz="4" w:space="0" w:color="auto"/>
              <w:bottom w:val="single" w:sz="4" w:space="0" w:color="auto"/>
              <w:right w:val="single" w:sz="4" w:space="0" w:color="auto"/>
            </w:tcBorders>
            <w:noWrap/>
            <w:vAlign w:val="center"/>
          </w:tcPr>
          <w:p w14:paraId="3FA13734" w14:textId="4463D343" w:rsidR="00B828C2" w:rsidRPr="009C6B12" w:rsidRDefault="00B828C2" w:rsidP="009C6B12">
            <w:pPr>
              <w:spacing w:after="0" w:line="480" w:lineRule="auto"/>
              <w:jc w:val="center"/>
              <w:rPr>
                <w:rFonts w:cs="Times New Roman"/>
                <w:color w:val="000000"/>
                <w:szCs w:val="24"/>
                <w:lang w:eastAsia="en-GB"/>
              </w:rPr>
            </w:pPr>
          </w:p>
        </w:tc>
        <w:tc>
          <w:tcPr>
            <w:tcW w:w="1016" w:type="dxa"/>
            <w:tcBorders>
              <w:top w:val="single" w:sz="4" w:space="0" w:color="auto"/>
              <w:left w:val="single" w:sz="4" w:space="0" w:color="auto"/>
              <w:bottom w:val="single" w:sz="4" w:space="0" w:color="auto"/>
              <w:right w:val="single" w:sz="4" w:space="0" w:color="auto"/>
            </w:tcBorders>
            <w:noWrap/>
            <w:vAlign w:val="center"/>
          </w:tcPr>
          <w:p w14:paraId="26CFACFE" w14:textId="16FEB49E" w:rsidR="00B828C2" w:rsidRPr="009C6B12" w:rsidRDefault="00B828C2" w:rsidP="009C6B12">
            <w:pPr>
              <w:spacing w:after="0" w:line="480" w:lineRule="auto"/>
              <w:jc w:val="center"/>
              <w:rPr>
                <w:rFonts w:cs="Times New Roman"/>
                <w:color w:val="000000"/>
                <w:szCs w:val="24"/>
                <w:lang w:eastAsia="en-GB"/>
              </w:rPr>
            </w:pPr>
          </w:p>
        </w:tc>
        <w:tc>
          <w:tcPr>
            <w:tcW w:w="1362" w:type="dxa"/>
            <w:tcBorders>
              <w:top w:val="single" w:sz="4" w:space="0" w:color="auto"/>
              <w:left w:val="single" w:sz="4" w:space="0" w:color="auto"/>
              <w:bottom w:val="single" w:sz="4" w:space="0" w:color="auto"/>
              <w:right w:val="single" w:sz="4" w:space="0" w:color="auto"/>
            </w:tcBorders>
            <w:noWrap/>
            <w:vAlign w:val="center"/>
          </w:tcPr>
          <w:p w14:paraId="082C63B8" w14:textId="3AA9967B" w:rsidR="00B828C2" w:rsidRPr="009C6B12" w:rsidRDefault="00B828C2" w:rsidP="009C6B12">
            <w:pPr>
              <w:spacing w:after="0" w:line="480" w:lineRule="auto"/>
              <w:jc w:val="center"/>
              <w:rPr>
                <w:rFonts w:cs="Times New Roman"/>
                <w:color w:val="000000"/>
                <w:szCs w:val="24"/>
                <w:lang w:eastAsia="en-GB"/>
              </w:rPr>
            </w:pPr>
          </w:p>
        </w:tc>
      </w:tr>
      <w:tr w:rsidR="00B828C2" w:rsidRPr="009C6B12" w14:paraId="0AA1E340" w14:textId="77777777" w:rsidTr="00593B10">
        <w:trPr>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E9E623" w14:textId="77777777" w:rsidR="00B828C2" w:rsidRPr="009C6B12" w:rsidRDefault="00B828C2" w:rsidP="009C6B12">
            <w:pPr>
              <w:spacing w:after="0" w:line="480" w:lineRule="auto"/>
              <w:jc w:val="left"/>
              <w:rPr>
                <w:rFonts w:cs="Times New Roman"/>
                <w:b/>
                <w:color w:val="000000"/>
                <w:szCs w:val="24"/>
                <w:lang w:eastAsia="en-GB"/>
              </w:rPr>
            </w:pPr>
          </w:p>
        </w:tc>
        <w:tc>
          <w:tcPr>
            <w:tcW w:w="1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2EDBAD"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PTFE holder</w:t>
            </w:r>
          </w:p>
        </w:tc>
        <w:tc>
          <w:tcPr>
            <w:tcW w:w="1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AE6B90"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3.4±0.3</w:t>
            </w:r>
          </w:p>
        </w:tc>
        <w:tc>
          <w:tcPr>
            <w:tcW w:w="1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616CD9"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3.2±0.7</w:t>
            </w:r>
          </w:p>
        </w:tc>
        <w:tc>
          <w:tcPr>
            <w:tcW w:w="13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998C22"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2.1±0.2</w:t>
            </w:r>
          </w:p>
        </w:tc>
      </w:tr>
      <w:tr w:rsidR="00B828C2" w:rsidRPr="009C6B12" w14:paraId="6742F0BA" w14:textId="77777777" w:rsidTr="00593B10">
        <w:trPr>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97BB21" w14:textId="77777777" w:rsidR="00B828C2" w:rsidRPr="009C6B12" w:rsidRDefault="00B828C2" w:rsidP="009C6B12">
            <w:pPr>
              <w:spacing w:after="0" w:line="480" w:lineRule="auto"/>
              <w:jc w:val="left"/>
              <w:rPr>
                <w:rFonts w:cs="Times New Roman"/>
                <w:b/>
                <w:color w:val="000000"/>
                <w:szCs w:val="24"/>
                <w:lang w:eastAsia="en-GB"/>
              </w:rPr>
            </w:pP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F2D99F" w14:textId="4B7A891A" w:rsidR="00B828C2" w:rsidRPr="009C6B12" w:rsidRDefault="00650499" w:rsidP="009C6B12">
            <w:pPr>
              <w:spacing w:after="0" w:line="480" w:lineRule="auto"/>
              <w:jc w:val="center"/>
              <w:rPr>
                <w:rFonts w:cs="Times New Roman"/>
                <w:color w:val="000000"/>
                <w:szCs w:val="24"/>
                <w:lang w:eastAsia="en-GB"/>
              </w:rPr>
            </w:pPr>
            <w:r w:rsidRPr="009C6B12">
              <w:rPr>
                <w:rFonts w:cs="Times New Roman"/>
                <w:color w:val="000000"/>
                <w:szCs w:val="24"/>
                <w:lang w:eastAsia="en-GB"/>
              </w:rPr>
              <w:t>PiNE</w:t>
            </w:r>
          </w:p>
        </w:tc>
        <w:tc>
          <w:tcPr>
            <w:tcW w:w="10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19393AF"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19±2.5</w:t>
            </w:r>
          </w:p>
        </w:tc>
        <w:tc>
          <w:tcPr>
            <w:tcW w:w="1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5958235"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7.5±1.9</w:t>
            </w:r>
          </w:p>
        </w:tc>
        <w:tc>
          <w:tcPr>
            <w:tcW w:w="1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3B0F8BA"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18.9±3.6</w:t>
            </w:r>
          </w:p>
        </w:tc>
      </w:tr>
      <w:tr w:rsidR="00B828C2" w:rsidRPr="009C6B12" w14:paraId="4353CEF8" w14:textId="77777777" w:rsidTr="00337F6D">
        <w:trPr>
          <w:trHeight w:val="317"/>
          <w:jc w:val="center"/>
        </w:trPr>
        <w:tc>
          <w:tcPr>
            <w:tcW w:w="1015" w:type="dxa"/>
            <w:vMerge w:val="restart"/>
            <w:tcBorders>
              <w:top w:val="single" w:sz="4" w:space="0" w:color="auto"/>
              <w:left w:val="single" w:sz="4" w:space="0" w:color="auto"/>
              <w:bottom w:val="single" w:sz="4" w:space="0" w:color="auto"/>
              <w:right w:val="single" w:sz="4" w:space="0" w:color="auto"/>
            </w:tcBorders>
            <w:noWrap/>
            <w:vAlign w:val="center"/>
            <w:hideMark/>
          </w:tcPr>
          <w:p w14:paraId="0E1A04D6" w14:textId="77777777" w:rsidR="00B828C2" w:rsidRPr="009C6B12" w:rsidRDefault="00B828C2" w:rsidP="009C6B12">
            <w:pPr>
              <w:spacing w:after="0" w:line="480" w:lineRule="auto"/>
              <w:jc w:val="center"/>
              <w:rPr>
                <w:rFonts w:cs="Times New Roman"/>
                <w:b/>
                <w:color w:val="000000"/>
                <w:szCs w:val="24"/>
                <w:lang w:eastAsia="en-GB"/>
              </w:rPr>
            </w:pPr>
            <w:r w:rsidRPr="009C6B12">
              <w:rPr>
                <w:rFonts w:cs="Times New Roman"/>
                <w:b/>
                <w:color w:val="000000"/>
                <w:szCs w:val="24"/>
                <w:lang w:eastAsia="en-GB"/>
              </w:rPr>
              <w:t>5</w:t>
            </w:r>
          </w:p>
        </w:tc>
        <w:tc>
          <w:tcPr>
            <w:tcW w:w="1870" w:type="dxa"/>
            <w:tcBorders>
              <w:top w:val="single" w:sz="4" w:space="0" w:color="auto"/>
              <w:left w:val="single" w:sz="4" w:space="0" w:color="auto"/>
              <w:bottom w:val="single" w:sz="4" w:space="0" w:color="auto"/>
              <w:right w:val="single" w:sz="4" w:space="0" w:color="auto"/>
            </w:tcBorders>
            <w:vAlign w:val="center"/>
            <w:hideMark/>
          </w:tcPr>
          <w:p w14:paraId="1738437C"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Floating</w:t>
            </w:r>
          </w:p>
        </w:tc>
        <w:tc>
          <w:tcPr>
            <w:tcW w:w="1068" w:type="dxa"/>
            <w:tcBorders>
              <w:top w:val="single" w:sz="4" w:space="0" w:color="auto"/>
              <w:left w:val="single" w:sz="4" w:space="0" w:color="auto"/>
              <w:bottom w:val="single" w:sz="4" w:space="0" w:color="auto"/>
              <w:right w:val="single" w:sz="4" w:space="0" w:color="auto"/>
            </w:tcBorders>
            <w:noWrap/>
            <w:vAlign w:val="center"/>
          </w:tcPr>
          <w:p w14:paraId="6481B94C" w14:textId="5BCB3AE8" w:rsidR="00B828C2" w:rsidRPr="009C6B12" w:rsidRDefault="00B828C2" w:rsidP="009C6B12">
            <w:pPr>
              <w:spacing w:after="0" w:line="480" w:lineRule="auto"/>
              <w:jc w:val="center"/>
              <w:rPr>
                <w:rFonts w:cs="Times New Roman"/>
                <w:color w:val="000000"/>
                <w:szCs w:val="24"/>
                <w:lang w:eastAsia="en-GB"/>
              </w:rPr>
            </w:pPr>
          </w:p>
        </w:tc>
        <w:tc>
          <w:tcPr>
            <w:tcW w:w="1016" w:type="dxa"/>
            <w:tcBorders>
              <w:top w:val="single" w:sz="4" w:space="0" w:color="auto"/>
              <w:left w:val="single" w:sz="4" w:space="0" w:color="auto"/>
              <w:bottom w:val="single" w:sz="4" w:space="0" w:color="auto"/>
              <w:right w:val="single" w:sz="4" w:space="0" w:color="auto"/>
            </w:tcBorders>
            <w:noWrap/>
            <w:vAlign w:val="center"/>
          </w:tcPr>
          <w:p w14:paraId="5FAE7CDD" w14:textId="2872EBC2" w:rsidR="00B828C2" w:rsidRPr="009C6B12" w:rsidRDefault="00B828C2" w:rsidP="009C6B12">
            <w:pPr>
              <w:spacing w:after="0" w:line="480" w:lineRule="auto"/>
              <w:jc w:val="center"/>
              <w:rPr>
                <w:rFonts w:cs="Times New Roman"/>
                <w:color w:val="000000"/>
                <w:szCs w:val="24"/>
                <w:lang w:eastAsia="en-GB"/>
              </w:rPr>
            </w:pPr>
          </w:p>
        </w:tc>
        <w:tc>
          <w:tcPr>
            <w:tcW w:w="1362" w:type="dxa"/>
            <w:tcBorders>
              <w:top w:val="single" w:sz="4" w:space="0" w:color="auto"/>
              <w:left w:val="single" w:sz="4" w:space="0" w:color="auto"/>
              <w:bottom w:val="single" w:sz="4" w:space="0" w:color="auto"/>
              <w:right w:val="single" w:sz="4" w:space="0" w:color="auto"/>
            </w:tcBorders>
            <w:noWrap/>
            <w:vAlign w:val="center"/>
          </w:tcPr>
          <w:p w14:paraId="43F90579" w14:textId="44AC7E37" w:rsidR="00B828C2" w:rsidRPr="009C6B12" w:rsidRDefault="00B828C2" w:rsidP="009C6B12">
            <w:pPr>
              <w:spacing w:after="0" w:line="480" w:lineRule="auto"/>
              <w:jc w:val="center"/>
              <w:rPr>
                <w:rFonts w:cs="Times New Roman"/>
                <w:color w:val="000000"/>
                <w:szCs w:val="24"/>
                <w:lang w:eastAsia="en-GB"/>
              </w:rPr>
            </w:pPr>
          </w:p>
        </w:tc>
      </w:tr>
      <w:tr w:rsidR="00B828C2" w:rsidRPr="009C6B12" w14:paraId="24D2D5EC" w14:textId="77777777" w:rsidTr="00593B10">
        <w:trPr>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7DC09" w14:textId="77777777" w:rsidR="00B828C2" w:rsidRPr="009C6B12" w:rsidRDefault="00B828C2" w:rsidP="009C6B12">
            <w:pPr>
              <w:spacing w:after="0" w:line="480" w:lineRule="auto"/>
              <w:jc w:val="left"/>
              <w:rPr>
                <w:rFonts w:cs="Times New Roman"/>
                <w:b/>
                <w:color w:val="000000"/>
                <w:szCs w:val="24"/>
                <w:lang w:eastAsia="en-GB"/>
              </w:rPr>
            </w:pPr>
          </w:p>
        </w:tc>
        <w:tc>
          <w:tcPr>
            <w:tcW w:w="1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00F3E0"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PTFE holder</w:t>
            </w:r>
          </w:p>
        </w:tc>
        <w:tc>
          <w:tcPr>
            <w:tcW w:w="1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98B177"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2.3±0.3</w:t>
            </w:r>
          </w:p>
        </w:tc>
        <w:tc>
          <w:tcPr>
            <w:tcW w:w="1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DD0669"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1.9±0.2</w:t>
            </w:r>
          </w:p>
        </w:tc>
        <w:tc>
          <w:tcPr>
            <w:tcW w:w="13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BE5C"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3.3±0.7</w:t>
            </w:r>
          </w:p>
        </w:tc>
      </w:tr>
      <w:tr w:rsidR="00B828C2" w:rsidRPr="009C6B12" w14:paraId="16709ED4" w14:textId="77777777" w:rsidTr="00593B10">
        <w:trPr>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57402" w14:textId="77777777" w:rsidR="00B828C2" w:rsidRPr="009C6B12" w:rsidRDefault="00B828C2" w:rsidP="009C6B12">
            <w:pPr>
              <w:spacing w:after="0" w:line="480" w:lineRule="auto"/>
              <w:jc w:val="left"/>
              <w:rPr>
                <w:rFonts w:cs="Times New Roman"/>
                <w:b/>
                <w:color w:val="000000"/>
                <w:szCs w:val="24"/>
                <w:lang w:eastAsia="en-GB"/>
              </w:rPr>
            </w:pP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205030" w14:textId="0A8C2116" w:rsidR="00B828C2" w:rsidRPr="009C6B12" w:rsidRDefault="00650499" w:rsidP="009C6B12">
            <w:pPr>
              <w:spacing w:after="0" w:line="480" w:lineRule="auto"/>
              <w:jc w:val="center"/>
              <w:rPr>
                <w:rFonts w:cs="Times New Roman"/>
                <w:color w:val="000000"/>
                <w:szCs w:val="24"/>
                <w:lang w:eastAsia="en-GB"/>
              </w:rPr>
            </w:pPr>
            <w:r w:rsidRPr="009C6B12">
              <w:rPr>
                <w:rFonts w:cs="Times New Roman"/>
                <w:color w:val="000000"/>
                <w:szCs w:val="24"/>
                <w:lang w:eastAsia="en-GB"/>
              </w:rPr>
              <w:t>PiNE</w:t>
            </w:r>
          </w:p>
        </w:tc>
        <w:tc>
          <w:tcPr>
            <w:tcW w:w="10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4B104A5"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18.2±0.7</w:t>
            </w:r>
          </w:p>
        </w:tc>
        <w:tc>
          <w:tcPr>
            <w:tcW w:w="1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60C2B85"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9.6±1.6</w:t>
            </w:r>
          </w:p>
        </w:tc>
        <w:tc>
          <w:tcPr>
            <w:tcW w:w="1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BEE77A4"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27.1±2.4</w:t>
            </w:r>
          </w:p>
        </w:tc>
      </w:tr>
      <w:tr w:rsidR="00B828C2" w:rsidRPr="009C6B12" w14:paraId="222DA721" w14:textId="77777777" w:rsidTr="00593B10">
        <w:trPr>
          <w:trHeight w:val="317"/>
          <w:jc w:val="center"/>
        </w:trPr>
        <w:tc>
          <w:tcPr>
            <w:tcW w:w="1015" w:type="dxa"/>
            <w:vMerge w:val="restart"/>
            <w:tcBorders>
              <w:top w:val="single" w:sz="4" w:space="0" w:color="auto"/>
              <w:left w:val="single" w:sz="4" w:space="0" w:color="auto"/>
              <w:right w:val="single" w:sz="4" w:space="0" w:color="auto"/>
            </w:tcBorders>
            <w:noWrap/>
            <w:vAlign w:val="center"/>
            <w:hideMark/>
          </w:tcPr>
          <w:p w14:paraId="7989F318" w14:textId="77777777" w:rsidR="00B828C2" w:rsidRPr="009C6B12" w:rsidRDefault="00B828C2" w:rsidP="009C6B12">
            <w:pPr>
              <w:spacing w:after="0" w:line="480" w:lineRule="auto"/>
              <w:jc w:val="center"/>
              <w:rPr>
                <w:rFonts w:cs="Times New Roman"/>
                <w:b/>
                <w:color w:val="000000"/>
                <w:szCs w:val="24"/>
                <w:lang w:eastAsia="en-GB"/>
              </w:rPr>
            </w:pPr>
            <w:r w:rsidRPr="009C6B12">
              <w:rPr>
                <w:rFonts w:cs="Times New Roman"/>
                <w:b/>
                <w:color w:val="000000"/>
                <w:szCs w:val="24"/>
                <w:lang w:eastAsia="en-GB"/>
              </w:rPr>
              <w:t>10</w:t>
            </w:r>
          </w:p>
        </w:tc>
        <w:tc>
          <w:tcPr>
            <w:tcW w:w="1870" w:type="dxa"/>
            <w:tcBorders>
              <w:top w:val="single" w:sz="4" w:space="0" w:color="auto"/>
              <w:left w:val="single" w:sz="4" w:space="0" w:color="auto"/>
              <w:bottom w:val="single" w:sz="4" w:space="0" w:color="auto"/>
              <w:right w:val="single" w:sz="4" w:space="0" w:color="auto"/>
            </w:tcBorders>
            <w:vAlign w:val="center"/>
            <w:hideMark/>
          </w:tcPr>
          <w:p w14:paraId="3C3FD5E2"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Floating</w:t>
            </w:r>
          </w:p>
        </w:tc>
        <w:tc>
          <w:tcPr>
            <w:tcW w:w="1068" w:type="dxa"/>
            <w:tcBorders>
              <w:top w:val="single" w:sz="4" w:space="0" w:color="auto"/>
              <w:left w:val="single" w:sz="4" w:space="0" w:color="auto"/>
              <w:bottom w:val="single" w:sz="4" w:space="0" w:color="auto"/>
              <w:right w:val="single" w:sz="4" w:space="0" w:color="auto"/>
            </w:tcBorders>
            <w:noWrap/>
            <w:vAlign w:val="center"/>
            <w:hideMark/>
          </w:tcPr>
          <w:p w14:paraId="77FD03CF"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1.6±0.5</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40880BB1"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2.2±0.5</w:t>
            </w:r>
          </w:p>
        </w:tc>
        <w:tc>
          <w:tcPr>
            <w:tcW w:w="1362" w:type="dxa"/>
            <w:tcBorders>
              <w:top w:val="single" w:sz="4" w:space="0" w:color="auto"/>
              <w:left w:val="single" w:sz="4" w:space="0" w:color="auto"/>
              <w:bottom w:val="single" w:sz="4" w:space="0" w:color="auto"/>
              <w:right w:val="single" w:sz="4" w:space="0" w:color="auto"/>
            </w:tcBorders>
            <w:noWrap/>
            <w:vAlign w:val="center"/>
            <w:hideMark/>
          </w:tcPr>
          <w:p w14:paraId="3E3569EE"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1.0±0.4</w:t>
            </w:r>
          </w:p>
        </w:tc>
      </w:tr>
      <w:tr w:rsidR="00B828C2" w:rsidRPr="009C6B12" w14:paraId="7B841C06" w14:textId="77777777" w:rsidTr="00593B10">
        <w:trPr>
          <w:trHeight w:val="317"/>
          <w:jc w:val="center"/>
        </w:trPr>
        <w:tc>
          <w:tcPr>
            <w:tcW w:w="0" w:type="auto"/>
            <w:vMerge/>
            <w:tcBorders>
              <w:left w:val="single" w:sz="4" w:space="0" w:color="auto"/>
              <w:right w:val="single" w:sz="4" w:space="0" w:color="auto"/>
            </w:tcBorders>
            <w:vAlign w:val="center"/>
            <w:hideMark/>
          </w:tcPr>
          <w:p w14:paraId="4C716465" w14:textId="77777777" w:rsidR="00B828C2" w:rsidRPr="009C6B12" w:rsidRDefault="00B828C2" w:rsidP="009C6B12">
            <w:pPr>
              <w:spacing w:after="0" w:line="480" w:lineRule="auto"/>
              <w:jc w:val="left"/>
              <w:rPr>
                <w:rFonts w:cs="Times New Roman"/>
                <w:b/>
                <w:color w:val="000000"/>
                <w:szCs w:val="24"/>
                <w:lang w:eastAsia="en-GB"/>
              </w:rPr>
            </w:pPr>
          </w:p>
        </w:tc>
        <w:tc>
          <w:tcPr>
            <w:tcW w:w="1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255481"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PTFE holder</w:t>
            </w:r>
          </w:p>
        </w:tc>
        <w:tc>
          <w:tcPr>
            <w:tcW w:w="1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279C39"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1.6±0.1</w:t>
            </w:r>
          </w:p>
        </w:tc>
        <w:tc>
          <w:tcPr>
            <w:tcW w:w="1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A11BDD"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2.6±0.5</w:t>
            </w:r>
          </w:p>
        </w:tc>
        <w:tc>
          <w:tcPr>
            <w:tcW w:w="13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B6A926"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1.9±0.1</w:t>
            </w:r>
          </w:p>
        </w:tc>
      </w:tr>
      <w:tr w:rsidR="00B828C2" w:rsidRPr="009C6B12" w14:paraId="68508EF8" w14:textId="77777777" w:rsidTr="00593B10">
        <w:trPr>
          <w:trHeight w:val="317"/>
          <w:jc w:val="center"/>
        </w:trPr>
        <w:tc>
          <w:tcPr>
            <w:tcW w:w="0" w:type="auto"/>
            <w:vMerge/>
            <w:tcBorders>
              <w:left w:val="single" w:sz="4" w:space="0" w:color="auto"/>
              <w:right w:val="single" w:sz="4" w:space="0" w:color="auto"/>
            </w:tcBorders>
            <w:vAlign w:val="center"/>
            <w:hideMark/>
          </w:tcPr>
          <w:p w14:paraId="163410E3" w14:textId="77777777" w:rsidR="00B828C2" w:rsidRPr="009C6B12" w:rsidRDefault="00B828C2" w:rsidP="009C6B12">
            <w:pPr>
              <w:spacing w:after="0" w:line="480" w:lineRule="auto"/>
              <w:jc w:val="left"/>
              <w:rPr>
                <w:rFonts w:cs="Times New Roman"/>
                <w:b/>
                <w:color w:val="000000"/>
                <w:szCs w:val="24"/>
                <w:lang w:eastAsia="en-GB"/>
              </w:rPr>
            </w:pP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88DEF" w14:textId="57E491D8" w:rsidR="00B828C2" w:rsidRPr="009C6B12" w:rsidRDefault="00A75D6A" w:rsidP="009C6B12">
            <w:pPr>
              <w:spacing w:after="0" w:line="480" w:lineRule="auto"/>
              <w:jc w:val="center"/>
              <w:rPr>
                <w:rFonts w:cs="Times New Roman"/>
                <w:color w:val="000000"/>
                <w:szCs w:val="24"/>
                <w:lang w:eastAsia="en-GB"/>
              </w:rPr>
            </w:pPr>
            <w:r w:rsidRPr="009C6B12">
              <w:rPr>
                <w:rFonts w:cs="Times New Roman"/>
                <w:color w:val="000000"/>
                <w:szCs w:val="24"/>
                <w:lang w:eastAsia="en-GB"/>
              </w:rPr>
              <w:t>PiNE</w:t>
            </w:r>
          </w:p>
        </w:tc>
        <w:tc>
          <w:tcPr>
            <w:tcW w:w="10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9E9EFE1"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13.2±0.7</w:t>
            </w:r>
          </w:p>
        </w:tc>
        <w:tc>
          <w:tcPr>
            <w:tcW w:w="1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EA44D59"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9.5±1.2</w:t>
            </w:r>
          </w:p>
        </w:tc>
        <w:tc>
          <w:tcPr>
            <w:tcW w:w="1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0383B87"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16.1±0.4</w:t>
            </w:r>
          </w:p>
        </w:tc>
      </w:tr>
      <w:tr w:rsidR="00B828C2" w:rsidRPr="009C6B12" w14:paraId="0E8CF062" w14:textId="77777777" w:rsidTr="00593B10">
        <w:trPr>
          <w:trHeight w:val="317"/>
          <w:jc w:val="center"/>
        </w:trPr>
        <w:tc>
          <w:tcPr>
            <w:tcW w:w="0" w:type="auto"/>
            <w:vMerge/>
            <w:tcBorders>
              <w:left w:val="single" w:sz="4" w:space="0" w:color="auto"/>
              <w:bottom w:val="single" w:sz="4" w:space="0" w:color="auto"/>
              <w:right w:val="single" w:sz="4" w:space="0" w:color="auto"/>
            </w:tcBorders>
            <w:vAlign w:val="center"/>
          </w:tcPr>
          <w:p w14:paraId="7589B3A1" w14:textId="77777777" w:rsidR="00B828C2" w:rsidRPr="009C6B12" w:rsidRDefault="00B828C2" w:rsidP="009C6B12">
            <w:pPr>
              <w:spacing w:after="0" w:line="480" w:lineRule="auto"/>
              <w:jc w:val="left"/>
              <w:rPr>
                <w:rFonts w:cs="Times New Roman"/>
                <w:b/>
                <w:color w:val="000000"/>
                <w:szCs w:val="24"/>
                <w:lang w:eastAsia="en-GB"/>
              </w:rPr>
            </w:pPr>
          </w:p>
        </w:tc>
        <w:tc>
          <w:tcPr>
            <w:tcW w:w="187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EBD2B23" w14:textId="731D9C2A" w:rsidR="00B828C2" w:rsidRPr="009C6B12" w:rsidRDefault="00A75D6A" w:rsidP="009C6B12">
            <w:pPr>
              <w:spacing w:after="0" w:line="480" w:lineRule="auto"/>
              <w:jc w:val="center"/>
              <w:rPr>
                <w:rFonts w:cs="Times New Roman"/>
                <w:color w:val="000000"/>
                <w:szCs w:val="24"/>
                <w:lang w:eastAsia="en-GB"/>
              </w:rPr>
            </w:pPr>
            <w:r w:rsidRPr="009C6B12">
              <w:rPr>
                <w:rFonts w:cs="Times New Roman"/>
                <w:color w:val="000000"/>
                <w:szCs w:val="24"/>
                <w:lang w:eastAsia="en-GB"/>
              </w:rPr>
              <w:t>Electrolysis</w:t>
            </w:r>
          </w:p>
        </w:tc>
        <w:tc>
          <w:tcPr>
            <w:tcW w:w="106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A2CBD18" w14:textId="77777777" w:rsidR="00B828C2" w:rsidRPr="009C6B12" w:rsidRDefault="00B828C2" w:rsidP="009C6B12">
            <w:pPr>
              <w:spacing w:after="0" w:line="480" w:lineRule="auto"/>
              <w:jc w:val="center"/>
              <w:rPr>
                <w:rFonts w:cs="Times New Roman"/>
                <w:color w:val="000000"/>
                <w:szCs w:val="24"/>
                <w:lang w:eastAsia="en-GB"/>
              </w:rPr>
            </w:pPr>
            <w:r w:rsidRPr="009C6B12">
              <w:rPr>
                <w:rFonts w:cs="Times New Roman"/>
                <w:color w:val="000000"/>
                <w:szCs w:val="24"/>
                <w:lang w:eastAsia="en-GB"/>
              </w:rPr>
              <w:t>4.1±2.9</w:t>
            </w:r>
          </w:p>
        </w:tc>
        <w:tc>
          <w:tcPr>
            <w:tcW w:w="101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15F4AB1" w14:textId="58061ED3" w:rsidR="00B828C2" w:rsidRPr="009C6B12" w:rsidRDefault="00783C05" w:rsidP="009C6B12">
            <w:pPr>
              <w:spacing w:after="0" w:line="480" w:lineRule="auto"/>
              <w:jc w:val="center"/>
              <w:rPr>
                <w:rFonts w:cs="Times New Roman"/>
                <w:color w:val="000000"/>
                <w:szCs w:val="24"/>
                <w:lang w:eastAsia="en-GB"/>
              </w:rPr>
            </w:pPr>
            <w:r w:rsidRPr="009C6B12">
              <w:rPr>
                <w:rFonts w:cs="Times New Roman"/>
                <w:color w:val="000000"/>
                <w:szCs w:val="24"/>
                <w:lang w:eastAsia="en-GB"/>
              </w:rPr>
              <w:t>4.2</w:t>
            </w:r>
            <w:r w:rsidR="00B828C2" w:rsidRPr="009C6B12">
              <w:rPr>
                <w:rFonts w:cs="Times New Roman"/>
                <w:color w:val="000000"/>
                <w:szCs w:val="24"/>
                <w:lang w:eastAsia="en-GB"/>
              </w:rPr>
              <w:t>±</w:t>
            </w:r>
            <w:r w:rsidRPr="009C6B12">
              <w:rPr>
                <w:rFonts w:cs="Times New Roman"/>
                <w:color w:val="000000"/>
                <w:szCs w:val="24"/>
                <w:lang w:eastAsia="en-GB"/>
              </w:rPr>
              <w:t>2.6</w:t>
            </w:r>
          </w:p>
        </w:tc>
        <w:tc>
          <w:tcPr>
            <w:tcW w:w="136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FC11D46" w14:textId="053A73CF" w:rsidR="00B828C2" w:rsidRPr="009C6B12" w:rsidRDefault="00783C05" w:rsidP="009C6B12">
            <w:pPr>
              <w:spacing w:after="0" w:line="480" w:lineRule="auto"/>
              <w:jc w:val="center"/>
              <w:rPr>
                <w:rFonts w:cs="Times New Roman"/>
                <w:color w:val="000000"/>
                <w:szCs w:val="24"/>
                <w:lang w:eastAsia="en-GB"/>
              </w:rPr>
            </w:pPr>
            <w:r w:rsidRPr="009C6B12">
              <w:rPr>
                <w:rFonts w:cs="Times New Roman"/>
                <w:color w:val="000000"/>
                <w:szCs w:val="24"/>
                <w:lang w:eastAsia="en-GB"/>
              </w:rPr>
              <w:t>3.9</w:t>
            </w:r>
            <w:r w:rsidR="00B828C2" w:rsidRPr="009C6B12">
              <w:rPr>
                <w:rFonts w:cs="Times New Roman"/>
                <w:color w:val="000000"/>
                <w:szCs w:val="24"/>
                <w:lang w:eastAsia="en-GB"/>
              </w:rPr>
              <w:t>±</w:t>
            </w:r>
            <w:r w:rsidRPr="009C6B12">
              <w:rPr>
                <w:rFonts w:cs="Times New Roman"/>
                <w:color w:val="000000"/>
                <w:szCs w:val="24"/>
                <w:lang w:eastAsia="en-GB"/>
              </w:rPr>
              <w:t>2.0</w:t>
            </w:r>
          </w:p>
        </w:tc>
      </w:tr>
    </w:tbl>
    <w:p w14:paraId="37B784B5" w14:textId="77777777" w:rsidR="00845D82" w:rsidRPr="00845D82" w:rsidRDefault="00845D82" w:rsidP="00845D82"/>
    <w:p w14:paraId="372BD843" w14:textId="03809E46" w:rsidR="00FC5225" w:rsidRPr="009C6B12" w:rsidRDefault="00BA1D85" w:rsidP="009C6B12">
      <w:pPr>
        <w:spacing w:after="0" w:line="480" w:lineRule="auto"/>
        <w:jc w:val="center"/>
        <w:rPr>
          <w:szCs w:val="24"/>
        </w:rPr>
      </w:pPr>
      <w:r>
        <w:rPr>
          <w:noProof/>
        </w:rPr>
        <w:lastRenderedPageBreak/>
        <w:drawing>
          <wp:inline distT="0" distB="0" distL="0" distR="0" wp14:anchorId="16671AD5" wp14:editId="1DBDB071">
            <wp:extent cx="5219700" cy="3727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19700" cy="3727450"/>
                    </a:xfrm>
                    <a:prstGeom prst="rect">
                      <a:avLst/>
                    </a:prstGeom>
                    <a:noFill/>
                    <a:ln>
                      <a:noFill/>
                    </a:ln>
                  </pic:spPr>
                </pic:pic>
              </a:graphicData>
            </a:graphic>
          </wp:inline>
        </w:drawing>
      </w:r>
    </w:p>
    <w:p w14:paraId="214F60DD" w14:textId="4D6D8754" w:rsidR="00CE0614" w:rsidRPr="009C6B12" w:rsidRDefault="00CE0614" w:rsidP="003C7A46">
      <w:pPr>
        <w:pStyle w:val="Caption"/>
      </w:pPr>
      <w:bookmarkStart w:id="15" w:name="_Ref46482621"/>
      <w:r w:rsidRPr="009C6B12">
        <w:t>Figure S</w:t>
      </w:r>
      <w:fldSimple w:instr=" SEQ Figure \* ARABIC ">
        <w:r w:rsidR="00727084">
          <w:rPr>
            <w:noProof/>
          </w:rPr>
          <w:t>21</w:t>
        </w:r>
      </w:fldSimple>
      <w:bookmarkEnd w:id="15"/>
      <w:r w:rsidRPr="009C6B12">
        <w:t xml:space="preserve"> Bar charts demonstrating the quantities of each bonding type normalised to a soaked sample.</w:t>
      </w:r>
      <w:r w:rsidR="00DB7BE9" w:rsidRPr="009C6B12">
        <w:t xml:space="preserve"> </w:t>
      </w:r>
    </w:p>
    <w:p w14:paraId="5F288123" w14:textId="77777777" w:rsidR="000A081B" w:rsidRPr="009C6B12" w:rsidRDefault="000A081B" w:rsidP="009C6B12">
      <w:pPr>
        <w:spacing w:line="480" w:lineRule="auto"/>
        <w:jc w:val="left"/>
        <w:rPr>
          <w:rFonts w:eastAsiaTheme="majorEastAsia" w:cs="Arial"/>
          <w:b/>
          <w:bCs/>
          <w:kern w:val="32"/>
          <w:szCs w:val="24"/>
        </w:rPr>
      </w:pPr>
      <w:r w:rsidRPr="009C6B12">
        <w:rPr>
          <w:szCs w:val="24"/>
        </w:rPr>
        <w:br w:type="page"/>
      </w:r>
    </w:p>
    <w:p w14:paraId="212844F1" w14:textId="47FA0F44" w:rsidR="0086717C" w:rsidRPr="009C6B12" w:rsidRDefault="0086717C" w:rsidP="009C6B12">
      <w:pPr>
        <w:pStyle w:val="Heading1"/>
        <w:spacing w:line="480" w:lineRule="auto"/>
        <w:rPr>
          <w:szCs w:val="24"/>
        </w:rPr>
      </w:pPr>
      <w:r w:rsidRPr="009C6B12">
        <w:rPr>
          <w:szCs w:val="24"/>
        </w:rPr>
        <w:lastRenderedPageBreak/>
        <w:t>References</w:t>
      </w:r>
    </w:p>
    <w:p w14:paraId="261A2C64" w14:textId="1AA3D4C6" w:rsidR="002D5C5F" w:rsidRPr="002D5C5F" w:rsidRDefault="0086717C" w:rsidP="002D5C5F">
      <w:pPr>
        <w:widowControl w:val="0"/>
        <w:autoSpaceDE w:val="0"/>
        <w:autoSpaceDN w:val="0"/>
        <w:adjustRightInd w:val="0"/>
        <w:spacing w:after="0" w:line="480" w:lineRule="auto"/>
        <w:ind w:left="640" w:hanging="640"/>
        <w:rPr>
          <w:rFonts w:cs="Times New Roman"/>
          <w:noProof/>
          <w:szCs w:val="24"/>
        </w:rPr>
      </w:pPr>
      <w:r w:rsidRPr="009C6B12">
        <w:rPr>
          <w:szCs w:val="24"/>
        </w:rPr>
        <w:fldChar w:fldCharType="begin" w:fldLock="1"/>
      </w:r>
      <w:r w:rsidRPr="009C6B12">
        <w:rPr>
          <w:szCs w:val="24"/>
        </w:rPr>
        <w:instrText xml:space="preserve">ADDIN Mendeley Bibliography CSL_BIBLIOGRAPHY </w:instrText>
      </w:r>
      <w:r w:rsidRPr="009C6B12">
        <w:rPr>
          <w:szCs w:val="24"/>
        </w:rPr>
        <w:fldChar w:fldCharType="separate"/>
      </w:r>
      <w:r w:rsidR="002D5C5F" w:rsidRPr="002D5C5F">
        <w:rPr>
          <w:rFonts w:cs="Times New Roman"/>
          <w:noProof/>
          <w:szCs w:val="24"/>
        </w:rPr>
        <w:t>[1]</w:t>
      </w:r>
      <w:r w:rsidR="002D5C5F" w:rsidRPr="002D5C5F">
        <w:rPr>
          <w:rFonts w:cs="Times New Roman"/>
          <w:noProof/>
          <w:szCs w:val="24"/>
        </w:rPr>
        <w:tab/>
        <w:t>G. Tuci, C. Zafferoni, A. Rossin, L. Luconi, A. Milella, M. Ceppatelli, M. Innocenti, Y. Liu, C. Pham-Huu, G. Giambastiani, Chemical functionalization of N-doped carbon nanotubes: A powerful approach to cast light on the electrochemical role of specific N-functionalities in the oxygen reduction reaction, Catal. Sci. Technol. 6 (2016) 6226–6236. https://doi.org/10.1039/c6cy00796a.</w:t>
      </w:r>
    </w:p>
    <w:p w14:paraId="5525C581" w14:textId="77777777" w:rsidR="002D5C5F" w:rsidRPr="002D5C5F" w:rsidRDefault="002D5C5F" w:rsidP="002D5C5F">
      <w:pPr>
        <w:widowControl w:val="0"/>
        <w:autoSpaceDE w:val="0"/>
        <w:autoSpaceDN w:val="0"/>
        <w:adjustRightInd w:val="0"/>
        <w:spacing w:after="0" w:line="480" w:lineRule="auto"/>
        <w:ind w:left="640" w:hanging="640"/>
        <w:rPr>
          <w:rFonts w:cs="Times New Roman"/>
          <w:noProof/>
          <w:szCs w:val="24"/>
        </w:rPr>
      </w:pPr>
      <w:r w:rsidRPr="002D5C5F">
        <w:rPr>
          <w:rFonts w:cs="Times New Roman"/>
          <w:noProof/>
          <w:szCs w:val="24"/>
        </w:rPr>
        <w:t>[2]</w:t>
      </w:r>
      <w:r w:rsidRPr="002D5C5F">
        <w:rPr>
          <w:rFonts w:cs="Times New Roman"/>
          <w:noProof/>
          <w:szCs w:val="24"/>
        </w:rPr>
        <w:tab/>
        <w:t>B. Stöhr, H.P. Boehm, R. Schlögl, Enhancement of the catalytic activity of activated carbons in oxidation reactions by thermal treatment with ammonia or hydrogen cyanide and observation of a superoxide species as a possible intermediate, Carbon N. Y. 29 (1991) 707–720. https://doi.org/10.1016/0008-6223(91)90006-5.</w:t>
      </w:r>
    </w:p>
    <w:p w14:paraId="2516C327" w14:textId="77777777" w:rsidR="002D5C5F" w:rsidRPr="002D5C5F" w:rsidRDefault="002D5C5F" w:rsidP="002D5C5F">
      <w:pPr>
        <w:widowControl w:val="0"/>
        <w:autoSpaceDE w:val="0"/>
        <w:autoSpaceDN w:val="0"/>
        <w:adjustRightInd w:val="0"/>
        <w:spacing w:after="0" w:line="480" w:lineRule="auto"/>
        <w:ind w:left="640" w:hanging="640"/>
        <w:rPr>
          <w:rFonts w:cs="Times New Roman"/>
          <w:noProof/>
          <w:szCs w:val="24"/>
        </w:rPr>
      </w:pPr>
      <w:r w:rsidRPr="002D5C5F">
        <w:rPr>
          <w:rFonts w:cs="Times New Roman"/>
          <w:noProof/>
          <w:szCs w:val="24"/>
        </w:rPr>
        <w:t>[3]</w:t>
      </w:r>
      <w:r w:rsidRPr="002D5C5F">
        <w:rPr>
          <w:rFonts w:cs="Times New Roman"/>
          <w:noProof/>
          <w:szCs w:val="24"/>
        </w:rPr>
        <w:tab/>
        <w:t>J.R. Pels, F. Kapteijn, J.A. Moulijn, Q. Zhu, K.M. Thomas, Evolution of nitrogen functionalities in carbonaceous materials during pyrolysis, Carbon N. Y. 33 (1995) 1641–1653. https://doi.org/10.1016/0008-6223(95)00154-6.</w:t>
      </w:r>
    </w:p>
    <w:p w14:paraId="7549681C" w14:textId="77777777" w:rsidR="002D5C5F" w:rsidRPr="002D5C5F" w:rsidRDefault="002D5C5F" w:rsidP="002D5C5F">
      <w:pPr>
        <w:widowControl w:val="0"/>
        <w:autoSpaceDE w:val="0"/>
        <w:autoSpaceDN w:val="0"/>
        <w:adjustRightInd w:val="0"/>
        <w:spacing w:after="0" w:line="480" w:lineRule="auto"/>
        <w:ind w:left="640" w:hanging="640"/>
        <w:rPr>
          <w:rFonts w:cs="Times New Roman"/>
          <w:noProof/>
          <w:szCs w:val="24"/>
        </w:rPr>
      </w:pPr>
      <w:r w:rsidRPr="002D5C5F">
        <w:rPr>
          <w:rFonts w:cs="Times New Roman"/>
          <w:noProof/>
          <w:szCs w:val="24"/>
        </w:rPr>
        <w:t>[4]</w:t>
      </w:r>
      <w:r w:rsidRPr="002D5C5F">
        <w:rPr>
          <w:rFonts w:cs="Times New Roman"/>
          <w:noProof/>
          <w:szCs w:val="24"/>
        </w:rPr>
        <w:tab/>
        <w:t>H. Liu, Y. Zhang, R. Li, X. Sun, S. Désilets, H. Abou-Rachid, M. Jaidann, L.-S. Lussier, Structural and morphological control of aligned nitrogen-doped carbon nanotubes, Carbon N. Y. 48 (2010) 1498–1507. https://doi.org/10.1016/j.carbon.2009.12.045.</w:t>
      </w:r>
    </w:p>
    <w:p w14:paraId="1C2BFC2D" w14:textId="77777777" w:rsidR="002D5C5F" w:rsidRPr="002D5C5F" w:rsidRDefault="002D5C5F" w:rsidP="002D5C5F">
      <w:pPr>
        <w:widowControl w:val="0"/>
        <w:autoSpaceDE w:val="0"/>
        <w:autoSpaceDN w:val="0"/>
        <w:adjustRightInd w:val="0"/>
        <w:spacing w:after="0" w:line="480" w:lineRule="auto"/>
        <w:ind w:left="640" w:hanging="640"/>
        <w:rPr>
          <w:rFonts w:cs="Times New Roman"/>
          <w:noProof/>
          <w:szCs w:val="24"/>
        </w:rPr>
      </w:pPr>
      <w:r w:rsidRPr="002D5C5F">
        <w:rPr>
          <w:rFonts w:cs="Times New Roman"/>
          <w:noProof/>
          <w:szCs w:val="24"/>
        </w:rPr>
        <w:t>[5]</w:t>
      </w:r>
      <w:r w:rsidRPr="002D5C5F">
        <w:rPr>
          <w:rFonts w:cs="Times New Roman"/>
          <w:noProof/>
          <w:szCs w:val="24"/>
        </w:rPr>
        <w:tab/>
        <w:t>Z.-Q. Liu, H. Cheng, N. Li, T.Y. Ma, Y.-Z. Su, ZnCo 2 O 4 Quantum Dots Anchored on Nitrogen-Doped Carbon Nanotubes as Reversible Oxygen Reduction/Evolution Electrocatalysts, Adv. Mater. 28 (2016) 3777–3784. https://doi.org/10.1002/adma.201506197.</w:t>
      </w:r>
    </w:p>
    <w:p w14:paraId="5E760384" w14:textId="77777777" w:rsidR="002D5C5F" w:rsidRPr="002D5C5F" w:rsidRDefault="002D5C5F" w:rsidP="002D5C5F">
      <w:pPr>
        <w:widowControl w:val="0"/>
        <w:autoSpaceDE w:val="0"/>
        <w:autoSpaceDN w:val="0"/>
        <w:adjustRightInd w:val="0"/>
        <w:spacing w:after="0" w:line="480" w:lineRule="auto"/>
        <w:ind w:left="640" w:hanging="640"/>
        <w:rPr>
          <w:rFonts w:cs="Times New Roman"/>
          <w:noProof/>
          <w:szCs w:val="24"/>
        </w:rPr>
      </w:pPr>
      <w:r w:rsidRPr="002D5C5F">
        <w:rPr>
          <w:rFonts w:cs="Times New Roman"/>
          <w:noProof/>
          <w:szCs w:val="24"/>
        </w:rPr>
        <w:t>[6]</w:t>
      </w:r>
      <w:r w:rsidRPr="002D5C5F">
        <w:rPr>
          <w:rFonts w:cs="Times New Roman"/>
          <w:noProof/>
          <w:szCs w:val="24"/>
        </w:rPr>
        <w:tab/>
        <w:t xml:space="preserve">Y. Ito, W. Cong, T. Fujita, Z. Tang, M. Chen, High Catalytic Activity of </w:t>
      </w:r>
      <w:r w:rsidRPr="002D5C5F">
        <w:rPr>
          <w:rFonts w:cs="Times New Roman"/>
          <w:noProof/>
          <w:szCs w:val="24"/>
        </w:rPr>
        <w:lastRenderedPageBreak/>
        <w:t>Nitrogen and Sulfur Co-Doped Nanoporous Graphene in the Hydrogen Evolution Reaction, Angew. Chemie Int. Ed. 54 (2015) 2131–2136. https://doi.org/10.1002/anie.201410050.</w:t>
      </w:r>
    </w:p>
    <w:p w14:paraId="7071CF7E" w14:textId="77777777" w:rsidR="002D5C5F" w:rsidRPr="002D5C5F" w:rsidRDefault="002D5C5F" w:rsidP="002D5C5F">
      <w:pPr>
        <w:widowControl w:val="0"/>
        <w:autoSpaceDE w:val="0"/>
        <w:autoSpaceDN w:val="0"/>
        <w:adjustRightInd w:val="0"/>
        <w:spacing w:after="0" w:line="480" w:lineRule="auto"/>
        <w:ind w:left="640" w:hanging="640"/>
        <w:rPr>
          <w:rFonts w:cs="Times New Roman"/>
          <w:noProof/>
          <w:szCs w:val="24"/>
        </w:rPr>
      </w:pPr>
      <w:r w:rsidRPr="002D5C5F">
        <w:rPr>
          <w:rFonts w:cs="Times New Roman"/>
          <w:noProof/>
          <w:szCs w:val="24"/>
        </w:rPr>
        <w:t>[7]</w:t>
      </w:r>
      <w:r w:rsidRPr="002D5C5F">
        <w:rPr>
          <w:rFonts w:cs="Times New Roman"/>
          <w:noProof/>
          <w:szCs w:val="24"/>
        </w:rPr>
        <w:tab/>
        <w:t>D. Carolan, C. Rocks, D.B. Padmanaban, P. Maguire, V. Svrcek, D. Mariotti, Environmentally friendly nitrogen-doped carbon quantum dots for next generation solar cells, Sustain. Energy Fuels. 1 (2017) 1611–1619. https://doi.org/10.1039/C7SE00158D.</w:t>
      </w:r>
    </w:p>
    <w:p w14:paraId="59320E3B" w14:textId="77777777" w:rsidR="002D5C5F" w:rsidRPr="002D5C5F" w:rsidRDefault="002D5C5F" w:rsidP="002D5C5F">
      <w:pPr>
        <w:widowControl w:val="0"/>
        <w:autoSpaceDE w:val="0"/>
        <w:autoSpaceDN w:val="0"/>
        <w:adjustRightInd w:val="0"/>
        <w:spacing w:after="0" w:line="480" w:lineRule="auto"/>
        <w:ind w:left="640" w:hanging="640"/>
        <w:rPr>
          <w:rFonts w:cs="Times New Roman"/>
          <w:noProof/>
          <w:szCs w:val="24"/>
        </w:rPr>
      </w:pPr>
      <w:r w:rsidRPr="002D5C5F">
        <w:rPr>
          <w:rFonts w:cs="Times New Roman"/>
          <w:noProof/>
          <w:szCs w:val="24"/>
        </w:rPr>
        <w:t>[8]</w:t>
      </w:r>
      <w:r w:rsidRPr="002D5C5F">
        <w:rPr>
          <w:rFonts w:cs="Times New Roman"/>
          <w:noProof/>
          <w:szCs w:val="24"/>
        </w:rPr>
        <w:tab/>
        <w:t>G.R.S. Iyer, P.D. Maguire, Metal free, end-opened, selective nitrogen-doped vertically aligned carbon nanotubes by a single step in situ low energy plasma process, J. Mater. Chem. 21 (2011) 16162. https://doi.org/10.1039/c1jm12829a.</w:t>
      </w:r>
    </w:p>
    <w:p w14:paraId="7058D834" w14:textId="77777777" w:rsidR="002D5C5F" w:rsidRPr="002D5C5F" w:rsidRDefault="002D5C5F" w:rsidP="002D5C5F">
      <w:pPr>
        <w:widowControl w:val="0"/>
        <w:autoSpaceDE w:val="0"/>
        <w:autoSpaceDN w:val="0"/>
        <w:adjustRightInd w:val="0"/>
        <w:spacing w:after="0" w:line="480" w:lineRule="auto"/>
        <w:ind w:left="640" w:hanging="640"/>
        <w:rPr>
          <w:rFonts w:cs="Times New Roman"/>
          <w:noProof/>
        </w:rPr>
      </w:pPr>
      <w:r w:rsidRPr="002D5C5F">
        <w:rPr>
          <w:rFonts w:cs="Times New Roman"/>
          <w:noProof/>
          <w:szCs w:val="24"/>
        </w:rPr>
        <w:t>[9]</w:t>
      </w:r>
      <w:r w:rsidRPr="002D5C5F">
        <w:rPr>
          <w:rFonts w:cs="Times New Roman"/>
          <w:noProof/>
          <w:szCs w:val="24"/>
        </w:rPr>
        <w:tab/>
        <w:t>J. Casanovas, J.M. Ricart, J. Rubio, F. Illas, J.M. Jiménez-Mateos, Origin of the Large N 1s Binding Energy in X-ray Photoelectron Spectra of Calcined Carbonaceous Materials, J. Am. Chem. Soc. 118 (1996) 8071–8076. https://doi.org/10.1021/ja960338m.</w:t>
      </w:r>
    </w:p>
    <w:p w14:paraId="7C56D053" w14:textId="485A2A01" w:rsidR="00954BD1" w:rsidRPr="009C6B12" w:rsidRDefault="0086717C" w:rsidP="00010A25">
      <w:pPr>
        <w:widowControl w:val="0"/>
        <w:autoSpaceDE w:val="0"/>
        <w:autoSpaceDN w:val="0"/>
        <w:adjustRightInd w:val="0"/>
        <w:spacing w:after="0" w:line="480" w:lineRule="auto"/>
        <w:ind w:left="640" w:hanging="640"/>
        <w:rPr>
          <w:szCs w:val="24"/>
        </w:rPr>
      </w:pPr>
      <w:r w:rsidRPr="009C6B12">
        <w:rPr>
          <w:szCs w:val="24"/>
        </w:rPr>
        <w:fldChar w:fldCharType="end"/>
      </w:r>
    </w:p>
    <w:sectPr w:rsidR="00954BD1" w:rsidRPr="009C6B12" w:rsidSect="00E4422B">
      <w:footerReference w:type="default" r:id="rId29"/>
      <w:pgSz w:w="11906" w:h="16838"/>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2E0B8" w14:textId="77777777" w:rsidR="00B1188E" w:rsidRDefault="00B1188E" w:rsidP="00D73612">
      <w:pPr>
        <w:spacing w:after="0" w:line="240" w:lineRule="auto"/>
      </w:pPr>
      <w:r>
        <w:separator/>
      </w:r>
    </w:p>
  </w:endnote>
  <w:endnote w:type="continuationSeparator" w:id="0">
    <w:p w14:paraId="6EBDDA75" w14:textId="77777777" w:rsidR="00B1188E" w:rsidRDefault="00B1188E" w:rsidP="00D73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Arno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704159"/>
      <w:docPartObj>
        <w:docPartGallery w:val="Page Numbers (Bottom of Page)"/>
        <w:docPartUnique/>
      </w:docPartObj>
    </w:sdtPr>
    <w:sdtEndPr>
      <w:rPr>
        <w:noProof/>
      </w:rPr>
    </w:sdtEndPr>
    <w:sdtContent>
      <w:p w14:paraId="643883BF" w14:textId="475D70CD" w:rsidR="00E4422B" w:rsidRDefault="00E442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B05E72" w14:textId="4DAF96C9" w:rsidR="00593B10" w:rsidRDefault="00593B10" w:rsidP="00E612CD">
    <w:pPr>
      <w:pStyle w:val="Footer"/>
      <w:tabs>
        <w:tab w:val="clear" w:pos="4513"/>
        <w:tab w:val="clear" w:pos="9026"/>
        <w:tab w:val="left" w:pos="212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1A9FF" w14:textId="77777777" w:rsidR="00B1188E" w:rsidRDefault="00B1188E" w:rsidP="00D73612">
      <w:pPr>
        <w:spacing w:after="0" w:line="240" w:lineRule="auto"/>
      </w:pPr>
      <w:r>
        <w:separator/>
      </w:r>
    </w:p>
  </w:footnote>
  <w:footnote w:type="continuationSeparator" w:id="0">
    <w:p w14:paraId="251894C9" w14:textId="77777777" w:rsidR="00B1188E" w:rsidRDefault="00B1188E" w:rsidP="00D736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796D"/>
    <w:multiLevelType w:val="hybridMultilevel"/>
    <w:tmpl w:val="738C5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1D2993"/>
    <w:multiLevelType w:val="hybridMultilevel"/>
    <w:tmpl w:val="40C88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03765"/>
    <w:multiLevelType w:val="hybridMultilevel"/>
    <w:tmpl w:val="4204F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7369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956DA7"/>
    <w:multiLevelType w:val="multilevel"/>
    <w:tmpl w:val="F120F19E"/>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D3A0943"/>
    <w:multiLevelType w:val="multilevel"/>
    <w:tmpl w:val="F48E8494"/>
    <w:lvl w:ilvl="0">
      <w:start w:val="1"/>
      <w:numFmt w:val="decimal"/>
      <w:pStyle w:val="Heading1"/>
      <w:lvlText w:val="S%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FEC791B"/>
    <w:multiLevelType w:val="multilevel"/>
    <w:tmpl w:val="5330BD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745412"/>
    <w:multiLevelType w:val="hybridMultilevel"/>
    <w:tmpl w:val="144C2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579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81639B"/>
    <w:multiLevelType w:val="hybridMultilevel"/>
    <w:tmpl w:val="F73C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62592"/>
    <w:multiLevelType w:val="hybridMultilevel"/>
    <w:tmpl w:val="69EAB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5425A0"/>
    <w:multiLevelType w:val="hybridMultilevel"/>
    <w:tmpl w:val="6D3C0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93F42"/>
    <w:multiLevelType w:val="hybridMultilevel"/>
    <w:tmpl w:val="EC7E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A02729"/>
    <w:multiLevelType w:val="hybridMultilevel"/>
    <w:tmpl w:val="06740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961EBA"/>
    <w:multiLevelType w:val="hybridMultilevel"/>
    <w:tmpl w:val="13EE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0A1695"/>
    <w:multiLevelType w:val="multilevel"/>
    <w:tmpl w:val="20363720"/>
    <w:lvl w:ilvl="0">
      <w:start w:val="3"/>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53F643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9672C"/>
    <w:multiLevelType w:val="multilevel"/>
    <w:tmpl w:val="E3AAADEC"/>
    <w:styleLink w:val="Style1"/>
    <w:lvl w:ilvl="0">
      <w:start w:val="1"/>
      <w:numFmt w:val="decimal"/>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47E0B26"/>
    <w:multiLevelType w:val="hybridMultilevel"/>
    <w:tmpl w:val="BAEA1B12"/>
    <w:lvl w:ilvl="0" w:tplc="87286F36">
      <w:start w:val="1"/>
      <w:numFmt w:val="decimal"/>
      <w:pStyle w:val="Heading2"/>
      <w:lvlText w:val="S3.%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B421D6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9F6FCE"/>
    <w:multiLevelType w:val="hybridMultilevel"/>
    <w:tmpl w:val="2F064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3"/>
  </w:num>
  <w:num w:numId="4">
    <w:abstractNumId w:val="15"/>
  </w:num>
  <w:num w:numId="5">
    <w:abstractNumId w:val="17"/>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0"/>
  </w:num>
  <w:num w:numId="9">
    <w:abstractNumId w:val="7"/>
  </w:num>
  <w:num w:numId="10">
    <w:abstractNumId w:val="2"/>
  </w:num>
  <w:num w:numId="11">
    <w:abstractNumId w:val="12"/>
  </w:num>
  <w:num w:numId="12">
    <w:abstractNumId w:val="10"/>
  </w:num>
  <w:num w:numId="13">
    <w:abstractNumId w:val="11"/>
  </w:num>
  <w:num w:numId="14">
    <w:abstractNumId w:val="1"/>
  </w:num>
  <w:num w:numId="15">
    <w:abstractNumId w:val="0"/>
  </w:num>
  <w:num w:numId="16">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8"/>
  </w:num>
  <w:num w:numId="20">
    <w:abstractNumId w:val="3"/>
  </w:num>
  <w:num w:numId="21">
    <w:abstractNumId w:val="5"/>
  </w:num>
  <w:num w:numId="22">
    <w:abstractNumId w:val="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sjQzNTGxtLCwMDc0tTBV0lEKTi0uzszPAykwNDeoBQC8MfrDLgAAAA=="/>
  </w:docVars>
  <w:rsids>
    <w:rsidRoot w:val="000E01E1"/>
    <w:rsid w:val="00000B7E"/>
    <w:rsid w:val="0000187B"/>
    <w:rsid w:val="000018B5"/>
    <w:rsid w:val="00002987"/>
    <w:rsid w:val="00006E87"/>
    <w:rsid w:val="00007BC0"/>
    <w:rsid w:val="00010A25"/>
    <w:rsid w:val="00010CF6"/>
    <w:rsid w:val="000119AB"/>
    <w:rsid w:val="00013011"/>
    <w:rsid w:val="00013381"/>
    <w:rsid w:val="00013C34"/>
    <w:rsid w:val="0001568B"/>
    <w:rsid w:val="000156C9"/>
    <w:rsid w:val="0002132A"/>
    <w:rsid w:val="000216FE"/>
    <w:rsid w:val="00022C26"/>
    <w:rsid w:val="000253DE"/>
    <w:rsid w:val="000261A7"/>
    <w:rsid w:val="00026746"/>
    <w:rsid w:val="00026759"/>
    <w:rsid w:val="00026C7E"/>
    <w:rsid w:val="00027FD8"/>
    <w:rsid w:val="000307A1"/>
    <w:rsid w:val="00034F66"/>
    <w:rsid w:val="00043E45"/>
    <w:rsid w:val="00044AC6"/>
    <w:rsid w:val="00046610"/>
    <w:rsid w:val="0005095E"/>
    <w:rsid w:val="00050E91"/>
    <w:rsid w:val="000523A0"/>
    <w:rsid w:val="000541C3"/>
    <w:rsid w:val="00054807"/>
    <w:rsid w:val="000557C4"/>
    <w:rsid w:val="0005702C"/>
    <w:rsid w:val="00057E96"/>
    <w:rsid w:val="00067A2B"/>
    <w:rsid w:val="000708E8"/>
    <w:rsid w:val="000726DB"/>
    <w:rsid w:val="00073A03"/>
    <w:rsid w:val="00074E74"/>
    <w:rsid w:val="000751A4"/>
    <w:rsid w:val="0007735B"/>
    <w:rsid w:val="00083179"/>
    <w:rsid w:val="0008358A"/>
    <w:rsid w:val="00083C17"/>
    <w:rsid w:val="0008405F"/>
    <w:rsid w:val="00087816"/>
    <w:rsid w:val="00087BC4"/>
    <w:rsid w:val="00091693"/>
    <w:rsid w:val="00094A0F"/>
    <w:rsid w:val="000979A3"/>
    <w:rsid w:val="00097F1F"/>
    <w:rsid w:val="000A081B"/>
    <w:rsid w:val="000A0F9A"/>
    <w:rsid w:val="000A5C3D"/>
    <w:rsid w:val="000A6144"/>
    <w:rsid w:val="000A63F0"/>
    <w:rsid w:val="000A7DB5"/>
    <w:rsid w:val="000B1365"/>
    <w:rsid w:val="000B248F"/>
    <w:rsid w:val="000B3495"/>
    <w:rsid w:val="000B3BE9"/>
    <w:rsid w:val="000B4D13"/>
    <w:rsid w:val="000B5261"/>
    <w:rsid w:val="000C0177"/>
    <w:rsid w:val="000C2767"/>
    <w:rsid w:val="000C4834"/>
    <w:rsid w:val="000C6497"/>
    <w:rsid w:val="000C6D87"/>
    <w:rsid w:val="000C785A"/>
    <w:rsid w:val="000E01E1"/>
    <w:rsid w:val="000E3868"/>
    <w:rsid w:val="000E38A1"/>
    <w:rsid w:val="000E61C9"/>
    <w:rsid w:val="000F2219"/>
    <w:rsid w:val="000F3B34"/>
    <w:rsid w:val="000F41EF"/>
    <w:rsid w:val="000F4B90"/>
    <w:rsid w:val="000F66D4"/>
    <w:rsid w:val="000F7BCD"/>
    <w:rsid w:val="00100694"/>
    <w:rsid w:val="001011B8"/>
    <w:rsid w:val="00102E4A"/>
    <w:rsid w:val="00103437"/>
    <w:rsid w:val="00104706"/>
    <w:rsid w:val="00106027"/>
    <w:rsid w:val="00106502"/>
    <w:rsid w:val="0011380A"/>
    <w:rsid w:val="0011638E"/>
    <w:rsid w:val="00122BEB"/>
    <w:rsid w:val="00127FD3"/>
    <w:rsid w:val="00131650"/>
    <w:rsid w:val="00133BBA"/>
    <w:rsid w:val="001348DA"/>
    <w:rsid w:val="001361FE"/>
    <w:rsid w:val="00141043"/>
    <w:rsid w:val="001423A0"/>
    <w:rsid w:val="00142791"/>
    <w:rsid w:val="001435A3"/>
    <w:rsid w:val="0014658B"/>
    <w:rsid w:val="00147963"/>
    <w:rsid w:val="00150C02"/>
    <w:rsid w:val="00151EB9"/>
    <w:rsid w:val="00155C79"/>
    <w:rsid w:val="0015705C"/>
    <w:rsid w:val="001617B9"/>
    <w:rsid w:val="00165F90"/>
    <w:rsid w:val="00167193"/>
    <w:rsid w:val="00167C89"/>
    <w:rsid w:val="00170756"/>
    <w:rsid w:val="00172614"/>
    <w:rsid w:val="00172F02"/>
    <w:rsid w:val="00173021"/>
    <w:rsid w:val="00174F38"/>
    <w:rsid w:val="00175ECE"/>
    <w:rsid w:val="00182677"/>
    <w:rsid w:val="001826EA"/>
    <w:rsid w:val="00184DFA"/>
    <w:rsid w:val="001930D0"/>
    <w:rsid w:val="0019336C"/>
    <w:rsid w:val="0019502F"/>
    <w:rsid w:val="001A45FD"/>
    <w:rsid w:val="001A64E9"/>
    <w:rsid w:val="001A68A8"/>
    <w:rsid w:val="001B01B5"/>
    <w:rsid w:val="001B0ED2"/>
    <w:rsid w:val="001B61AD"/>
    <w:rsid w:val="001B780C"/>
    <w:rsid w:val="001C14D6"/>
    <w:rsid w:val="001C1CDF"/>
    <w:rsid w:val="001C248D"/>
    <w:rsid w:val="001C5621"/>
    <w:rsid w:val="001C5EA0"/>
    <w:rsid w:val="001C792F"/>
    <w:rsid w:val="001D0FC9"/>
    <w:rsid w:val="001D1495"/>
    <w:rsid w:val="001D34D6"/>
    <w:rsid w:val="001D47E7"/>
    <w:rsid w:val="001D4851"/>
    <w:rsid w:val="001D686F"/>
    <w:rsid w:val="001D6904"/>
    <w:rsid w:val="001E2C5C"/>
    <w:rsid w:val="001E7470"/>
    <w:rsid w:val="001E7A6C"/>
    <w:rsid w:val="001F0762"/>
    <w:rsid w:val="001F1AFF"/>
    <w:rsid w:val="001F296D"/>
    <w:rsid w:val="001F4DE8"/>
    <w:rsid w:val="00204BDD"/>
    <w:rsid w:val="00217F40"/>
    <w:rsid w:val="002207F0"/>
    <w:rsid w:val="00222920"/>
    <w:rsid w:val="00225997"/>
    <w:rsid w:val="00230F7E"/>
    <w:rsid w:val="00234417"/>
    <w:rsid w:val="00234905"/>
    <w:rsid w:val="00234909"/>
    <w:rsid w:val="002354FB"/>
    <w:rsid w:val="00236143"/>
    <w:rsid w:val="00236B6C"/>
    <w:rsid w:val="002376FF"/>
    <w:rsid w:val="00240A26"/>
    <w:rsid w:val="00243995"/>
    <w:rsid w:val="00245747"/>
    <w:rsid w:val="00246EAA"/>
    <w:rsid w:val="0025198C"/>
    <w:rsid w:val="0025219A"/>
    <w:rsid w:val="0025345B"/>
    <w:rsid w:val="00253C69"/>
    <w:rsid w:val="00254EDB"/>
    <w:rsid w:val="002550C1"/>
    <w:rsid w:val="0025605B"/>
    <w:rsid w:val="00257E9F"/>
    <w:rsid w:val="00260BFB"/>
    <w:rsid w:val="00261A3E"/>
    <w:rsid w:val="00261EDD"/>
    <w:rsid w:val="002629A4"/>
    <w:rsid w:val="00264E61"/>
    <w:rsid w:val="0026678A"/>
    <w:rsid w:val="0026709F"/>
    <w:rsid w:val="00267F55"/>
    <w:rsid w:val="00270A35"/>
    <w:rsid w:val="00271FC3"/>
    <w:rsid w:val="00272460"/>
    <w:rsid w:val="00273C2B"/>
    <w:rsid w:val="00276B2E"/>
    <w:rsid w:val="00277E0F"/>
    <w:rsid w:val="0028233D"/>
    <w:rsid w:val="002829A9"/>
    <w:rsid w:val="00283E08"/>
    <w:rsid w:val="00284456"/>
    <w:rsid w:val="00286341"/>
    <w:rsid w:val="0029003D"/>
    <w:rsid w:val="002922C1"/>
    <w:rsid w:val="002951A7"/>
    <w:rsid w:val="00295339"/>
    <w:rsid w:val="002A0FFA"/>
    <w:rsid w:val="002A29EC"/>
    <w:rsid w:val="002A2DA9"/>
    <w:rsid w:val="002A3C01"/>
    <w:rsid w:val="002A4B93"/>
    <w:rsid w:val="002A6A15"/>
    <w:rsid w:val="002B6637"/>
    <w:rsid w:val="002C14F1"/>
    <w:rsid w:val="002C4404"/>
    <w:rsid w:val="002D01E5"/>
    <w:rsid w:val="002D25F9"/>
    <w:rsid w:val="002D37B7"/>
    <w:rsid w:val="002D4AA5"/>
    <w:rsid w:val="002D4BF6"/>
    <w:rsid w:val="002D5C5F"/>
    <w:rsid w:val="002D74C7"/>
    <w:rsid w:val="002E03DA"/>
    <w:rsid w:val="002E163A"/>
    <w:rsid w:val="002E2C86"/>
    <w:rsid w:val="002E3EA7"/>
    <w:rsid w:val="002E57AE"/>
    <w:rsid w:val="002E58CB"/>
    <w:rsid w:val="002E687B"/>
    <w:rsid w:val="002F223F"/>
    <w:rsid w:val="002F327B"/>
    <w:rsid w:val="002F39C5"/>
    <w:rsid w:val="002F4295"/>
    <w:rsid w:val="002F4917"/>
    <w:rsid w:val="002F6CDA"/>
    <w:rsid w:val="002F6CEC"/>
    <w:rsid w:val="00300E16"/>
    <w:rsid w:val="00302F89"/>
    <w:rsid w:val="00304285"/>
    <w:rsid w:val="00304586"/>
    <w:rsid w:val="00304917"/>
    <w:rsid w:val="00305950"/>
    <w:rsid w:val="00306065"/>
    <w:rsid w:val="00306334"/>
    <w:rsid w:val="00307819"/>
    <w:rsid w:val="003100CF"/>
    <w:rsid w:val="00310996"/>
    <w:rsid w:val="00311B74"/>
    <w:rsid w:val="0031367A"/>
    <w:rsid w:val="00313A67"/>
    <w:rsid w:val="00315418"/>
    <w:rsid w:val="00324124"/>
    <w:rsid w:val="00324BD3"/>
    <w:rsid w:val="00325A2E"/>
    <w:rsid w:val="00326BF9"/>
    <w:rsid w:val="003273AF"/>
    <w:rsid w:val="00330ADA"/>
    <w:rsid w:val="003336FD"/>
    <w:rsid w:val="003361EB"/>
    <w:rsid w:val="00337F6D"/>
    <w:rsid w:val="00342081"/>
    <w:rsid w:val="00345048"/>
    <w:rsid w:val="003453A4"/>
    <w:rsid w:val="00346174"/>
    <w:rsid w:val="00347986"/>
    <w:rsid w:val="00350451"/>
    <w:rsid w:val="00351A6B"/>
    <w:rsid w:val="00355C13"/>
    <w:rsid w:val="0035688D"/>
    <w:rsid w:val="00357DE5"/>
    <w:rsid w:val="00360AE3"/>
    <w:rsid w:val="003612BE"/>
    <w:rsid w:val="00362192"/>
    <w:rsid w:val="0036558B"/>
    <w:rsid w:val="00365873"/>
    <w:rsid w:val="003670F3"/>
    <w:rsid w:val="00370074"/>
    <w:rsid w:val="00372275"/>
    <w:rsid w:val="003755EA"/>
    <w:rsid w:val="003767A4"/>
    <w:rsid w:val="00377E31"/>
    <w:rsid w:val="003848E2"/>
    <w:rsid w:val="00386A3D"/>
    <w:rsid w:val="003902CC"/>
    <w:rsid w:val="00392D00"/>
    <w:rsid w:val="00395E6F"/>
    <w:rsid w:val="003A0E95"/>
    <w:rsid w:val="003A4462"/>
    <w:rsid w:val="003A4DDB"/>
    <w:rsid w:val="003A6928"/>
    <w:rsid w:val="003B0C8D"/>
    <w:rsid w:val="003B19A8"/>
    <w:rsid w:val="003B2961"/>
    <w:rsid w:val="003B5CC6"/>
    <w:rsid w:val="003B5FA7"/>
    <w:rsid w:val="003B5FD2"/>
    <w:rsid w:val="003B6AEB"/>
    <w:rsid w:val="003C180F"/>
    <w:rsid w:val="003C19E6"/>
    <w:rsid w:val="003C3138"/>
    <w:rsid w:val="003C5358"/>
    <w:rsid w:val="003C637F"/>
    <w:rsid w:val="003C7A46"/>
    <w:rsid w:val="003D0EA5"/>
    <w:rsid w:val="003D4896"/>
    <w:rsid w:val="003D5013"/>
    <w:rsid w:val="003D5137"/>
    <w:rsid w:val="003D52DB"/>
    <w:rsid w:val="003D62AD"/>
    <w:rsid w:val="003E0107"/>
    <w:rsid w:val="003E0949"/>
    <w:rsid w:val="003E15FC"/>
    <w:rsid w:val="003E25A0"/>
    <w:rsid w:val="003E7095"/>
    <w:rsid w:val="003E74DC"/>
    <w:rsid w:val="003F0BEA"/>
    <w:rsid w:val="003F19A1"/>
    <w:rsid w:val="003F7D36"/>
    <w:rsid w:val="00404168"/>
    <w:rsid w:val="0040468E"/>
    <w:rsid w:val="004075B0"/>
    <w:rsid w:val="00414BBF"/>
    <w:rsid w:val="004168C0"/>
    <w:rsid w:val="00416EF4"/>
    <w:rsid w:val="004177A3"/>
    <w:rsid w:val="004244A9"/>
    <w:rsid w:val="00424D50"/>
    <w:rsid w:val="00425341"/>
    <w:rsid w:val="004259BD"/>
    <w:rsid w:val="00426635"/>
    <w:rsid w:val="0042688F"/>
    <w:rsid w:val="004278A6"/>
    <w:rsid w:val="00430602"/>
    <w:rsid w:val="00431735"/>
    <w:rsid w:val="004317E0"/>
    <w:rsid w:val="004330E8"/>
    <w:rsid w:val="00435EB7"/>
    <w:rsid w:val="0043739A"/>
    <w:rsid w:val="00437B56"/>
    <w:rsid w:val="00441927"/>
    <w:rsid w:val="004420D8"/>
    <w:rsid w:val="00442166"/>
    <w:rsid w:val="00442D9F"/>
    <w:rsid w:val="00443A94"/>
    <w:rsid w:val="00451AB0"/>
    <w:rsid w:val="004550E3"/>
    <w:rsid w:val="00455E60"/>
    <w:rsid w:val="004573B0"/>
    <w:rsid w:val="00460342"/>
    <w:rsid w:val="0046108B"/>
    <w:rsid w:val="004616A9"/>
    <w:rsid w:val="0046231A"/>
    <w:rsid w:val="00462415"/>
    <w:rsid w:val="00465C1B"/>
    <w:rsid w:val="00465E77"/>
    <w:rsid w:val="004663AB"/>
    <w:rsid w:val="00467582"/>
    <w:rsid w:val="00467E61"/>
    <w:rsid w:val="0047201E"/>
    <w:rsid w:val="00476C17"/>
    <w:rsid w:val="00480E3B"/>
    <w:rsid w:val="004817F9"/>
    <w:rsid w:val="0048439E"/>
    <w:rsid w:val="004849BD"/>
    <w:rsid w:val="00491384"/>
    <w:rsid w:val="004914EA"/>
    <w:rsid w:val="00492DD5"/>
    <w:rsid w:val="00497378"/>
    <w:rsid w:val="004A3BB4"/>
    <w:rsid w:val="004A54FF"/>
    <w:rsid w:val="004A5FA1"/>
    <w:rsid w:val="004A7743"/>
    <w:rsid w:val="004B0054"/>
    <w:rsid w:val="004B0863"/>
    <w:rsid w:val="004B095B"/>
    <w:rsid w:val="004B2213"/>
    <w:rsid w:val="004B37FB"/>
    <w:rsid w:val="004B4273"/>
    <w:rsid w:val="004B6356"/>
    <w:rsid w:val="004C59E5"/>
    <w:rsid w:val="004C77C7"/>
    <w:rsid w:val="004D471D"/>
    <w:rsid w:val="004D47EE"/>
    <w:rsid w:val="004E05B8"/>
    <w:rsid w:val="004E1048"/>
    <w:rsid w:val="004E1664"/>
    <w:rsid w:val="004E1DD8"/>
    <w:rsid w:val="004E2BCF"/>
    <w:rsid w:val="004E3E27"/>
    <w:rsid w:val="004E6598"/>
    <w:rsid w:val="004E6AEC"/>
    <w:rsid w:val="004F1E72"/>
    <w:rsid w:val="004F22AB"/>
    <w:rsid w:val="004F2E3B"/>
    <w:rsid w:val="00500188"/>
    <w:rsid w:val="005001F8"/>
    <w:rsid w:val="00503CAA"/>
    <w:rsid w:val="00504060"/>
    <w:rsid w:val="00505682"/>
    <w:rsid w:val="00505E0C"/>
    <w:rsid w:val="0050626B"/>
    <w:rsid w:val="00506F94"/>
    <w:rsid w:val="0050794C"/>
    <w:rsid w:val="00510259"/>
    <w:rsid w:val="00511D92"/>
    <w:rsid w:val="005167B7"/>
    <w:rsid w:val="00520787"/>
    <w:rsid w:val="005213E1"/>
    <w:rsid w:val="00526D89"/>
    <w:rsid w:val="00530658"/>
    <w:rsid w:val="00531A51"/>
    <w:rsid w:val="00532FAA"/>
    <w:rsid w:val="0053349A"/>
    <w:rsid w:val="00534909"/>
    <w:rsid w:val="00537601"/>
    <w:rsid w:val="00537CB0"/>
    <w:rsid w:val="005437B5"/>
    <w:rsid w:val="00544B9D"/>
    <w:rsid w:val="00545180"/>
    <w:rsid w:val="0054619F"/>
    <w:rsid w:val="00546B5A"/>
    <w:rsid w:val="00550784"/>
    <w:rsid w:val="00556757"/>
    <w:rsid w:val="00557CD1"/>
    <w:rsid w:val="0056297D"/>
    <w:rsid w:val="005645DF"/>
    <w:rsid w:val="0056461B"/>
    <w:rsid w:val="005705BC"/>
    <w:rsid w:val="005729F7"/>
    <w:rsid w:val="005744B8"/>
    <w:rsid w:val="0057484C"/>
    <w:rsid w:val="00576752"/>
    <w:rsid w:val="00576F07"/>
    <w:rsid w:val="005776F1"/>
    <w:rsid w:val="005807C3"/>
    <w:rsid w:val="005817AD"/>
    <w:rsid w:val="00584E9C"/>
    <w:rsid w:val="005855E4"/>
    <w:rsid w:val="00587814"/>
    <w:rsid w:val="005914D5"/>
    <w:rsid w:val="005921C8"/>
    <w:rsid w:val="00593B10"/>
    <w:rsid w:val="00594886"/>
    <w:rsid w:val="00595BC6"/>
    <w:rsid w:val="00596500"/>
    <w:rsid w:val="005A0519"/>
    <w:rsid w:val="005A33A2"/>
    <w:rsid w:val="005A3D12"/>
    <w:rsid w:val="005B0B54"/>
    <w:rsid w:val="005B316A"/>
    <w:rsid w:val="005B3302"/>
    <w:rsid w:val="005B44DB"/>
    <w:rsid w:val="005C378B"/>
    <w:rsid w:val="005C4E2E"/>
    <w:rsid w:val="005C5C5D"/>
    <w:rsid w:val="005C62C5"/>
    <w:rsid w:val="005C7364"/>
    <w:rsid w:val="005D49F0"/>
    <w:rsid w:val="005D69CA"/>
    <w:rsid w:val="005D7AA3"/>
    <w:rsid w:val="005E2327"/>
    <w:rsid w:val="005E5080"/>
    <w:rsid w:val="005F1988"/>
    <w:rsid w:val="005F29D9"/>
    <w:rsid w:val="005F36B1"/>
    <w:rsid w:val="005F41DF"/>
    <w:rsid w:val="005F536E"/>
    <w:rsid w:val="005F57E9"/>
    <w:rsid w:val="005F65A7"/>
    <w:rsid w:val="00600F32"/>
    <w:rsid w:val="0060297A"/>
    <w:rsid w:val="00603332"/>
    <w:rsid w:val="00604641"/>
    <w:rsid w:val="00606913"/>
    <w:rsid w:val="00607845"/>
    <w:rsid w:val="0061095B"/>
    <w:rsid w:val="006167D8"/>
    <w:rsid w:val="006173F5"/>
    <w:rsid w:val="00622ACC"/>
    <w:rsid w:val="0062668A"/>
    <w:rsid w:val="00626823"/>
    <w:rsid w:val="00630926"/>
    <w:rsid w:val="00632F1B"/>
    <w:rsid w:val="00633299"/>
    <w:rsid w:val="00634BE6"/>
    <w:rsid w:val="00635D29"/>
    <w:rsid w:val="00644D3D"/>
    <w:rsid w:val="00647693"/>
    <w:rsid w:val="00650499"/>
    <w:rsid w:val="00651BB9"/>
    <w:rsid w:val="006551D9"/>
    <w:rsid w:val="00655620"/>
    <w:rsid w:val="00655979"/>
    <w:rsid w:val="00656368"/>
    <w:rsid w:val="006564B9"/>
    <w:rsid w:val="00660C6C"/>
    <w:rsid w:val="00662DFB"/>
    <w:rsid w:val="0066348B"/>
    <w:rsid w:val="006636A5"/>
    <w:rsid w:val="006645B5"/>
    <w:rsid w:val="00664CA7"/>
    <w:rsid w:val="00665521"/>
    <w:rsid w:val="0066754B"/>
    <w:rsid w:val="00667F2B"/>
    <w:rsid w:val="00671841"/>
    <w:rsid w:val="00676816"/>
    <w:rsid w:val="00680516"/>
    <w:rsid w:val="0068127C"/>
    <w:rsid w:val="006827E0"/>
    <w:rsid w:val="00687EA1"/>
    <w:rsid w:val="006907CD"/>
    <w:rsid w:val="0069115B"/>
    <w:rsid w:val="0069154C"/>
    <w:rsid w:val="00694344"/>
    <w:rsid w:val="006944B4"/>
    <w:rsid w:val="00696F2C"/>
    <w:rsid w:val="006A0CCE"/>
    <w:rsid w:val="006A205D"/>
    <w:rsid w:val="006A4326"/>
    <w:rsid w:val="006A47DC"/>
    <w:rsid w:val="006A59FB"/>
    <w:rsid w:val="006A676F"/>
    <w:rsid w:val="006B1007"/>
    <w:rsid w:val="006B121E"/>
    <w:rsid w:val="006B3A18"/>
    <w:rsid w:val="006B5E8D"/>
    <w:rsid w:val="006B6729"/>
    <w:rsid w:val="006C0682"/>
    <w:rsid w:val="006C4824"/>
    <w:rsid w:val="006C6315"/>
    <w:rsid w:val="006C6F77"/>
    <w:rsid w:val="006C767D"/>
    <w:rsid w:val="006D3547"/>
    <w:rsid w:val="006D45DF"/>
    <w:rsid w:val="006D5C8F"/>
    <w:rsid w:val="006D62B2"/>
    <w:rsid w:val="006D64BD"/>
    <w:rsid w:val="006D6D38"/>
    <w:rsid w:val="006D75D3"/>
    <w:rsid w:val="006E0BFA"/>
    <w:rsid w:val="006E0D49"/>
    <w:rsid w:val="006E2889"/>
    <w:rsid w:val="006E31D8"/>
    <w:rsid w:val="006E3459"/>
    <w:rsid w:val="006E4B52"/>
    <w:rsid w:val="006F0E32"/>
    <w:rsid w:val="006F296B"/>
    <w:rsid w:val="006F3DD3"/>
    <w:rsid w:val="006F4A7B"/>
    <w:rsid w:val="006F5047"/>
    <w:rsid w:val="006F75ED"/>
    <w:rsid w:val="007009DB"/>
    <w:rsid w:val="00700B13"/>
    <w:rsid w:val="007046AE"/>
    <w:rsid w:val="00715BB8"/>
    <w:rsid w:val="007170B2"/>
    <w:rsid w:val="007200BA"/>
    <w:rsid w:val="00720852"/>
    <w:rsid w:val="007232D6"/>
    <w:rsid w:val="00725407"/>
    <w:rsid w:val="007269B9"/>
    <w:rsid w:val="00727084"/>
    <w:rsid w:val="00727D05"/>
    <w:rsid w:val="0073169B"/>
    <w:rsid w:val="007323A9"/>
    <w:rsid w:val="0073270B"/>
    <w:rsid w:val="00732C92"/>
    <w:rsid w:val="00734535"/>
    <w:rsid w:val="007359B2"/>
    <w:rsid w:val="00736B38"/>
    <w:rsid w:val="00736C7F"/>
    <w:rsid w:val="00736DE5"/>
    <w:rsid w:val="00743A01"/>
    <w:rsid w:val="00750234"/>
    <w:rsid w:val="007523B8"/>
    <w:rsid w:val="00752BBD"/>
    <w:rsid w:val="00754D1D"/>
    <w:rsid w:val="00754F7C"/>
    <w:rsid w:val="0076387D"/>
    <w:rsid w:val="00773510"/>
    <w:rsid w:val="00775488"/>
    <w:rsid w:val="00775D0E"/>
    <w:rsid w:val="00781C28"/>
    <w:rsid w:val="00783C05"/>
    <w:rsid w:val="0078683F"/>
    <w:rsid w:val="00786D15"/>
    <w:rsid w:val="00787FF6"/>
    <w:rsid w:val="007906E5"/>
    <w:rsid w:val="00792D9A"/>
    <w:rsid w:val="007A3B7D"/>
    <w:rsid w:val="007A4B70"/>
    <w:rsid w:val="007B02A8"/>
    <w:rsid w:val="007B2B02"/>
    <w:rsid w:val="007B4EFA"/>
    <w:rsid w:val="007B61C7"/>
    <w:rsid w:val="007B64C6"/>
    <w:rsid w:val="007B7E92"/>
    <w:rsid w:val="007C0EA6"/>
    <w:rsid w:val="007C1074"/>
    <w:rsid w:val="007C3B17"/>
    <w:rsid w:val="007C7679"/>
    <w:rsid w:val="007D228A"/>
    <w:rsid w:val="007D31AD"/>
    <w:rsid w:val="007E113F"/>
    <w:rsid w:val="007E1642"/>
    <w:rsid w:val="007E1C64"/>
    <w:rsid w:val="007E4416"/>
    <w:rsid w:val="007E69F7"/>
    <w:rsid w:val="007F16CC"/>
    <w:rsid w:val="007F3D8C"/>
    <w:rsid w:val="007F5520"/>
    <w:rsid w:val="007F5F2B"/>
    <w:rsid w:val="007F7301"/>
    <w:rsid w:val="00800F8C"/>
    <w:rsid w:val="00802A24"/>
    <w:rsid w:val="00803512"/>
    <w:rsid w:val="00804334"/>
    <w:rsid w:val="00804F1F"/>
    <w:rsid w:val="00806A49"/>
    <w:rsid w:val="00806F26"/>
    <w:rsid w:val="008125F3"/>
    <w:rsid w:val="00812A2E"/>
    <w:rsid w:val="00814D5F"/>
    <w:rsid w:val="008162BD"/>
    <w:rsid w:val="00816F32"/>
    <w:rsid w:val="00824892"/>
    <w:rsid w:val="008306CD"/>
    <w:rsid w:val="00830BE4"/>
    <w:rsid w:val="00831B0F"/>
    <w:rsid w:val="00833B7C"/>
    <w:rsid w:val="00833E69"/>
    <w:rsid w:val="00834492"/>
    <w:rsid w:val="00834F20"/>
    <w:rsid w:val="00836AAD"/>
    <w:rsid w:val="008407C1"/>
    <w:rsid w:val="00841788"/>
    <w:rsid w:val="008428DD"/>
    <w:rsid w:val="008452FC"/>
    <w:rsid w:val="00845D82"/>
    <w:rsid w:val="00847711"/>
    <w:rsid w:val="00847764"/>
    <w:rsid w:val="00847F76"/>
    <w:rsid w:val="0085135A"/>
    <w:rsid w:val="00853C23"/>
    <w:rsid w:val="00855D40"/>
    <w:rsid w:val="00856308"/>
    <w:rsid w:val="00860F03"/>
    <w:rsid w:val="00861FC2"/>
    <w:rsid w:val="0086206A"/>
    <w:rsid w:val="00863ABB"/>
    <w:rsid w:val="00863B83"/>
    <w:rsid w:val="00865730"/>
    <w:rsid w:val="008658B7"/>
    <w:rsid w:val="0086717C"/>
    <w:rsid w:val="00867889"/>
    <w:rsid w:val="00870315"/>
    <w:rsid w:val="00870425"/>
    <w:rsid w:val="00871A72"/>
    <w:rsid w:val="00873336"/>
    <w:rsid w:val="008744BA"/>
    <w:rsid w:val="00875F1E"/>
    <w:rsid w:val="00882513"/>
    <w:rsid w:val="00883A6A"/>
    <w:rsid w:val="0088764E"/>
    <w:rsid w:val="00892046"/>
    <w:rsid w:val="00893982"/>
    <w:rsid w:val="008960BB"/>
    <w:rsid w:val="0089688A"/>
    <w:rsid w:val="00896A40"/>
    <w:rsid w:val="00896E13"/>
    <w:rsid w:val="008A0238"/>
    <w:rsid w:val="008A17DE"/>
    <w:rsid w:val="008A21AD"/>
    <w:rsid w:val="008A27D9"/>
    <w:rsid w:val="008A3BBC"/>
    <w:rsid w:val="008A549F"/>
    <w:rsid w:val="008A638A"/>
    <w:rsid w:val="008B105A"/>
    <w:rsid w:val="008B3CB4"/>
    <w:rsid w:val="008B4A32"/>
    <w:rsid w:val="008B5AD0"/>
    <w:rsid w:val="008B6805"/>
    <w:rsid w:val="008C1A6C"/>
    <w:rsid w:val="008C1AE9"/>
    <w:rsid w:val="008C1EB7"/>
    <w:rsid w:val="008C23CD"/>
    <w:rsid w:val="008C3240"/>
    <w:rsid w:val="008C39E7"/>
    <w:rsid w:val="008C481B"/>
    <w:rsid w:val="008C5A26"/>
    <w:rsid w:val="008D62E1"/>
    <w:rsid w:val="008D6318"/>
    <w:rsid w:val="008E0D7C"/>
    <w:rsid w:val="008E0ED1"/>
    <w:rsid w:val="008E1F48"/>
    <w:rsid w:val="008E36BA"/>
    <w:rsid w:val="008E3818"/>
    <w:rsid w:val="008E4B4B"/>
    <w:rsid w:val="008E5BC4"/>
    <w:rsid w:val="008E6CAB"/>
    <w:rsid w:val="008E6D9A"/>
    <w:rsid w:val="008E6F4D"/>
    <w:rsid w:val="008E7E87"/>
    <w:rsid w:val="008F11DD"/>
    <w:rsid w:val="008F124D"/>
    <w:rsid w:val="008F155E"/>
    <w:rsid w:val="008F1A60"/>
    <w:rsid w:val="008F3CBE"/>
    <w:rsid w:val="008F459D"/>
    <w:rsid w:val="008F7840"/>
    <w:rsid w:val="00900245"/>
    <w:rsid w:val="0090125B"/>
    <w:rsid w:val="009105F2"/>
    <w:rsid w:val="00911464"/>
    <w:rsid w:val="00914BF2"/>
    <w:rsid w:val="00920081"/>
    <w:rsid w:val="0092091B"/>
    <w:rsid w:val="00922D5E"/>
    <w:rsid w:val="0092433B"/>
    <w:rsid w:val="009244A9"/>
    <w:rsid w:val="00925167"/>
    <w:rsid w:val="00931642"/>
    <w:rsid w:val="00931CEA"/>
    <w:rsid w:val="009327A4"/>
    <w:rsid w:val="009328F8"/>
    <w:rsid w:val="00933FDB"/>
    <w:rsid w:val="009340E9"/>
    <w:rsid w:val="009361A1"/>
    <w:rsid w:val="00937ACD"/>
    <w:rsid w:val="00941E81"/>
    <w:rsid w:val="00943999"/>
    <w:rsid w:val="00943CA3"/>
    <w:rsid w:val="00944A06"/>
    <w:rsid w:val="00944EB2"/>
    <w:rsid w:val="009455D7"/>
    <w:rsid w:val="00947948"/>
    <w:rsid w:val="00950D54"/>
    <w:rsid w:val="00951BCA"/>
    <w:rsid w:val="009537BA"/>
    <w:rsid w:val="009547A5"/>
    <w:rsid w:val="00954BD1"/>
    <w:rsid w:val="0095553B"/>
    <w:rsid w:val="00956A05"/>
    <w:rsid w:val="00962E0B"/>
    <w:rsid w:val="009639A8"/>
    <w:rsid w:val="00967564"/>
    <w:rsid w:val="00970142"/>
    <w:rsid w:val="009701CF"/>
    <w:rsid w:val="00976E5D"/>
    <w:rsid w:val="00977C93"/>
    <w:rsid w:val="00980075"/>
    <w:rsid w:val="00981131"/>
    <w:rsid w:val="009817BD"/>
    <w:rsid w:val="00982407"/>
    <w:rsid w:val="009829A2"/>
    <w:rsid w:val="00983516"/>
    <w:rsid w:val="0098593D"/>
    <w:rsid w:val="009872A7"/>
    <w:rsid w:val="00994BF8"/>
    <w:rsid w:val="009950C0"/>
    <w:rsid w:val="00995DC8"/>
    <w:rsid w:val="00995FC5"/>
    <w:rsid w:val="009A0469"/>
    <w:rsid w:val="009A04C0"/>
    <w:rsid w:val="009A0B4A"/>
    <w:rsid w:val="009A0C6D"/>
    <w:rsid w:val="009A22FF"/>
    <w:rsid w:val="009A5157"/>
    <w:rsid w:val="009A5350"/>
    <w:rsid w:val="009B0421"/>
    <w:rsid w:val="009B26E5"/>
    <w:rsid w:val="009B3D3E"/>
    <w:rsid w:val="009B4FBD"/>
    <w:rsid w:val="009B7A61"/>
    <w:rsid w:val="009C246B"/>
    <w:rsid w:val="009C6B12"/>
    <w:rsid w:val="009C7B71"/>
    <w:rsid w:val="009D0D5B"/>
    <w:rsid w:val="009D1489"/>
    <w:rsid w:val="009D26E8"/>
    <w:rsid w:val="009D40C5"/>
    <w:rsid w:val="009D7EFB"/>
    <w:rsid w:val="009E4784"/>
    <w:rsid w:val="009E54EF"/>
    <w:rsid w:val="009F4153"/>
    <w:rsid w:val="009F603E"/>
    <w:rsid w:val="009F7114"/>
    <w:rsid w:val="00A0153A"/>
    <w:rsid w:val="00A049D4"/>
    <w:rsid w:val="00A068EB"/>
    <w:rsid w:val="00A127D3"/>
    <w:rsid w:val="00A15CA8"/>
    <w:rsid w:val="00A216EC"/>
    <w:rsid w:val="00A21AC0"/>
    <w:rsid w:val="00A312E8"/>
    <w:rsid w:val="00A3134E"/>
    <w:rsid w:val="00A31705"/>
    <w:rsid w:val="00A32131"/>
    <w:rsid w:val="00A324AD"/>
    <w:rsid w:val="00A33B24"/>
    <w:rsid w:val="00A34B4A"/>
    <w:rsid w:val="00A36C04"/>
    <w:rsid w:val="00A41BC7"/>
    <w:rsid w:val="00A44E01"/>
    <w:rsid w:val="00A457D8"/>
    <w:rsid w:val="00A469FA"/>
    <w:rsid w:val="00A46CFC"/>
    <w:rsid w:val="00A47645"/>
    <w:rsid w:val="00A50026"/>
    <w:rsid w:val="00A506C0"/>
    <w:rsid w:val="00A50F4F"/>
    <w:rsid w:val="00A549DF"/>
    <w:rsid w:val="00A562E1"/>
    <w:rsid w:val="00A569EF"/>
    <w:rsid w:val="00A60210"/>
    <w:rsid w:val="00A60F87"/>
    <w:rsid w:val="00A617F3"/>
    <w:rsid w:val="00A61D50"/>
    <w:rsid w:val="00A634C0"/>
    <w:rsid w:val="00A6609D"/>
    <w:rsid w:val="00A7082B"/>
    <w:rsid w:val="00A73B98"/>
    <w:rsid w:val="00A74244"/>
    <w:rsid w:val="00A75D6A"/>
    <w:rsid w:val="00A80AEF"/>
    <w:rsid w:val="00A834C1"/>
    <w:rsid w:val="00A837B8"/>
    <w:rsid w:val="00A84D81"/>
    <w:rsid w:val="00A86D89"/>
    <w:rsid w:val="00A92456"/>
    <w:rsid w:val="00A939A2"/>
    <w:rsid w:val="00A93D4D"/>
    <w:rsid w:val="00A9463D"/>
    <w:rsid w:val="00A94CB1"/>
    <w:rsid w:val="00A97402"/>
    <w:rsid w:val="00A97B78"/>
    <w:rsid w:val="00AA00B1"/>
    <w:rsid w:val="00AA2CAE"/>
    <w:rsid w:val="00AB0833"/>
    <w:rsid w:val="00AB18CC"/>
    <w:rsid w:val="00AB1C44"/>
    <w:rsid w:val="00AB277D"/>
    <w:rsid w:val="00AB3101"/>
    <w:rsid w:val="00AB3B2B"/>
    <w:rsid w:val="00AB3DA7"/>
    <w:rsid w:val="00AB64C0"/>
    <w:rsid w:val="00AB7BAF"/>
    <w:rsid w:val="00AC0F8B"/>
    <w:rsid w:val="00AC2342"/>
    <w:rsid w:val="00AC2B62"/>
    <w:rsid w:val="00AC36BD"/>
    <w:rsid w:val="00AC4884"/>
    <w:rsid w:val="00AC56CF"/>
    <w:rsid w:val="00AD28B7"/>
    <w:rsid w:val="00AD4FBE"/>
    <w:rsid w:val="00AE1F6F"/>
    <w:rsid w:val="00AE2D3F"/>
    <w:rsid w:val="00AF3F73"/>
    <w:rsid w:val="00AF4703"/>
    <w:rsid w:val="00AF5AB9"/>
    <w:rsid w:val="00AF709C"/>
    <w:rsid w:val="00B00291"/>
    <w:rsid w:val="00B00575"/>
    <w:rsid w:val="00B00F82"/>
    <w:rsid w:val="00B01845"/>
    <w:rsid w:val="00B01899"/>
    <w:rsid w:val="00B01BA8"/>
    <w:rsid w:val="00B0202B"/>
    <w:rsid w:val="00B02C66"/>
    <w:rsid w:val="00B0365C"/>
    <w:rsid w:val="00B10061"/>
    <w:rsid w:val="00B1188E"/>
    <w:rsid w:val="00B154D2"/>
    <w:rsid w:val="00B16E41"/>
    <w:rsid w:val="00B1763A"/>
    <w:rsid w:val="00B2184B"/>
    <w:rsid w:val="00B22A78"/>
    <w:rsid w:val="00B22D16"/>
    <w:rsid w:val="00B24139"/>
    <w:rsid w:val="00B26639"/>
    <w:rsid w:val="00B27588"/>
    <w:rsid w:val="00B3196D"/>
    <w:rsid w:val="00B35F9C"/>
    <w:rsid w:val="00B40F6C"/>
    <w:rsid w:val="00B430DE"/>
    <w:rsid w:val="00B43E48"/>
    <w:rsid w:val="00B43FE5"/>
    <w:rsid w:val="00B46ACE"/>
    <w:rsid w:val="00B46FED"/>
    <w:rsid w:val="00B52424"/>
    <w:rsid w:val="00B52769"/>
    <w:rsid w:val="00B56674"/>
    <w:rsid w:val="00B60C88"/>
    <w:rsid w:val="00B60F00"/>
    <w:rsid w:val="00B62506"/>
    <w:rsid w:val="00B62DFE"/>
    <w:rsid w:val="00B676AC"/>
    <w:rsid w:val="00B67962"/>
    <w:rsid w:val="00B70044"/>
    <w:rsid w:val="00B728A7"/>
    <w:rsid w:val="00B75219"/>
    <w:rsid w:val="00B76A2F"/>
    <w:rsid w:val="00B76BF8"/>
    <w:rsid w:val="00B77DF8"/>
    <w:rsid w:val="00B80187"/>
    <w:rsid w:val="00B828C2"/>
    <w:rsid w:val="00B835AA"/>
    <w:rsid w:val="00B83FBF"/>
    <w:rsid w:val="00B8486A"/>
    <w:rsid w:val="00B85924"/>
    <w:rsid w:val="00B90D28"/>
    <w:rsid w:val="00B97410"/>
    <w:rsid w:val="00BA1D85"/>
    <w:rsid w:val="00BA3D6B"/>
    <w:rsid w:val="00BA452C"/>
    <w:rsid w:val="00BA5B24"/>
    <w:rsid w:val="00BA775F"/>
    <w:rsid w:val="00BA7F12"/>
    <w:rsid w:val="00BB0351"/>
    <w:rsid w:val="00BB28EA"/>
    <w:rsid w:val="00BB4DD9"/>
    <w:rsid w:val="00BB610E"/>
    <w:rsid w:val="00BC1F37"/>
    <w:rsid w:val="00BC4594"/>
    <w:rsid w:val="00BC6787"/>
    <w:rsid w:val="00BC709A"/>
    <w:rsid w:val="00BD192C"/>
    <w:rsid w:val="00BD21D4"/>
    <w:rsid w:val="00BD2A20"/>
    <w:rsid w:val="00BD443F"/>
    <w:rsid w:val="00BD4D1D"/>
    <w:rsid w:val="00BD5315"/>
    <w:rsid w:val="00BD5ACC"/>
    <w:rsid w:val="00BD7207"/>
    <w:rsid w:val="00BE3478"/>
    <w:rsid w:val="00BE6F4E"/>
    <w:rsid w:val="00BF0F71"/>
    <w:rsid w:val="00BF1120"/>
    <w:rsid w:val="00BF2BFD"/>
    <w:rsid w:val="00BF3DA2"/>
    <w:rsid w:val="00BF7731"/>
    <w:rsid w:val="00BF7999"/>
    <w:rsid w:val="00C01461"/>
    <w:rsid w:val="00C03098"/>
    <w:rsid w:val="00C039BC"/>
    <w:rsid w:val="00C10043"/>
    <w:rsid w:val="00C15CAA"/>
    <w:rsid w:val="00C17B07"/>
    <w:rsid w:val="00C203F6"/>
    <w:rsid w:val="00C2049D"/>
    <w:rsid w:val="00C22A58"/>
    <w:rsid w:val="00C25E64"/>
    <w:rsid w:val="00C263D8"/>
    <w:rsid w:val="00C26D3A"/>
    <w:rsid w:val="00C31780"/>
    <w:rsid w:val="00C3294D"/>
    <w:rsid w:val="00C33EB0"/>
    <w:rsid w:val="00C34C90"/>
    <w:rsid w:val="00C356D9"/>
    <w:rsid w:val="00C35B5C"/>
    <w:rsid w:val="00C42911"/>
    <w:rsid w:val="00C454DF"/>
    <w:rsid w:val="00C469EC"/>
    <w:rsid w:val="00C52737"/>
    <w:rsid w:val="00C53E42"/>
    <w:rsid w:val="00C57386"/>
    <w:rsid w:val="00C601FD"/>
    <w:rsid w:val="00C62444"/>
    <w:rsid w:val="00C6697D"/>
    <w:rsid w:val="00C66E73"/>
    <w:rsid w:val="00C6717D"/>
    <w:rsid w:val="00C70262"/>
    <w:rsid w:val="00C71AA9"/>
    <w:rsid w:val="00C805C1"/>
    <w:rsid w:val="00C80706"/>
    <w:rsid w:val="00C80AE2"/>
    <w:rsid w:val="00C82017"/>
    <w:rsid w:val="00C83F54"/>
    <w:rsid w:val="00C84402"/>
    <w:rsid w:val="00C90620"/>
    <w:rsid w:val="00C91F5B"/>
    <w:rsid w:val="00C92485"/>
    <w:rsid w:val="00C94EB0"/>
    <w:rsid w:val="00C9505D"/>
    <w:rsid w:val="00CA3426"/>
    <w:rsid w:val="00CA559E"/>
    <w:rsid w:val="00CA6785"/>
    <w:rsid w:val="00CA6835"/>
    <w:rsid w:val="00CA7445"/>
    <w:rsid w:val="00CB1664"/>
    <w:rsid w:val="00CB31A0"/>
    <w:rsid w:val="00CB4249"/>
    <w:rsid w:val="00CB5F07"/>
    <w:rsid w:val="00CC1B3F"/>
    <w:rsid w:val="00CC298B"/>
    <w:rsid w:val="00CC306D"/>
    <w:rsid w:val="00CC3970"/>
    <w:rsid w:val="00CC75B3"/>
    <w:rsid w:val="00CD4832"/>
    <w:rsid w:val="00CD648A"/>
    <w:rsid w:val="00CD6EE1"/>
    <w:rsid w:val="00CD7824"/>
    <w:rsid w:val="00CE0614"/>
    <w:rsid w:val="00CE0895"/>
    <w:rsid w:val="00CE1373"/>
    <w:rsid w:val="00CE14C6"/>
    <w:rsid w:val="00CE1657"/>
    <w:rsid w:val="00CE28A7"/>
    <w:rsid w:val="00CE3B75"/>
    <w:rsid w:val="00CE4404"/>
    <w:rsid w:val="00CE5DEC"/>
    <w:rsid w:val="00CE629D"/>
    <w:rsid w:val="00CE7034"/>
    <w:rsid w:val="00CE7F98"/>
    <w:rsid w:val="00CF0059"/>
    <w:rsid w:val="00CF3865"/>
    <w:rsid w:val="00CF5B3F"/>
    <w:rsid w:val="00CF7878"/>
    <w:rsid w:val="00CF7FB4"/>
    <w:rsid w:val="00D00709"/>
    <w:rsid w:val="00D03078"/>
    <w:rsid w:val="00D03458"/>
    <w:rsid w:val="00D03A65"/>
    <w:rsid w:val="00D03EB9"/>
    <w:rsid w:val="00D04565"/>
    <w:rsid w:val="00D06D39"/>
    <w:rsid w:val="00D07340"/>
    <w:rsid w:val="00D152F9"/>
    <w:rsid w:val="00D165C2"/>
    <w:rsid w:val="00D22DC9"/>
    <w:rsid w:val="00D22FD1"/>
    <w:rsid w:val="00D2309D"/>
    <w:rsid w:val="00D26698"/>
    <w:rsid w:val="00D27CF8"/>
    <w:rsid w:val="00D30DB6"/>
    <w:rsid w:val="00D31976"/>
    <w:rsid w:val="00D31B62"/>
    <w:rsid w:val="00D32F09"/>
    <w:rsid w:val="00D34D58"/>
    <w:rsid w:val="00D35072"/>
    <w:rsid w:val="00D361CE"/>
    <w:rsid w:val="00D36533"/>
    <w:rsid w:val="00D379AD"/>
    <w:rsid w:val="00D40604"/>
    <w:rsid w:val="00D411B1"/>
    <w:rsid w:val="00D42F40"/>
    <w:rsid w:val="00D43F9A"/>
    <w:rsid w:val="00D460CE"/>
    <w:rsid w:val="00D47DC0"/>
    <w:rsid w:val="00D47E80"/>
    <w:rsid w:val="00D51F50"/>
    <w:rsid w:val="00D53281"/>
    <w:rsid w:val="00D55946"/>
    <w:rsid w:val="00D574AB"/>
    <w:rsid w:val="00D6195F"/>
    <w:rsid w:val="00D61C4B"/>
    <w:rsid w:val="00D62EF1"/>
    <w:rsid w:val="00D661CF"/>
    <w:rsid w:val="00D67115"/>
    <w:rsid w:val="00D67CD4"/>
    <w:rsid w:val="00D70129"/>
    <w:rsid w:val="00D71E05"/>
    <w:rsid w:val="00D73612"/>
    <w:rsid w:val="00D75FAD"/>
    <w:rsid w:val="00D77603"/>
    <w:rsid w:val="00D80F4B"/>
    <w:rsid w:val="00D87C87"/>
    <w:rsid w:val="00D911D2"/>
    <w:rsid w:val="00D9158B"/>
    <w:rsid w:val="00D93DF1"/>
    <w:rsid w:val="00D96F7A"/>
    <w:rsid w:val="00D97580"/>
    <w:rsid w:val="00D97606"/>
    <w:rsid w:val="00DA0F30"/>
    <w:rsid w:val="00DA1DBC"/>
    <w:rsid w:val="00DA2923"/>
    <w:rsid w:val="00DA2F2E"/>
    <w:rsid w:val="00DB07FB"/>
    <w:rsid w:val="00DB2418"/>
    <w:rsid w:val="00DB3671"/>
    <w:rsid w:val="00DB7BE9"/>
    <w:rsid w:val="00DB7E2D"/>
    <w:rsid w:val="00DB7EE0"/>
    <w:rsid w:val="00DB7FF9"/>
    <w:rsid w:val="00DC21FD"/>
    <w:rsid w:val="00DC6E8F"/>
    <w:rsid w:val="00DD1F83"/>
    <w:rsid w:val="00DD2940"/>
    <w:rsid w:val="00DD3E6B"/>
    <w:rsid w:val="00DD3F1C"/>
    <w:rsid w:val="00DD5A59"/>
    <w:rsid w:val="00DD63D7"/>
    <w:rsid w:val="00DE0D55"/>
    <w:rsid w:val="00DE3D28"/>
    <w:rsid w:val="00DE4B30"/>
    <w:rsid w:val="00DE7044"/>
    <w:rsid w:val="00DF003A"/>
    <w:rsid w:val="00DF2DA9"/>
    <w:rsid w:val="00DF36A0"/>
    <w:rsid w:val="00DF3A92"/>
    <w:rsid w:val="00DF53CE"/>
    <w:rsid w:val="00DF64D2"/>
    <w:rsid w:val="00DF691C"/>
    <w:rsid w:val="00DF7D8B"/>
    <w:rsid w:val="00E00D27"/>
    <w:rsid w:val="00E051ED"/>
    <w:rsid w:val="00E077FD"/>
    <w:rsid w:val="00E10615"/>
    <w:rsid w:val="00E129FD"/>
    <w:rsid w:val="00E14B5E"/>
    <w:rsid w:val="00E14E47"/>
    <w:rsid w:val="00E20598"/>
    <w:rsid w:val="00E238CF"/>
    <w:rsid w:val="00E25EA5"/>
    <w:rsid w:val="00E27DE7"/>
    <w:rsid w:val="00E27FFC"/>
    <w:rsid w:val="00E30E92"/>
    <w:rsid w:val="00E3221F"/>
    <w:rsid w:val="00E34BA1"/>
    <w:rsid w:val="00E36682"/>
    <w:rsid w:val="00E372DC"/>
    <w:rsid w:val="00E37BB9"/>
    <w:rsid w:val="00E40457"/>
    <w:rsid w:val="00E41A01"/>
    <w:rsid w:val="00E4412C"/>
    <w:rsid w:val="00E4422B"/>
    <w:rsid w:val="00E443AF"/>
    <w:rsid w:val="00E4630C"/>
    <w:rsid w:val="00E53813"/>
    <w:rsid w:val="00E538A5"/>
    <w:rsid w:val="00E53F12"/>
    <w:rsid w:val="00E5452B"/>
    <w:rsid w:val="00E55794"/>
    <w:rsid w:val="00E612CD"/>
    <w:rsid w:val="00E624B3"/>
    <w:rsid w:val="00E633D9"/>
    <w:rsid w:val="00E64287"/>
    <w:rsid w:val="00E658B1"/>
    <w:rsid w:val="00E67C21"/>
    <w:rsid w:val="00E73FC0"/>
    <w:rsid w:val="00E763D3"/>
    <w:rsid w:val="00E77562"/>
    <w:rsid w:val="00E81585"/>
    <w:rsid w:val="00E824BC"/>
    <w:rsid w:val="00E84963"/>
    <w:rsid w:val="00E852E4"/>
    <w:rsid w:val="00E86EF6"/>
    <w:rsid w:val="00E872EC"/>
    <w:rsid w:val="00E875AE"/>
    <w:rsid w:val="00E877D5"/>
    <w:rsid w:val="00E919F1"/>
    <w:rsid w:val="00E923C8"/>
    <w:rsid w:val="00E92CB3"/>
    <w:rsid w:val="00E94692"/>
    <w:rsid w:val="00E94A77"/>
    <w:rsid w:val="00E95314"/>
    <w:rsid w:val="00EA09D7"/>
    <w:rsid w:val="00EA0C45"/>
    <w:rsid w:val="00EA21F7"/>
    <w:rsid w:val="00EA295B"/>
    <w:rsid w:val="00EA2A7B"/>
    <w:rsid w:val="00EA2CC9"/>
    <w:rsid w:val="00EA303B"/>
    <w:rsid w:val="00EA36D4"/>
    <w:rsid w:val="00EA49FB"/>
    <w:rsid w:val="00EA56F5"/>
    <w:rsid w:val="00EA5AA2"/>
    <w:rsid w:val="00EA7357"/>
    <w:rsid w:val="00EB12C7"/>
    <w:rsid w:val="00EB2113"/>
    <w:rsid w:val="00EB5B8B"/>
    <w:rsid w:val="00EB5FD0"/>
    <w:rsid w:val="00EB6517"/>
    <w:rsid w:val="00EB702D"/>
    <w:rsid w:val="00EB7955"/>
    <w:rsid w:val="00EB7CAA"/>
    <w:rsid w:val="00EC1F59"/>
    <w:rsid w:val="00EC5470"/>
    <w:rsid w:val="00EC572B"/>
    <w:rsid w:val="00ED0E6C"/>
    <w:rsid w:val="00ED2CB0"/>
    <w:rsid w:val="00EE7877"/>
    <w:rsid w:val="00EF2160"/>
    <w:rsid w:val="00EF3668"/>
    <w:rsid w:val="00EF3AB6"/>
    <w:rsid w:val="00EF5670"/>
    <w:rsid w:val="00EF6370"/>
    <w:rsid w:val="00F00007"/>
    <w:rsid w:val="00F00986"/>
    <w:rsid w:val="00F019E1"/>
    <w:rsid w:val="00F02151"/>
    <w:rsid w:val="00F02F2A"/>
    <w:rsid w:val="00F04609"/>
    <w:rsid w:val="00F05AEA"/>
    <w:rsid w:val="00F06B7B"/>
    <w:rsid w:val="00F10558"/>
    <w:rsid w:val="00F106CA"/>
    <w:rsid w:val="00F106DF"/>
    <w:rsid w:val="00F10D0F"/>
    <w:rsid w:val="00F12178"/>
    <w:rsid w:val="00F122C2"/>
    <w:rsid w:val="00F12728"/>
    <w:rsid w:val="00F13168"/>
    <w:rsid w:val="00F1543F"/>
    <w:rsid w:val="00F158DD"/>
    <w:rsid w:val="00F22CAF"/>
    <w:rsid w:val="00F24F9E"/>
    <w:rsid w:val="00F300D1"/>
    <w:rsid w:val="00F310A2"/>
    <w:rsid w:val="00F360D4"/>
    <w:rsid w:val="00F37BE0"/>
    <w:rsid w:val="00F411E2"/>
    <w:rsid w:val="00F42C41"/>
    <w:rsid w:val="00F47C89"/>
    <w:rsid w:val="00F50FC3"/>
    <w:rsid w:val="00F53413"/>
    <w:rsid w:val="00F573F3"/>
    <w:rsid w:val="00F5757A"/>
    <w:rsid w:val="00F61472"/>
    <w:rsid w:val="00F624E7"/>
    <w:rsid w:val="00F63748"/>
    <w:rsid w:val="00F6578E"/>
    <w:rsid w:val="00F65B99"/>
    <w:rsid w:val="00F6696B"/>
    <w:rsid w:val="00F66B9C"/>
    <w:rsid w:val="00F71B0D"/>
    <w:rsid w:val="00F74921"/>
    <w:rsid w:val="00F75749"/>
    <w:rsid w:val="00F75DD4"/>
    <w:rsid w:val="00F76466"/>
    <w:rsid w:val="00F83428"/>
    <w:rsid w:val="00F837AA"/>
    <w:rsid w:val="00F84B1F"/>
    <w:rsid w:val="00F84EF4"/>
    <w:rsid w:val="00F85288"/>
    <w:rsid w:val="00F90FBC"/>
    <w:rsid w:val="00F92E90"/>
    <w:rsid w:val="00F9367C"/>
    <w:rsid w:val="00F94164"/>
    <w:rsid w:val="00F9597E"/>
    <w:rsid w:val="00F96ED2"/>
    <w:rsid w:val="00FA107C"/>
    <w:rsid w:val="00FA1B20"/>
    <w:rsid w:val="00FA368B"/>
    <w:rsid w:val="00FA39C2"/>
    <w:rsid w:val="00FA64F3"/>
    <w:rsid w:val="00FA7E1D"/>
    <w:rsid w:val="00FB14B4"/>
    <w:rsid w:val="00FB155C"/>
    <w:rsid w:val="00FB4632"/>
    <w:rsid w:val="00FB49E9"/>
    <w:rsid w:val="00FB5814"/>
    <w:rsid w:val="00FB698E"/>
    <w:rsid w:val="00FB74A8"/>
    <w:rsid w:val="00FB7D20"/>
    <w:rsid w:val="00FC274E"/>
    <w:rsid w:val="00FC5225"/>
    <w:rsid w:val="00FD1EF3"/>
    <w:rsid w:val="00FD3AE2"/>
    <w:rsid w:val="00FD3FA7"/>
    <w:rsid w:val="00FD798E"/>
    <w:rsid w:val="00FE0E67"/>
    <w:rsid w:val="00FE2E3F"/>
    <w:rsid w:val="00FE6533"/>
    <w:rsid w:val="00FF46D8"/>
    <w:rsid w:val="00FF5AED"/>
    <w:rsid w:val="00FF5F9D"/>
    <w:rsid w:val="00FF6680"/>
    <w:rsid w:val="00FF6769"/>
    <w:rsid w:val="00FF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8CF2E"/>
  <w15:docId w15:val="{4AB20C67-3281-4042-9ED8-B5014735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CAB"/>
    <w:pPr>
      <w:spacing w:line="360" w:lineRule="auto"/>
      <w:jc w:val="both"/>
    </w:pPr>
    <w:rPr>
      <w:rFonts w:ascii="Times New Roman" w:eastAsia="Times New Roman" w:hAnsi="Times New Roman"/>
      <w:sz w:val="24"/>
    </w:rPr>
  </w:style>
  <w:style w:type="paragraph" w:styleId="Heading1">
    <w:name w:val="heading 1"/>
    <w:basedOn w:val="Normal"/>
    <w:next w:val="Normal"/>
    <w:link w:val="Heading1Char"/>
    <w:qFormat/>
    <w:rsid w:val="007F5F2B"/>
    <w:pPr>
      <w:keepNext/>
      <w:numPr>
        <w:numId w:val="21"/>
      </w:numPr>
      <w:outlineLvl w:val="0"/>
    </w:pPr>
    <w:rPr>
      <w:rFonts w:eastAsiaTheme="majorEastAsia" w:cs="Arial"/>
      <w:b/>
      <w:bCs/>
      <w:kern w:val="32"/>
      <w:szCs w:val="32"/>
    </w:rPr>
  </w:style>
  <w:style w:type="paragraph" w:styleId="Heading2">
    <w:name w:val="heading 2"/>
    <w:basedOn w:val="Normal"/>
    <w:next w:val="Normal"/>
    <w:link w:val="Heading2Char"/>
    <w:qFormat/>
    <w:rsid w:val="008E36BA"/>
    <w:pPr>
      <w:keepNext/>
      <w:numPr>
        <w:numId w:val="24"/>
      </w:numPr>
      <w:outlineLvl w:val="1"/>
    </w:pPr>
    <w:rPr>
      <w:rFonts w:eastAsiaTheme="majorEastAsia" w:cs="Arial"/>
      <w:b/>
      <w:bCs/>
      <w:iCs/>
      <w:szCs w:val="28"/>
    </w:rPr>
  </w:style>
  <w:style w:type="paragraph" w:styleId="Heading3">
    <w:name w:val="heading 3"/>
    <w:basedOn w:val="Normal"/>
    <w:next w:val="Normal"/>
    <w:link w:val="Heading3Char"/>
    <w:qFormat/>
    <w:rsid w:val="008E36BA"/>
    <w:pPr>
      <w:keepNext/>
      <w:numPr>
        <w:ilvl w:val="2"/>
        <w:numId w:val="21"/>
      </w:numPr>
      <w:outlineLvl w:val="2"/>
    </w:pPr>
    <w:rPr>
      <w:rFonts w:eastAsiaTheme="majorEastAsia" w:cs="Arial"/>
      <w:b/>
      <w:bCs/>
      <w:szCs w:val="26"/>
    </w:rPr>
  </w:style>
  <w:style w:type="paragraph" w:styleId="Heading4">
    <w:name w:val="heading 4"/>
    <w:basedOn w:val="Normal"/>
    <w:next w:val="Normal"/>
    <w:link w:val="Heading4Char"/>
    <w:autoRedefine/>
    <w:unhideWhenUsed/>
    <w:qFormat/>
    <w:rsid w:val="00175ECE"/>
    <w:pPr>
      <w:keepNext/>
      <w:keepLines/>
      <w:spacing w:before="200"/>
      <w:ind w:left="510"/>
      <w:outlineLvl w:val="3"/>
    </w:pPr>
    <w:rPr>
      <w:rFonts w:eastAsiaTheme="majorEastAsia" w:cstheme="majorBidi"/>
      <w:b/>
      <w:bCs/>
      <w:iCs/>
    </w:rPr>
  </w:style>
  <w:style w:type="paragraph" w:styleId="Heading5">
    <w:name w:val="heading 5"/>
    <w:basedOn w:val="Normal"/>
    <w:next w:val="Normal"/>
    <w:link w:val="Heading5Char"/>
    <w:unhideWhenUsed/>
    <w:qFormat/>
    <w:rsid w:val="001011B8"/>
    <w:pPr>
      <w:keepNext/>
      <w:keepLines/>
      <w:numPr>
        <w:ilvl w:val="4"/>
        <w:numId w:val="4"/>
      </w:numPr>
      <w:outlineLvl w:val="4"/>
    </w:pPr>
    <w:rPr>
      <w:rFonts w:eastAsiaTheme="majorEastAsia" w:cstheme="majorBidi"/>
    </w:rPr>
  </w:style>
  <w:style w:type="paragraph" w:styleId="Heading6">
    <w:name w:val="heading 6"/>
    <w:basedOn w:val="Normal"/>
    <w:next w:val="Normal"/>
    <w:link w:val="Heading6Char"/>
    <w:unhideWhenUsed/>
    <w:qFormat/>
    <w:rsid w:val="001011B8"/>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1011B8"/>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1011B8"/>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9"/>
    <w:semiHidden/>
    <w:unhideWhenUsed/>
    <w:qFormat/>
    <w:rsid w:val="001011B8"/>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Spacing">
    <w:name w:val="No Spacing"/>
    <w:aliases w:val="References"/>
    <w:uiPriority w:val="1"/>
    <w:qFormat/>
    <w:rsid w:val="001011B8"/>
    <w:pPr>
      <w:jc w:val="both"/>
    </w:pPr>
    <w:rPr>
      <w:rFonts w:ascii="Times" w:eastAsia="Times New Roman" w:hAnsi="Times"/>
      <w:sz w:val="24"/>
    </w:rPr>
  </w:style>
  <w:style w:type="character" w:customStyle="1" w:styleId="Heading1Char">
    <w:name w:val="Heading 1 Char"/>
    <w:basedOn w:val="DefaultParagraphFont"/>
    <w:link w:val="Heading1"/>
    <w:rsid w:val="007F5F2B"/>
    <w:rPr>
      <w:rFonts w:ascii="Times New Roman" w:eastAsiaTheme="majorEastAsia" w:hAnsi="Times New Roman" w:cs="Arial"/>
      <w:b/>
      <w:bCs/>
      <w:kern w:val="32"/>
      <w:sz w:val="24"/>
      <w:szCs w:val="32"/>
    </w:rPr>
  </w:style>
  <w:style w:type="character" w:customStyle="1" w:styleId="Heading2Char">
    <w:name w:val="Heading 2 Char"/>
    <w:basedOn w:val="DefaultParagraphFont"/>
    <w:link w:val="Heading2"/>
    <w:rsid w:val="008E36BA"/>
    <w:rPr>
      <w:rFonts w:ascii="Times New Roman" w:eastAsiaTheme="majorEastAsia" w:hAnsi="Times New Roman" w:cs="Arial"/>
      <w:b/>
      <w:bCs/>
      <w:iCs/>
      <w:sz w:val="24"/>
      <w:szCs w:val="28"/>
    </w:rPr>
  </w:style>
  <w:style w:type="character" w:customStyle="1" w:styleId="Heading3Char">
    <w:name w:val="Heading 3 Char"/>
    <w:basedOn w:val="DefaultParagraphFont"/>
    <w:link w:val="Heading3"/>
    <w:rsid w:val="008E36BA"/>
    <w:rPr>
      <w:rFonts w:ascii="Times New Roman" w:eastAsiaTheme="majorEastAsia" w:hAnsi="Times New Roman" w:cs="Arial"/>
      <w:b/>
      <w:bCs/>
      <w:sz w:val="24"/>
      <w:szCs w:val="26"/>
    </w:rPr>
  </w:style>
  <w:style w:type="character" w:customStyle="1" w:styleId="Heading4Char">
    <w:name w:val="Heading 4 Char"/>
    <w:basedOn w:val="DefaultParagraphFont"/>
    <w:link w:val="Heading4"/>
    <w:rsid w:val="00175ECE"/>
    <w:rPr>
      <w:rFonts w:ascii="Times New Roman" w:eastAsiaTheme="majorEastAsia" w:hAnsi="Times New Roman" w:cstheme="majorBidi"/>
      <w:b/>
      <w:bCs/>
      <w:iCs/>
      <w:sz w:val="24"/>
    </w:rPr>
  </w:style>
  <w:style w:type="character" w:customStyle="1" w:styleId="Heading5Char">
    <w:name w:val="Heading 5 Char"/>
    <w:basedOn w:val="DefaultParagraphFont"/>
    <w:link w:val="Heading5"/>
    <w:rsid w:val="001011B8"/>
    <w:rPr>
      <w:rFonts w:ascii="Times New Roman" w:eastAsiaTheme="majorEastAsia" w:hAnsi="Times New Roman" w:cstheme="majorBidi"/>
      <w:sz w:val="24"/>
    </w:rPr>
  </w:style>
  <w:style w:type="paragraph" w:styleId="ListParagraph">
    <w:name w:val="List Paragraph"/>
    <w:basedOn w:val="Normal"/>
    <w:uiPriority w:val="34"/>
    <w:qFormat/>
    <w:rsid w:val="001011B8"/>
    <w:pPr>
      <w:ind w:left="720"/>
      <w:contextualSpacing/>
    </w:pPr>
  </w:style>
  <w:style w:type="character" w:styleId="CommentReference">
    <w:name w:val="annotation reference"/>
    <w:basedOn w:val="DefaultParagraphFont"/>
    <w:uiPriority w:val="99"/>
    <w:semiHidden/>
    <w:unhideWhenUsed/>
    <w:rsid w:val="001011B8"/>
    <w:rPr>
      <w:sz w:val="16"/>
      <w:szCs w:val="16"/>
    </w:rPr>
  </w:style>
  <w:style w:type="character" w:customStyle="1" w:styleId="Heading6Char">
    <w:name w:val="Heading 6 Char"/>
    <w:basedOn w:val="DefaultParagraphFont"/>
    <w:link w:val="Heading6"/>
    <w:rsid w:val="001011B8"/>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9"/>
    <w:rsid w:val="001011B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9"/>
    <w:semiHidden/>
    <w:rsid w:val="001011B8"/>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9"/>
    <w:semiHidden/>
    <w:rsid w:val="001011B8"/>
    <w:rPr>
      <w:rFonts w:asciiTheme="majorHAnsi" w:eastAsiaTheme="majorEastAsia" w:hAnsiTheme="majorHAnsi" w:cstheme="majorBidi"/>
      <w:i/>
      <w:iCs/>
      <w:color w:val="404040" w:themeColor="text1" w:themeTint="BF"/>
      <w:sz w:val="20"/>
    </w:rPr>
  </w:style>
  <w:style w:type="paragraph" w:customStyle="1" w:styleId="Default">
    <w:name w:val="Default"/>
    <w:uiPriority w:val="99"/>
    <w:rsid w:val="007E69F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011B8"/>
    <w:rPr>
      <w:rFonts w:ascii="Tahoma" w:hAnsi="Tahoma" w:cs="Tahoma"/>
      <w:sz w:val="16"/>
      <w:szCs w:val="16"/>
    </w:rPr>
  </w:style>
  <w:style w:type="character" w:customStyle="1" w:styleId="BalloonTextChar">
    <w:name w:val="Balloon Text Char"/>
    <w:basedOn w:val="DefaultParagraphFont"/>
    <w:link w:val="BalloonText"/>
    <w:uiPriority w:val="99"/>
    <w:semiHidden/>
    <w:rsid w:val="001011B8"/>
    <w:rPr>
      <w:rFonts w:ascii="Tahoma" w:eastAsia="Times New Roman" w:hAnsi="Tahoma" w:cs="Tahoma"/>
      <w:sz w:val="16"/>
      <w:szCs w:val="16"/>
    </w:rPr>
  </w:style>
  <w:style w:type="paragraph" w:styleId="Caption">
    <w:name w:val="caption"/>
    <w:basedOn w:val="Normal"/>
    <w:next w:val="Normal"/>
    <w:autoRedefine/>
    <w:unhideWhenUsed/>
    <w:qFormat/>
    <w:rsid w:val="003C7A46"/>
    <w:pPr>
      <w:keepNext/>
      <w:spacing w:after="240"/>
    </w:pPr>
    <w:rPr>
      <w:rFonts w:eastAsiaTheme="minorEastAsia"/>
      <w:bCs/>
      <w:szCs w:val="24"/>
    </w:rPr>
  </w:style>
  <w:style w:type="character" w:styleId="Emphasis">
    <w:name w:val="Emphasis"/>
    <w:basedOn w:val="DefaultParagraphFont"/>
    <w:uiPriority w:val="20"/>
    <w:rsid w:val="001011B8"/>
    <w:rPr>
      <w:i/>
      <w:iCs/>
    </w:rPr>
  </w:style>
  <w:style w:type="character" w:styleId="Strong">
    <w:name w:val="Strong"/>
    <w:basedOn w:val="DefaultParagraphFont"/>
    <w:rsid w:val="001011B8"/>
    <w:rPr>
      <w:b/>
      <w:bCs/>
    </w:rPr>
  </w:style>
  <w:style w:type="character" w:customStyle="1" w:styleId="mw-headline">
    <w:name w:val="mw-headline"/>
    <w:basedOn w:val="DefaultParagraphFont"/>
    <w:rsid w:val="001011B8"/>
  </w:style>
  <w:style w:type="paragraph" w:customStyle="1" w:styleId="Pa2">
    <w:name w:val="Pa2"/>
    <w:basedOn w:val="Normal"/>
    <w:next w:val="Normal"/>
    <w:uiPriority w:val="99"/>
    <w:rsid w:val="001011B8"/>
    <w:pPr>
      <w:autoSpaceDE w:val="0"/>
      <w:autoSpaceDN w:val="0"/>
      <w:adjustRightInd w:val="0"/>
      <w:spacing w:line="187" w:lineRule="atLeast"/>
    </w:pPr>
    <w:rPr>
      <w:rFonts w:ascii="Minion Pro" w:hAnsi="Minion Pro"/>
      <w:szCs w:val="24"/>
    </w:rPr>
  </w:style>
  <w:style w:type="character" w:customStyle="1" w:styleId="A9">
    <w:name w:val="A9"/>
    <w:uiPriority w:val="99"/>
    <w:rsid w:val="001011B8"/>
    <w:rPr>
      <w:rFonts w:cs="Minion Pro"/>
      <w:color w:val="000000"/>
      <w:sz w:val="11"/>
      <w:szCs w:val="11"/>
    </w:rPr>
  </w:style>
  <w:style w:type="character" w:customStyle="1" w:styleId="A4">
    <w:name w:val="A4"/>
    <w:uiPriority w:val="99"/>
    <w:rsid w:val="001011B8"/>
    <w:rPr>
      <w:rFonts w:cs="Minion Pro"/>
      <w:color w:val="000000"/>
      <w:sz w:val="11"/>
      <w:szCs w:val="11"/>
    </w:rPr>
  </w:style>
  <w:style w:type="paragraph" w:customStyle="1" w:styleId="Pa7">
    <w:name w:val="Pa7"/>
    <w:basedOn w:val="Normal"/>
    <w:next w:val="Normal"/>
    <w:uiPriority w:val="99"/>
    <w:rsid w:val="001011B8"/>
    <w:pPr>
      <w:autoSpaceDE w:val="0"/>
      <w:autoSpaceDN w:val="0"/>
      <w:adjustRightInd w:val="0"/>
      <w:spacing w:line="187" w:lineRule="atLeast"/>
    </w:pPr>
    <w:rPr>
      <w:rFonts w:ascii="Minion Pro" w:hAnsi="Minion Pro"/>
      <w:szCs w:val="24"/>
    </w:rPr>
  </w:style>
  <w:style w:type="numbering" w:customStyle="1" w:styleId="Style1">
    <w:name w:val="Style1"/>
    <w:uiPriority w:val="99"/>
    <w:rsid w:val="001011B8"/>
    <w:pPr>
      <w:numPr>
        <w:numId w:val="5"/>
      </w:numPr>
    </w:pPr>
  </w:style>
  <w:style w:type="paragraph" w:customStyle="1" w:styleId="TAMainText">
    <w:name w:val="TA_Main_Text"/>
    <w:basedOn w:val="Normal"/>
    <w:autoRedefine/>
    <w:uiPriority w:val="99"/>
    <w:rsid w:val="001011B8"/>
    <w:pPr>
      <w:spacing w:after="60" w:line="240" w:lineRule="auto"/>
      <w:ind w:firstLine="180"/>
    </w:pPr>
    <w:rPr>
      <w:rFonts w:ascii="Arno Pro" w:hAnsi="Arno Pro"/>
      <w:kern w:val="21"/>
      <w:sz w:val="18"/>
      <w:lang w:val="en-US"/>
    </w:rPr>
  </w:style>
  <w:style w:type="paragraph" w:styleId="TOC1">
    <w:name w:val="toc 1"/>
    <w:basedOn w:val="Normal"/>
    <w:next w:val="Normal"/>
    <w:autoRedefine/>
    <w:uiPriority w:val="39"/>
    <w:unhideWhenUsed/>
    <w:rsid w:val="001011B8"/>
    <w:pPr>
      <w:spacing w:after="100"/>
    </w:pPr>
  </w:style>
  <w:style w:type="paragraph" w:styleId="TOC2">
    <w:name w:val="toc 2"/>
    <w:basedOn w:val="Normal"/>
    <w:next w:val="Normal"/>
    <w:autoRedefine/>
    <w:uiPriority w:val="39"/>
    <w:unhideWhenUsed/>
    <w:rsid w:val="001011B8"/>
    <w:pPr>
      <w:spacing w:after="100"/>
      <w:ind w:left="240"/>
    </w:pPr>
  </w:style>
  <w:style w:type="paragraph" w:styleId="TOC3">
    <w:name w:val="toc 3"/>
    <w:basedOn w:val="Normal"/>
    <w:next w:val="Normal"/>
    <w:autoRedefine/>
    <w:uiPriority w:val="39"/>
    <w:unhideWhenUsed/>
    <w:rsid w:val="001011B8"/>
    <w:pPr>
      <w:spacing w:after="100"/>
      <w:ind w:left="480"/>
    </w:pPr>
  </w:style>
  <w:style w:type="paragraph" w:styleId="Header">
    <w:name w:val="header"/>
    <w:basedOn w:val="Normal"/>
    <w:link w:val="HeaderChar"/>
    <w:uiPriority w:val="99"/>
    <w:unhideWhenUsed/>
    <w:rsid w:val="001011B8"/>
    <w:pPr>
      <w:tabs>
        <w:tab w:val="center" w:pos="4513"/>
        <w:tab w:val="right" w:pos="9026"/>
      </w:tabs>
    </w:pPr>
  </w:style>
  <w:style w:type="character" w:customStyle="1" w:styleId="HeaderChar">
    <w:name w:val="Header Char"/>
    <w:basedOn w:val="DefaultParagraphFont"/>
    <w:link w:val="Header"/>
    <w:uiPriority w:val="99"/>
    <w:rsid w:val="001011B8"/>
    <w:rPr>
      <w:rFonts w:ascii="Times New Roman" w:eastAsia="Times New Roman" w:hAnsi="Times New Roman"/>
      <w:sz w:val="24"/>
    </w:rPr>
  </w:style>
  <w:style w:type="paragraph" w:styleId="Footer">
    <w:name w:val="footer"/>
    <w:basedOn w:val="Normal"/>
    <w:link w:val="FooterChar"/>
    <w:uiPriority w:val="99"/>
    <w:unhideWhenUsed/>
    <w:rsid w:val="001011B8"/>
    <w:pPr>
      <w:tabs>
        <w:tab w:val="center" w:pos="4513"/>
        <w:tab w:val="right" w:pos="9026"/>
      </w:tabs>
    </w:pPr>
  </w:style>
  <w:style w:type="character" w:customStyle="1" w:styleId="FooterChar">
    <w:name w:val="Footer Char"/>
    <w:basedOn w:val="DefaultParagraphFont"/>
    <w:link w:val="Footer"/>
    <w:uiPriority w:val="99"/>
    <w:rsid w:val="001011B8"/>
    <w:rPr>
      <w:rFonts w:ascii="Times New Roman" w:eastAsia="Times New Roman" w:hAnsi="Times New Roman"/>
      <w:sz w:val="24"/>
    </w:rPr>
  </w:style>
  <w:style w:type="character" w:styleId="Hyperlink">
    <w:name w:val="Hyperlink"/>
    <w:basedOn w:val="DefaultParagraphFont"/>
    <w:uiPriority w:val="99"/>
    <w:unhideWhenUsed/>
    <w:rsid w:val="001011B8"/>
    <w:rPr>
      <w:color w:val="0000FF" w:themeColor="hyperlink"/>
      <w:u w:val="single"/>
    </w:rPr>
  </w:style>
  <w:style w:type="character" w:styleId="FollowedHyperlink">
    <w:name w:val="FollowedHyperlink"/>
    <w:basedOn w:val="DefaultParagraphFont"/>
    <w:uiPriority w:val="99"/>
    <w:semiHidden/>
    <w:unhideWhenUsed/>
    <w:rsid w:val="001011B8"/>
    <w:rPr>
      <w:color w:val="800080" w:themeColor="followedHyperlink"/>
      <w:u w:val="single"/>
    </w:rPr>
  </w:style>
  <w:style w:type="paragraph" w:styleId="NormalWeb">
    <w:name w:val="Normal (Web)"/>
    <w:basedOn w:val="Normal"/>
    <w:uiPriority w:val="99"/>
    <w:unhideWhenUsed/>
    <w:rsid w:val="001011B8"/>
    <w:pPr>
      <w:spacing w:before="100" w:beforeAutospacing="1" w:after="100" w:afterAutospacing="1"/>
    </w:pPr>
    <w:rPr>
      <w:rFonts w:eastAsiaTheme="minorEastAsia"/>
      <w:szCs w:val="24"/>
      <w:lang w:eastAsia="en-GB"/>
    </w:rPr>
  </w:style>
  <w:style w:type="table" w:styleId="TableGrid">
    <w:name w:val="Table Grid"/>
    <w:basedOn w:val="TableNormal"/>
    <w:uiPriority w:val="59"/>
    <w:rsid w:val="00101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PlaceholderText">
    <w:name w:val="Placeholder Text"/>
    <w:basedOn w:val="DefaultParagraphFont"/>
    <w:uiPriority w:val="99"/>
    <w:semiHidden/>
    <w:rsid w:val="001011B8"/>
    <w:rPr>
      <w:color w:val="808080"/>
    </w:rPr>
  </w:style>
  <w:style w:type="table" w:styleId="LightShading">
    <w:name w:val="Light Shading"/>
    <w:basedOn w:val="TableNormal"/>
    <w:uiPriority w:val="60"/>
    <w:rsid w:val="001011B8"/>
    <w:rPr>
      <w:color w:val="000000" w:themeColor="text1" w:themeShade="BF"/>
    </w:rPr>
    <w:tblPr>
      <w:tblStyleRowBandSize w:val="1"/>
      <w:tblStyleColBandSize w:val="1"/>
      <w:tblBorders>
        <w:top w:val="single" w:sz="8" w:space="0" w:color="000000" w:themeColor="text1"/>
        <w:bottom w:val="single" w:sz="8" w:space="0" w:color="000000" w:themeColor="text1"/>
      </w:tblBorders>
    </w:tblPr>
    <w:trPr>
      <w:hidden/>
    </w:trPr>
    <w:tblStylePr w:type="fir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text1" w:themeFillTint="3F"/>
      </w:tcPr>
    </w:tblStylePr>
    <w:tblStylePr w:type="band1Horz">
      <w:tblPr/>
      <w:trPr>
        <w:hidden/>
      </w:trPr>
      <w:tcPr>
        <w:tcBorders>
          <w:left w:val="nil"/>
          <w:right w:val="nil"/>
          <w:insideH w:val="nil"/>
          <w:insideV w:val="nil"/>
        </w:tcBorders>
        <w:shd w:val="clear" w:color="auto" w:fill="C0C0C0" w:themeFill="text1" w:themeFillTint="3F"/>
      </w:tcPr>
    </w:tblStylePr>
  </w:style>
  <w:style w:type="character" w:styleId="IntenseReference">
    <w:name w:val="Intense Reference"/>
    <w:basedOn w:val="DefaultParagraphFont"/>
    <w:uiPriority w:val="32"/>
    <w:qFormat/>
    <w:rsid w:val="001011B8"/>
    <w:rPr>
      <w:b/>
      <w:bCs/>
      <w:smallCaps/>
      <w:color w:val="C0504D" w:themeColor="accent2"/>
      <w:spacing w:val="5"/>
      <w:u w:val="single"/>
    </w:rPr>
  </w:style>
  <w:style w:type="paragraph" w:styleId="TOCHeading">
    <w:name w:val="TOC Heading"/>
    <w:basedOn w:val="Heading1"/>
    <w:next w:val="Normal"/>
    <w:uiPriority w:val="39"/>
    <w:unhideWhenUsed/>
    <w:qFormat/>
    <w:rsid w:val="001011B8"/>
    <w:pPr>
      <w:spacing w:before="480"/>
      <w:outlineLvl w:val="9"/>
    </w:pPr>
    <w:rPr>
      <w:rFonts w:asciiTheme="majorHAnsi" w:hAnsiTheme="majorHAnsi"/>
      <w:color w:val="365F91" w:themeColor="accent1" w:themeShade="BF"/>
      <w:lang w:val="en-US" w:eastAsia="ja-JP"/>
    </w:rPr>
  </w:style>
  <w:style w:type="table" w:styleId="LightGrid">
    <w:name w:val="Light Grid"/>
    <w:basedOn w:val="TableNormal"/>
    <w:uiPriority w:val="62"/>
    <w:rsid w:val="004A54F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ommentText">
    <w:name w:val="annotation text"/>
    <w:basedOn w:val="Normal"/>
    <w:link w:val="CommentTextChar"/>
    <w:uiPriority w:val="99"/>
    <w:unhideWhenUsed/>
    <w:rsid w:val="00043E45"/>
    <w:pPr>
      <w:spacing w:line="240" w:lineRule="auto"/>
    </w:pPr>
    <w:rPr>
      <w:sz w:val="20"/>
      <w:szCs w:val="20"/>
    </w:rPr>
  </w:style>
  <w:style w:type="character" w:customStyle="1" w:styleId="CommentTextChar">
    <w:name w:val="Comment Text Char"/>
    <w:basedOn w:val="DefaultParagraphFont"/>
    <w:link w:val="CommentText"/>
    <w:uiPriority w:val="99"/>
    <w:rsid w:val="00043E45"/>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43E45"/>
    <w:rPr>
      <w:b/>
      <w:bCs/>
    </w:rPr>
  </w:style>
  <w:style w:type="character" w:customStyle="1" w:styleId="CommentSubjectChar">
    <w:name w:val="Comment Subject Char"/>
    <w:basedOn w:val="CommentTextChar"/>
    <w:link w:val="CommentSubject"/>
    <w:uiPriority w:val="99"/>
    <w:semiHidden/>
    <w:rsid w:val="00043E45"/>
    <w:rPr>
      <w:rFonts w:ascii="Times New Roman" w:eastAsia="Times New Roman" w:hAnsi="Times New Roman"/>
      <w:b/>
      <w:bCs/>
      <w:sz w:val="20"/>
      <w:szCs w:val="20"/>
    </w:rPr>
  </w:style>
  <w:style w:type="paragraph" w:styleId="Quote">
    <w:name w:val="Quote"/>
    <w:aliases w:val="EQN"/>
    <w:basedOn w:val="Normal"/>
    <w:next w:val="Normal"/>
    <w:link w:val="QuoteChar"/>
    <w:uiPriority w:val="29"/>
    <w:qFormat/>
    <w:rsid w:val="00425341"/>
    <w:pPr>
      <w:tabs>
        <w:tab w:val="center" w:pos="3969"/>
        <w:tab w:val="center" w:pos="4111"/>
        <w:tab w:val="right" w:pos="8222"/>
      </w:tabs>
      <w:jc w:val="center"/>
    </w:pPr>
    <w:rPr>
      <w:i/>
      <w:iCs/>
      <w:color w:val="000000" w:themeColor="text1"/>
    </w:rPr>
  </w:style>
  <w:style w:type="character" w:customStyle="1" w:styleId="QuoteChar">
    <w:name w:val="Quote Char"/>
    <w:aliases w:val="EQN Char"/>
    <w:basedOn w:val="DefaultParagraphFont"/>
    <w:link w:val="Quote"/>
    <w:uiPriority w:val="29"/>
    <w:rsid w:val="00425341"/>
    <w:rPr>
      <w:rFonts w:ascii="Times New Roman" w:eastAsia="Times New Roman" w:hAnsi="Times New Roman"/>
      <w:i/>
      <w:iCs/>
      <w:color w:val="000000" w:themeColor="text1"/>
      <w:sz w:val="24"/>
    </w:rPr>
  </w:style>
  <w:style w:type="paragraph" w:styleId="DocumentMap">
    <w:name w:val="Document Map"/>
    <w:basedOn w:val="Normal"/>
    <w:link w:val="DocumentMapChar"/>
    <w:uiPriority w:val="99"/>
    <w:semiHidden/>
    <w:unhideWhenUsed/>
    <w:rsid w:val="00CF7FB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7FB4"/>
    <w:rPr>
      <w:rFonts w:ascii="Tahoma" w:eastAsia="Times New Roman" w:hAnsi="Tahoma" w:cs="Tahoma"/>
      <w:sz w:val="16"/>
      <w:szCs w:val="16"/>
    </w:rPr>
  </w:style>
  <w:style w:type="character" w:customStyle="1" w:styleId="Heading4Char1">
    <w:name w:val="Heading 4 Char1"/>
    <w:aliases w:val="Title- ACS? Char1"/>
    <w:basedOn w:val="DefaultParagraphFont"/>
    <w:semiHidden/>
    <w:rsid w:val="00B00291"/>
    <w:rPr>
      <w:rFonts w:asciiTheme="majorHAnsi" w:eastAsiaTheme="majorEastAsia" w:hAnsiTheme="majorHAnsi" w:cstheme="majorBidi"/>
      <w:i/>
      <w:iCs/>
      <w:color w:val="365F91" w:themeColor="accent1" w:themeShade="BF"/>
      <w:sz w:val="24"/>
      <w:szCs w:val="22"/>
    </w:rPr>
  </w:style>
  <w:style w:type="paragraph" w:customStyle="1" w:styleId="msonormal0">
    <w:name w:val="msonormal"/>
    <w:basedOn w:val="Normal"/>
    <w:uiPriority w:val="99"/>
    <w:rsid w:val="00B00291"/>
    <w:pPr>
      <w:spacing w:before="100" w:beforeAutospacing="1" w:after="100" w:afterAutospacing="1"/>
    </w:pPr>
    <w:rPr>
      <w:rFonts w:eastAsiaTheme="minorEastAsia"/>
      <w:szCs w:val="24"/>
      <w:lang w:eastAsia="en-GB"/>
    </w:rPr>
  </w:style>
  <w:style w:type="character" w:customStyle="1" w:styleId="QuoteChar1">
    <w:name w:val="Quote Char1"/>
    <w:aliases w:val="EQN Char1"/>
    <w:basedOn w:val="DefaultParagraphFont"/>
    <w:uiPriority w:val="29"/>
    <w:rsid w:val="00B00291"/>
    <w:rPr>
      <w:rFonts w:ascii="Times New Roman" w:eastAsia="Times New Roman" w:hAnsi="Times New Roman"/>
      <w:i/>
      <w:iCs/>
      <w:color w:val="404040" w:themeColor="text1" w:themeTint="BF"/>
      <w:sz w:val="24"/>
    </w:rPr>
  </w:style>
  <w:style w:type="paragraph" w:customStyle="1" w:styleId="BBAuthorName">
    <w:name w:val="BB_Author_Name"/>
    <w:basedOn w:val="Normal"/>
    <w:next w:val="BCAuthorAddress"/>
    <w:autoRedefine/>
    <w:rsid w:val="00286341"/>
    <w:pPr>
      <w:spacing w:after="180" w:line="240" w:lineRule="auto"/>
      <w:jc w:val="left"/>
    </w:pPr>
    <w:rPr>
      <w:rFonts w:ascii="Arno Pro" w:hAnsi="Arno Pro" w:cs="Times New Roman"/>
      <w:kern w:val="26"/>
      <w:szCs w:val="20"/>
      <w:lang w:val="en-US"/>
    </w:rPr>
  </w:style>
  <w:style w:type="paragraph" w:customStyle="1" w:styleId="BCAuthorAddress">
    <w:name w:val="BC_Author_Address"/>
    <w:basedOn w:val="Normal"/>
    <w:next w:val="Normal"/>
    <w:autoRedefine/>
    <w:rsid w:val="00286341"/>
    <w:pPr>
      <w:spacing w:after="60" w:line="240" w:lineRule="auto"/>
      <w:jc w:val="left"/>
    </w:pPr>
    <w:rPr>
      <w:rFonts w:ascii="Arno Pro" w:hAnsi="Arno Pro" w:cs="Times New Roman"/>
      <w:kern w:val="22"/>
      <w:sz w:val="20"/>
      <w:szCs w:val="20"/>
      <w:lang w:val="en-US"/>
    </w:rPr>
  </w:style>
  <w:style w:type="table" w:styleId="GridTable2">
    <w:name w:val="Grid Table 2"/>
    <w:basedOn w:val="TableNormal"/>
    <w:uiPriority w:val="47"/>
    <w:rsid w:val="004B221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rPr>
      <w:hidden/>
    </w:trPr>
    <w:tblStylePr w:type="firstRow">
      <w:rPr>
        <w:b/>
        <w:bCs/>
      </w:rPr>
      <w:tblPr/>
      <w:trPr>
        <w:hidden/>
      </w:tr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rPr>
        <w:hidden/>
      </w:tr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9963">
      <w:bodyDiv w:val="1"/>
      <w:marLeft w:val="0"/>
      <w:marRight w:val="0"/>
      <w:marTop w:val="0"/>
      <w:marBottom w:val="0"/>
      <w:divBdr>
        <w:top w:val="none" w:sz="0" w:space="0" w:color="auto"/>
        <w:left w:val="none" w:sz="0" w:space="0" w:color="auto"/>
        <w:bottom w:val="none" w:sz="0" w:space="0" w:color="auto"/>
        <w:right w:val="none" w:sz="0" w:space="0" w:color="auto"/>
      </w:divBdr>
    </w:div>
    <w:div w:id="63916780">
      <w:bodyDiv w:val="1"/>
      <w:marLeft w:val="0"/>
      <w:marRight w:val="0"/>
      <w:marTop w:val="0"/>
      <w:marBottom w:val="0"/>
      <w:divBdr>
        <w:top w:val="none" w:sz="0" w:space="0" w:color="auto"/>
        <w:left w:val="none" w:sz="0" w:space="0" w:color="auto"/>
        <w:bottom w:val="none" w:sz="0" w:space="0" w:color="auto"/>
        <w:right w:val="none" w:sz="0" w:space="0" w:color="auto"/>
      </w:divBdr>
    </w:div>
    <w:div w:id="72942433">
      <w:bodyDiv w:val="1"/>
      <w:marLeft w:val="0"/>
      <w:marRight w:val="0"/>
      <w:marTop w:val="0"/>
      <w:marBottom w:val="0"/>
      <w:divBdr>
        <w:top w:val="none" w:sz="0" w:space="0" w:color="auto"/>
        <w:left w:val="none" w:sz="0" w:space="0" w:color="auto"/>
        <w:bottom w:val="none" w:sz="0" w:space="0" w:color="auto"/>
        <w:right w:val="none" w:sz="0" w:space="0" w:color="auto"/>
      </w:divBdr>
    </w:div>
    <w:div w:id="124469377">
      <w:bodyDiv w:val="1"/>
      <w:marLeft w:val="0"/>
      <w:marRight w:val="0"/>
      <w:marTop w:val="0"/>
      <w:marBottom w:val="0"/>
      <w:divBdr>
        <w:top w:val="none" w:sz="0" w:space="0" w:color="auto"/>
        <w:left w:val="none" w:sz="0" w:space="0" w:color="auto"/>
        <w:bottom w:val="none" w:sz="0" w:space="0" w:color="auto"/>
        <w:right w:val="none" w:sz="0" w:space="0" w:color="auto"/>
      </w:divBdr>
    </w:div>
    <w:div w:id="208348763">
      <w:bodyDiv w:val="1"/>
      <w:marLeft w:val="0"/>
      <w:marRight w:val="0"/>
      <w:marTop w:val="0"/>
      <w:marBottom w:val="0"/>
      <w:divBdr>
        <w:top w:val="none" w:sz="0" w:space="0" w:color="auto"/>
        <w:left w:val="none" w:sz="0" w:space="0" w:color="auto"/>
        <w:bottom w:val="none" w:sz="0" w:space="0" w:color="auto"/>
        <w:right w:val="none" w:sz="0" w:space="0" w:color="auto"/>
      </w:divBdr>
    </w:div>
    <w:div w:id="219021632">
      <w:bodyDiv w:val="1"/>
      <w:marLeft w:val="0"/>
      <w:marRight w:val="0"/>
      <w:marTop w:val="0"/>
      <w:marBottom w:val="0"/>
      <w:divBdr>
        <w:top w:val="none" w:sz="0" w:space="0" w:color="auto"/>
        <w:left w:val="none" w:sz="0" w:space="0" w:color="auto"/>
        <w:bottom w:val="none" w:sz="0" w:space="0" w:color="auto"/>
        <w:right w:val="none" w:sz="0" w:space="0" w:color="auto"/>
      </w:divBdr>
    </w:div>
    <w:div w:id="237790441">
      <w:bodyDiv w:val="1"/>
      <w:marLeft w:val="0"/>
      <w:marRight w:val="0"/>
      <w:marTop w:val="0"/>
      <w:marBottom w:val="0"/>
      <w:divBdr>
        <w:top w:val="none" w:sz="0" w:space="0" w:color="auto"/>
        <w:left w:val="none" w:sz="0" w:space="0" w:color="auto"/>
        <w:bottom w:val="none" w:sz="0" w:space="0" w:color="auto"/>
        <w:right w:val="none" w:sz="0" w:space="0" w:color="auto"/>
      </w:divBdr>
    </w:div>
    <w:div w:id="273754530">
      <w:bodyDiv w:val="1"/>
      <w:marLeft w:val="0"/>
      <w:marRight w:val="0"/>
      <w:marTop w:val="0"/>
      <w:marBottom w:val="0"/>
      <w:divBdr>
        <w:top w:val="none" w:sz="0" w:space="0" w:color="auto"/>
        <w:left w:val="none" w:sz="0" w:space="0" w:color="auto"/>
        <w:bottom w:val="none" w:sz="0" w:space="0" w:color="auto"/>
        <w:right w:val="none" w:sz="0" w:space="0" w:color="auto"/>
      </w:divBdr>
    </w:div>
    <w:div w:id="275524240">
      <w:bodyDiv w:val="1"/>
      <w:marLeft w:val="0"/>
      <w:marRight w:val="0"/>
      <w:marTop w:val="0"/>
      <w:marBottom w:val="0"/>
      <w:divBdr>
        <w:top w:val="none" w:sz="0" w:space="0" w:color="auto"/>
        <w:left w:val="none" w:sz="0" w:space="0" w:color="auto"/>
        <w:bottom w:val="none" w:sz="0" w:space="0" w:color="auto"/>
        <w:right w:val="none" w:sz="0" w:space="0" w:color="auto"/>
      </w:divBdr>
    </w:div>
    <w:div w:id="333337263">
      <w:bodyDiv w:val="1"/>
      <w:marLeft w:val="0"/>
      <w:marRight w:val="0"/>
      <w:marTop w:val="0"/>
      <w:marBottom w:val="0"/>
      <w:divBdr>
        <w:top w:val="none" w:sz="0" w:space="0" w:color="auto"/>
        <w:left w:val="none" w:sz="0" w:space="0" w:color="auto"/>
        <w:bottom w:val="none" w:sz="0" w:space="0" w:color="auto"/>
        <w:right w:val="none" w:sz="0" w:space="0" w:color="auto"/>
      </w:divBdr>
    </w:div>
    <w:div w:id="597371678">
      <w:bodyDiv w:val="1"/>
      <w:marLeft w:val="0"/>
      <w:marRight w:val="0"/>
      <w:marTop w:val="0"/>
      <w:marBottom w:val="0"/>
      <w:divBdr>
        <w:top w:val="none" w:sz="0" w:space="0" w:color="auto"/>
        <w:left w:val="none" w:sz="0" w:space="0" w:color="auto"/>
        <w:bottom w:val="none" w:sz="0" w:space="0" w:color="auto"/>
        <w:right w:val="none" w:sz="0" w:space="0" w:color="auto"/>
      </w:divBdr>
    </w:div>
    <w:div w:id="664554282">
      <w:bodyDiv w:val="1"/>
      <w:marLeft w:val="0"/>
      <w:marRight w:val="0"/>
      <w:marTop w:val="0"/>
      <w:marBottom w:val="0"/>
      <w:divBdr>
        <w:top w:val="none" w:sz="0" w:space="0" w:color="auto"/>
        <w:left w:val="none" w:sz="0" w:space="0" w:color="auto"/>
        <w:bottom w:val="none" w:sz="0" w:space="0" w:color="auto"/>
        <w:right w:val="none" w:sz="0" w:space="0" w:color="auto"/>
      </w:divBdr>
    </w:div>
    <w:div w:id="665742444">
      <w:bodyDiv w:val="1"/>
      <w:marLeft w:val="0"/>
      <w:marRight w:val="0"/>
      <w:marTop w:val="0"/>
      <w:marBottom w:val="0"/>
      <w:divBdr>
        <w:top w:val="none" w:sz="0" w:space="0" w:color="auto"/>
        <w:left w:val="none" w:sz="0" w:space="0" w:color="auto"/>
        <w:bottom w:val="none" w:sz="0" w:space="0" w:color="auto"/>
        <w:right w:val="none" w:sz="0" w:space="0" w:color="auto"/>
      </w:divBdr>
    </w:div>
    <w:div w:id="708066153">
      <w:bodyDiv w:val="1"/>
      <w:marLeft w:val="0"/>
      <w:marRight w:val="0"/>
      <w:marTop w:val="0"/>
      <w:marBottom w:val="0"/>
      <w:divBdr>
        <w:top w:val="none" w:sz="0" w:space="0" w:color="auto"/>
        <w:left w:val="none" w:sz="0" w:space="0" w:color="auto"/>
        <w:bottom w:val="none" w:sz="0" w:space="0" w:color="auto"/>
        <w:right w:val="none" w:sz="0" w:space="0" w:color="auto"/>
      </w:divBdr>
    </w:div>
    <w:div w:id="722489758">
      <w:bodyDiv w:val="1"/>
      <w:marLeft w:val="0"/>
      <w:marRight w:val="0"/>
      <w:marTop w:val="0"/>
      <w:marBottom w:val="0"/>
      <w:divBdr>
        <w:top w:val="none" w:sz="0" w:space="0" w:color="auto"/>
        <w:left w:val="none" w:sz="0" w:space="0" w:color="auto"/>
        <w:bottom w:val="none" w:sz="0" w:space="0" w:color="auto"/>
        <w:right w:val="none" w:sz="0" w:space="0" w:color="auto"/>
      </w:divBdr>
    </w:div>
    <w:div w:id="737946480">
      <w:bodyDiv w:val="1"/>
      <w:marLeft w:val="0"/>
      <w:marRight w:val="0"/>
      <w:marTop w:val="0"/>
      <w:marBottom w:val="0"/>
      <w:divBdr>
        <w:top w:val="none" w:sz="0" w:space="0" w:color="auto"/>
        <w:left w:val="none" w:sz="0" w:space="0" w:color="auto"/>
        <w:bottom w:val="none" w:sz="0" w:space="0" w:color="auto"/>
        <w:right w:val="none" w:sz="0" w:space="0" w:color="auto"/>
      </w:divBdr>
    </w:div>
    <w:div w:id="750128524">
      <w:bodyDiv w:val="1"/>
      <w:marLeft w:val="0"/>
      <w:marRight w:val="0"/>
      <w:marTop w:val="0"/>
      <w:marBottom w:val="0"/>
      <w:divBdr>
        <w:top w:val="none" w:sz="0" w:space="0" w:color="auto"/>
        <w:left w:val="none" w:sz="0" w:space="0" w:color="auto"/>
        <w:bottom w:val="none" w:sz="0" w:space="0" w:color="auto"/>
        <w:right w:val="none" w:sz="0" w:space="0" w:color="auto"/>
      </w:divBdr>
    </w:div>
    <w:div w:id="772825167">
      <w:bodyDiv w:val="1"/>
      <w:marLeft w:val="0"/>
      <w:marRight w:val="0"/>
      <w:marTop w:val="0"/>
      <w:marBottom w:val="0"/>
      <w:divBdr>
        <w:top w:val="none" w:sz="0" w:space="0" w:color="auto"/>
        <w:left w:val="none" w:sz="0" w:space="0" w:color="auto"/>
        <w:bottom w:val="none" w:sz="0" w:space="0" w:color="auto"/>
        <w:right w:val="none" w:sz="0" w:space="0" w:color="auto"/>
      </w:divBdr>
    </w:div>
    <w:div w:id="1003512383">
      <w:bodyDiv w:val="1"/>
      <w:marLeft w:val="0"/>
      <w:marRight w:val="0"/>
      <w:marTop w:val="0"/>
      <w:marBottom w:val="0"/>
      <w:divBdr>
        <w:top w:val="none" w:sz="0" w:space="0" w:color="auto"/>
        <w:left w:val="none" w:sz="0" w:space="0" w:color="auto"/>
        <w:bottom w:val="none" w:sz="0" w:space="0" w:color="auto"/>
        <w:right w:val="none" w:sz="0" w:space="0" w:color="auto"/>
      </w:divBdr>
    </w:div>
    <w:div w:id="1011758930">
      <w:bodyDiv w:val="1"/>
      <w:marLeft w:val="0"/>
      <w:marRight w:val="0"/>
      <w:marTop w:val="0"/>
      <w:marBottom w:val="0"/>
      <w:divBdr>
        <w:top w:val="none" w:sz="0" w:space="0" w:color="auto"/>
        <w:left w:val="none" w:sz="0" w:space="0" w:color="auto"/>
        <w:bottom w:val="none" w:sz="0" w:space="0" w:color="auto"/>
        <w:right w:val="none" w:sz="0" w:space="0" w:color="auto"/>
      </w:divBdr>
    </w:div>
    <w:div w:id="1025591510">
      <w:bodyDiv w:val="1"/>
      <w:marLeft w:val="0"/>
      <w:marRight w:val="0"/>
      <w:marTop w:val="0"/>
      <w:marBottom w:val="0"/>
      <w:divBdr>
        <w:top w:val="none" w:sz="0" w:space="0" w:color="auto"/>
        <w:left w:val="none" w:sz="0" w:space="0" w:color="auto"/>
        <w:bottom w:val="none" w:sz="0" w:space="0" w:color="auto"/>
        <w:right w:val="none" w:sz="0" w:space="0" w:color="auto"/>
      </w:divBdr>
    </w:div>
    <w:div w:id="1075934512">
      <w:bodyDiv w:val="1"/>
      <w:marLeft w:val="0"/>
      <w:marRight w:val="0"/>
      <w:marTop w:val="0"/>
      <w:marBottom w:val="0"/>
      <w:divBdr>
        <w:top w:val="none" w:sz="0" w:space="0" w:color="auto"/>
        <w:left w:val="none" w:sz="0" w:space="0" w:color="auto"/>
        <w:bottom w:val="none" w:sz="0" w:space="0" w:color="auto"/>
        <w:right w:val="none" w:sz="0" w:space="0" w:color="auto"/>
      </w:divBdr>
    </w:div>
    <w:div w:id="1126119536">
      <w:bodyDiv w:val="1"/>
      <w:marLeft w:val="0"/>
      <w:marRight w:val="0"/>
      <w:marTop w:val="0"/>
      <w:marBottom w:val="0"/>
      <w:divBdr>
        <w:top w:val="none" w:sz="0" w:space="0" w:color="auto"/>
        <w:left w:val="none" w:sz="0" w:space="0" w:color="auto"/>
        <w:bottom w:val="none" w:sz="0" w:space="0" w:color="auto"/>
        <w:right w:val="none" w:sz="0" w:space="0" w:color="auto"/>
      </w:divBdr>
    </w:div>
    <w:div w:id="1128662838">
      <w:bodyDiv w:val="1"/>
      <w:marLeft w:val="0"/>
      <w:marRight w:val="0"/>
      <w:marTop w:val="0"/>
      <w:marBottom w:val="0"/>
      <w:divBdr>
        <w:top w:val="none" w:sz="0" w:space="0" w:color="auto"/>
        <w:left w:val="none" w:sz="0" w:space="0" w:color="auto"/>
        <w:bottom w:val="none" w:sz="0" w:space="0" w:color="auto"/>
        <w:right w:val="none" w:sz="0" w:space="0" w:color="auto"/>
      </w:divBdr>
    </w:div>
    <w:div w:id="1189679981">
      <w:bodyDiv w:val="1"/>
      <w:marLeft w:val="0"/>
      <w:marRight w:val="0"/>
      <w:marTop w:val="0"/>
      <w:marBottom w:val="0"/>
      <w:divBdr>
        <w:top w:val="none" w:sz="0" w:space="0" w:color="auto"/>
        <w:left w:val="none" w:sz="0" w:space="0" w:color="auto"/>
        <w:bottom w:val="none" w:sz="0" w:space="0" w:color="auto"/>
        <w:right w:val="none" w:sz="0" w:space="0" w:color="auto"/>
      </w:divBdr>
    </w:div>
    <w:div w:id="1342273609">
      <w:bodyDiv w:val="1"/>
      <w:marLeft w:val="0"/>
      <w:marRight w:val="0"/>
      <w:marTop w:val="0"/>
      <w:marBottom w:val="0"/>
      <w:divBdr>
        <w:top w:val="none" w:sz="0" w:space="0" w:color="auto"/>
        <w:left w:val="none" w:sz="0" w:space="0" w:color="auto"/>
        <w:bottom w:val="none" w:sz="0" w:space="0" w:color="auto"/>
        <w:right w:val="none" w:sz="0" w:space="0" w:color="auto"/>
      </w:divBdr>
    </w:div>
    <w:div w:id="1383557186">
      <w:bodyDiv w:val="1"/>
      <w:marLeft w:val="0"/>
      <w:marRight w:val="0"/>
      <w:marTop w:val="0"/>
      <w:marBottom w:val="0"/>
      <w:divBdr>
        <w:top w:val="none" w:sz="0" w:space="0" w:color="auto"/>
        <w:left w:val="none" w:sz="0" w:space="0" w:color="auto"/>
        <w:bottom w:val="none" w:sz="0" w:space="0" w:color="auto"/>
        <w:right w:val="none" w:sz="0" w:space="0" w:color="auto"/>
      </w:divBdr>
    </w:div>
    <w:div w:id="1412464336">
      <w:bodyDiv w:val="1"/>
      <w:marLeft w:val="0"/>
      <w:marRight w:val="0"/>
      <w:marTop w:val="0"/>
      <w:marBottom w:val="0"/>
      <w:divBdr>
        <w:top w:val="none" w:sz="0" w:space="0" w:color="auto"/>
        <w:left w:val="none" w:sz="0" w:space="0" w:color="auto"/>
        <w:bottom w:val="none" w:sz="0" w:space="0" w:color="auto"/>
        <w:right w:val="none" w:sz="0" w:space="0" w:color="auto"/>
      </w:divBdr>
    </w:div>
    <w:div w:id="1477382348">
      <w:bodyDiv w:val="1"/>
      <w:marLeft w:val="0"/>
      <w:marRight w:val="0"/>
      <w:marTop w:val="0"/>
      <w:marBottom w:val="0"/>
      <w:divBdr>
        <w:top w:val="none" w:sz="0" w:space="0" w:color="auto"/>
        <w:left w:val="none" w:sz="0" w:space="0" w:color="auto"/>
        <w:bottom w:val="none" w:sz="0" w:space="0" w:color="auto"/>
        <w:right w:val="none" w:sz="0" w:space="0" w:color="auto"/>
      </w:divBdr>
    </w:div>
    <w:div w:id="1481774818">
      <w:bodyDiv w:val="1"/>
      <w:marLeft w:val="0"/>
      <w:marRight w:val="0"/>
      <w:marTop w:val="0"/>
      <w:marBottom w:val="0"/>
      <w:divBdr>
        <w:top w:val="none" w:sz="0" w:space="0" w:color="auto"/>
        <w:left w:val="none" w:sz="0" w:space="0" w:color="auto"/>
        <w:bottom w:val="none" w:sz="0" w:space="0" w:color="auto"/>
        <w:right w:val="none" w:sz="0" w:space="0" w:color="auto"/>
      </w:divBdr>
    </w:div>
    <w:div w:id="1521431407">
      <w:bodyDiv w:val="1"/>
      <w:marLeft w:val="0"/>
      <w:marRight w:val="0"/>
      <w:marTop w:val="0"/>
      <w:marBottom w:val="0"/>
      <w:divBdr>
        <w:top w:val="none" w:sz="0" w:space="0" w:color="auto"/>
        <w:left w:val="none" w:sz="0" w:space="0" w:color="auto"/>
        <w:bottom w:val="none" w:sz="0" w:space="0" w:color="auto"/>
        <w:right w:val="none" w:sz="0" w:space="0" w:color="auto"/>
      </w:divBdr>
    </w:div>
    <w:div w:id="1545601404">
      <w:bodyDiv w:val="1"/>
      <w:marLeft w:val="0"/>
      <w:marRight w:val="0"/>
      <w:marTop w:val="0"/>
      <w:marBottom w:val="0"/>
      <w:divBdr>
        <w:top w:val="none" w:sz="0" w:space="0" w:color="auto"/>
        <w:left w:val="none" w:sz="0" w:space="0" w:color="auto"/>
        <w:bottom w:val="none" w:sz="0" w:space="0" w:color="auto"/>
        <w:right w:val="none" w:sz="0" w:space="0" w:color="auto"/>
      </w:divBdr>
    </w:div>
    <w:div w:id="1569224212">
      <w:bodyDiv w:val="1"/>
      <w:marLeft w:val="0"/>
      <w:marRight w:val="0"/>
      <w:marTop w:val="0"/>
      <w:marBottom w:val="0"/>
      <w:divBdr>
        <w:top w:val="none" w:sz="0" w:space="0" w:color="auto"/>
        <w:left w:val="none" w:sz="0" w:space="0" w:color="auto"/>
        <w:bottom w:val="none" w:sz="0" w:space="0" w:color="auto"/>
        <w:right w:val="none" w:sz="0" w:space="0" w:color="auto"/>
      </w:divBdr>
    </w:div>
    <w:div w:id="1586769386">
      <w:bodyDiv w:val="1"/>
      <w:marLeft w:val="0"/>
      <w:marRight w:val="0"/>
      <w:marTop w:val="0"/>
      <w:marBottom w:val="0"/>
      <w:divBdr>
        <w:top w:val="none" w:sz="0" w:space="0" w:color="auto"/>
        <w:left w:val="none" w:sz="0" w:space="0" w:color="auto"/>
        <w:bottom w:val="none" w:sz="0" w:space="0" w:color="auto"/>
        <w:right w:val="none" w:sz="0" w:space="0" w:color="auto"/>
      </w:divBdr>
    </w:div>
    <w:div w:id="1592664425">
      <w:bodyDiv w:val="1"/>
      <w:marLeft w:val="0"/>
      <w:marRight w:val="0"/>
      <w:marTop w:val="0"/>
      <w:marBottom w:val="0"/>
      <w:divBdr>
        <w:top w:val="none" w:sz="0" w:space="0" w:color="auto"/>
        <w:left w:val="none" w:sz="0" w:space="0" w:color="auto"/>
        <w:bottom w:val="none" w:sz="0" w:space="0" w:color="auto"/>
        <w:right w:val="none" w:sz="0" w:space="0" w:color="auto"/>
      </w:divBdr>
    </w:div>
    <w:div w:id="1668940241">
      <w:bodyDiv w:val="1"/>
      <w:marLeft w:val="0"/>
      <w:marRight w:val="0"/>
      <w:marTop w:val="0"/>
      <w:marBottom w:val="0"/>
      <w:divBdr>
        <w:top w:val="none" w:sz="0" w:space="0" w:color="auto"/>
        <w:left w:val="none" w:sz="0" w:space="0" w:color="auto"/>
        <w:bottom w:val="none" w:sz="0" w:space="0" w:color="auto"/>
        <w:right w:val="none" w:sz="0" w:space="0" w:color="auto"/>
      </w:divBdr>
    </w:div>
    <w:div w:id="1707219588">
      <w:bodyDiv w:val="1"/>
      <w:marLeft w:val="0"/>
      <w:marRight w:val="0"/>
      <w:marTop w:val="0"/>
      <w:marBottom w:val="0"/>
      <w:divBdr>
        <w:top w:val="none" w:sz="0" w:space="0" w:color="auto"/>
        <w:left w:val="none" w:sz="0" w:space="0" w:color="auto"/>
        <w:bottom w:val="none" w:sz="0" w:space="0" w:color="auto"/>
        <w:right w:val="none" w:sz="0" w:space="0" w:color="auto"/>
      </w:divBdr>
    </w:div>
    <w:div w:id="1744184261">
      <w:bodyDiv w:val="1"/>
      <w:marLeft w:val="0"/>
      <w:marRight w:val="0"/>
      <w:marTop w:val="0"/>
      <w:marBottom w:val="0"/>
      <w:divBdr>
        <w:top w:val="none" w:sz="0" w:space="0" w:color="auto"/>
        <w:left w:val="none" w:sz="0" w:space="0" w:color="auto"/>
        <w:bottom w:val="none" w:sz="0" w:space="0" w:color="auto"/>
        <w:right w:val="none" w:sz="0" w:space="0" w:color="auto"/>
      </w:divBdr>
    </w:div>
    <w:div w:id="1937907563">
      <w:bodyDiv w:val="1"/>
      <w:marLeft w:val="0"/>
      <w:marRight w:val="0"/>
      <w:marTop w:val="0"/>
      <w:marBottom w:val="0"/>
      <w:divBdr>
        <w:top w:val="none" w:sz="0" w:space="0" w:color="auto"/>
        <w:left w:val="none" w:sz="0" w:space="0" w:color="auto"/>
        <w:bottom w:val="none" w:sz="0" w:space="0" w:color="auto"/>
        <w:right w:val="none" w:sz="0" w:space="0" w:color="auto"/>
      </w:divBdr>
    </w:div>
    <w:div w:id="1942255826">
      <w:bodyDiv w:val="1"/>
      <w:marLeft w:val="0"/>
      <w:marRight w:val="0"/>
      <w:marTop w:val="0"/>
      <w:marBottom w:val="0"/>
      <w:divBdr>
        <w:top w:val="none" w:sz="0" w:space="0" w:color="auto"/>
        <w:left w:val="none" w:sz="0" w:space="0" w:color="auto"/>
        <w:bottom w:val="none" w:sz="0" w:space="0" w:color="auto"/>
        <w:right w:val="none" w:sz="0" w:space="0" w:color="auto"/>
      </w:divBdr>
    </w:div>
    <w:div w:id="1946889040">
      <w:bodyDiv w:val="1"/>
      <w:marLeft w:val="0"/>
      <w:marRight w:val="0"/>
      <w:marTop w:val="0"/>
      <w:marBottom w:val="0"/>
      <w:divBdr>
        <w:top w:val="none" w:sz="0" w:space="0" w:color="auto"/>
        <w:left w:val="none" w:sz="0" w:space="0" w:color="auto"/>
        <w:bottom w:val="none" w:sz="0" w:space="0" w:color="auto"/>
        <w:right w:val="none" w:sz="0" w:space="0" w:color="auto"/>
      </w:divBdr>
    </w:div>
    <w:div w:id="2038504491">
      <w:bodyDiv w:val="1"/>
      <w:marLeft w:val="0"/>
      <w:marRight w:val="0"/>
      <w:marTop w:val="0"/>
      <w:marBottom w:val="0"/>
      <w:divBdr>
        <w:top w:val="none" w:sz="0" w:space="0" w:color="auto"/>
        <w:left w:val="none" w:sz="0" w:space="0" w:color="auto"/>
        <w:bottom w:val="none" w:sz="0" w:space="0" w:color="auto"/>
        <w:right w:val="none" w:sz="0" w:space="0" w:color="auto"/>
      </w:divBdr>
    </w:div>
    <w:div w:id="212980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10" Type="http://schemas.openxmlformats.org/officeDocument/2006/relationships/image" Target="media/image3.png"/><Relationship Id="rId19" Type="http://schemas.openxmlformats.org/officeDocument/2006/relationships/image" Target="media/image12.tif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airi\Documents\Thesi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FFF1B-3980-4598-A6A4-7C28AC56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Template>
  <TotalTime>22</TotalTime>
  <Pages>22</Pages>
  <Words>8404</Words>
  <Characters>47905</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Ruairi McGlynn</dc:creator>
  <cp:lastModifiedBy>McGlynn, Ruairi</cp:lastModifiedBy>
  <cp:revision>8</cp:revision>
  <cp:lastPrinted>2022-06-13T15:51:00Z</cp:lastPrinted>
  <dcterms:created xsi:type="dcterms:W3CDTF">2022-06-13T12:53:00Z</dcterms:created>
  <dcterms:modified xsi:type="dcterms:W3CDTF">2022-06-13T15:51:00Z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23615</vt:lpwstr>
  </property>
  <property fmtid="{D5CDD505-2E9C-101B-9397-08002B2CF9AE}" pid="3" name="WnCSubscriberId">
    <vt:lpwstr>1853</vt:lpwstr>
  </property>
  <property fmtid="{D5CDD505-2E9C-101B-9397-08002B2CF9AE}" pid="4" name="WnCOutputStyleId">
    <vt:lpwstr>856</vt:lpwstr>
  </property>
  <property fmtid="{D5CDD505-2E9C-101B-9397-08002B2CF9AE}" pid="5" name="RWProductId">
    <vt:lpwstr>WnC</vt:lpwstr>
  </property>
  <property fmtid="{D5CDD505-2E9C-101B-9397-08002B2CF9AE}" pid="6" name="WnC4Folder">
    <vt:lpwstr>Documents///Introduction(1)</vt:lpwstr>
  </property>
  <property fmtid="{D5CDD505-2E9C-101B-9397-08002B2CF9AE}" pid="7" name="Mendeley Recent Style Id 0_1">
    <vt:lpwstr>http://www.zotero.org/styles/acs-nano</vt:lpwstr>
  </property>
  <property fmtid="{D5CDD505-2E9C-101B-9397-08002B2CF9AE}" pid="8" name="Mendeley Recent Style Name 0_1">
    <vt:lpwstr>ACS Nano</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vt:lpwstr>
  </property>
  <property fmtid="{D5CDD505-2E9C-101B-9397-08002B2CF9AE}" pid="13" name="Mendeley Recent Style Id 3_1">
    <vt:lpwstr>http://www.zotero.org/styles/carbon</vt:lpwstr>
  </property>
  <property fmtid="{D5CDD505-2E9C-101B-9397-08002B2CF9AE}" pid="14" name="Mendeley Recent Style Name 3_1">
    <vt:lpwstr>Carbon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http://www.zotero.org/styles/journal-of-materials-science</vt:lpwstr>
  </property>
  <property fmtid="{D5CDD505-2E9C-101B-9397-08002B2CF9AE}" pid="22" name="Mendeley Recent Style Name 7_1">
    <vt:lpwstr>Journal of Materials Science</vt:lpwstr>
  </property>
  <property fmtid="{D5CDD505-2E9C-101B-9397-08002B2CF9AE}" pid="23" name="Mendeley Recent Style Id 8_1">
    <vt:lpwstr>http://www.zotero.org/styles/nanoscale</vt:lpwstr>
  </property>
  <property fmtid="{D5CDD505-2E9C-101B-9397-08002B2CF9AE}" pid="24" name="Mendeley Recent Style Name 8_1">
    <vt:lpwstr>Nanoscale</vt:lpwstr>
  </property>
  <property fmtid="{D5CDD505-2E9C-101B-9397-08002B2CF9AE}" pid="25" name="Mendeley Recent Style Id 9_1">
    <vt:lpwstr>http://www.zotero.org/styles/science-china-chemistry</vt:lpwstr>
  </property>
  <property fmtid="{D5CDD505-2E9C-101B-9397-08002B2CF9AE}" pid="26" name="Mendeley Recent Style Name 9_1">
    <vt:lpwstr>Science China Chemistry</vt:lpwstr>
  </property>
  <property fmtid="{D5CDD505-2E9C-101B-9397-08002B2CF9AE}" pid="27" name="Mendeley Document_1">
    <vt:lpwstr>True</vt:lpwstr>
  </property>
  <property fmtid="{D5CDD505-2E9C-101B-9397-08002B2CF9AE}" pid="28" name="Mendeley Unique User Id_1">
    <vt:lpwstr>a6828abe-77ee-3158-864f-e359ecba8869</vt:lpwstr>
  </property>
  <property fmtid="{D5CDD505-2E9C-101B-9397-08002B2CF9AE}" pid="29" name="Mendeley Citation Style_1">
    <vt:lpwstr>http://www.zotero.org/styles/carbon</vt:lpwstr>
  </property>
</Properties>
</file>