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43C41" w14:textId="77777777" w:rsidR="00B7451A" w:rsidRPr="00134BF3" w:rsidRDefault="000923F6" w:rsidP="004D7BDA">
      <w:pPr>
        <w:spacing w:line="360" w:lineRule="auto"/>
        <w:jc w:val="center"/>
        <w:rPr>
          <w:rFonts w:ascii="Times New Roman" w:eastAsia="Arial" w:hAnsi="Times New Roman" w:cs="Times New Roman"/>
          <w:b/>
          <w:sz w:val="20"/>
          <w:szCs w:val="20"/>
        </w:rPr>
      </w:pPr>
      <w:r w:rsidRPr="00134BF3">
        <w:rPr>
          <w:rFonts w:ascii="Times New Roman" w:eastAsia="Arial" w:hAnsi="Times New Roman" w:cs="Times New Roman"/>
          <w:b/>
          <w:sz w:val="20"/>
          <w:szCs w:val="20"/>
        </w:rPr>
        <w:t>Supplementary Information</w:t>
      </w:r>
    </w:p>
    <w:p w14:paraId="4DF868C6" w14:textId="77777777" w:rsidR="004D7BDA" w:rsidRPr="00134BF3" w:rsidRDefault="004D7BDA" w:rsidP="004D7BDA">
      <w:pPr>
        <w:spacing w:line="360" w:lineRule="auto"/>
        <w:jc w:val="center"/>
        <w:rPr>
          <w:rFonts w:ascii="Times New Roman" w:eastAsia="Arial" w:hAnsi="Times New Roman" w:cs="Times New Roman"/>
          <w:b/>
          <w:sz w:val="20"/>
          <w:szCs w:val="20"/>
        </w:rPr>
      </w:pPr>
    </w:p>
    <w:p w14:paraId="4DD841C8" w14:textId="77777777" w:rsidR="004D7BDA" w:rsidRPr="00134BF3" w:rsidRDefault="004D7BDA" w:rsidP="004D7BDA">
      <w:pPr>
        <w:spacing w:line="360" w:lineRule="auto"/>
        <w:jc w:val="center"/>
        <w:rPr>
          <w:rFonts w:ascii="Times New Roman" w:eastAsia="Arial" w:hAnsi="Times New Roman" w:cs="Times New Roman"/>
          <w:b/>
          <w:sz w:val="20"/>
          <w:szCs w:val="20"/>
        </w:rPr>
      </w:pPr>
      <w:r w:rsidRPr="00134BF3">
        <w:rPr>
          <w:rFonts w:ascii="Times New Roman" w:eastAsia="Arial" w:hAnsi="Times New Roman" w:cs="Times New Roman"/>
          <w:b/>
          <w:sz w:val="20"/>
          <w:szCs w:val="20"/>
        </w:rPr>
        <w:t>MoSe</w:t>
      </w:r>
      <w:r w:rsidRPr="00134BF3">
        <w:rPr>
          <w:rFonts w:ascii="Times New Roman" w:eastAsia="Arial" w:hAnsi="Times New Roman" w:cs="Times New Roman"/>
          <w:b/>
          <w:sz w:val="20"/>
          <w:szCs w:val="20"/>
          <w:vertAlign w:val="subscript"/>
        </w:rPr>
        <w:t>2</w:t>
      </w:r>
      <w:r w:rsidRPr="00134BF3">
        <w:rPr>
          <w:rFonts w:ascii="Times New Roman" w:eastAsia="Arial" w:hAnsi="Times New Roman" w:cs="Times New Roman"/>
          <w:b/>
          <w:sz w:val="20"/>
          <w:szCs w:val="20"/>
        </w:rPr>
        <w:t xml:space="preserve"> nanosheets-based electrochemical sensor for simultaneous determination of ascorbic acid, dopamine and uric acid</w:t>
      </w:r>
    </w:p>
    <w:p w14:paraId="190CDF0C" w14:textId="77777777" w:rsidR="004D7BDA" w:rsidRPr="00134BF3" w:rsidRDefault="004D7BDA" w:rsidP="004D7BDA">
      <w:pPr>
        <w:spacing w:line="360" w:lineRule="auto"/>
        <w:jc w:val="center"/>
        <w:rPr>
          <w:rFonts w:ascii="Times New Roman" w:eastAsia="Arial" w:hAnsi="Times New Roman" w:cs="Times New Roman"/>
          <w:b/>
          <w:sz w:val="20"/>
          <w:szCs w:val="20"/>
          <w:vertAlign w:val="superscript"/>
        </w:rPr>
      </w:pPr>
      <w:r w:rsidRPr="00134BF3">
        <w:rPr>
          <w:rFonts w:ascii="Times New Roman" w:eastAsia="Arial" w:hAnsi="Times New Roman" w:cs="Times New Roman"/>
          <w:b/>
          <w:sz w:val="20"/>
          <w:szCs w:val="20"/>
        </w:rPr>
        <w:t>Deniz Coban</w:t>
      </w:r>
      <w:r w:rsidRPr="00134BF3">
        <w:rPr>
          <w:rFonts w:ascii="Times New Roman" w:eastAsia="Arial" w:hAnsi="Times New Roman" w:cs="Times New Roman"/>
          <w:b/>
          <w:sz w:val="20"/>
          <w:szCs w:val="20"/>
          <w:vertAlign w:val="superscript"/>
        </w:rPr>
        <w:t>1</w:t>
      </w:r>
      <w:r w:rsidRPr="00134BF3">
        <w:rPr>
          <w:rFonts w:ascii="Times New Roman" w:eastAsia="Arial" w:hAnsi="Times New Roman" w:cs="Times New Roman"/>
          <w:b/>
          <w:sz w:val="20"/>
          <w:szCs w:val="20"/>
        </w:rPr>
        <w:t>, Yasin Tangal</w:t>
      </w:r>
      <w:r w:rsidRPr="00134BF3">
        <w:rPr>
          <w:rFonts w:ascii="Times New Roman" w:eastAsia="Arial" w:hAnsi="Times New Roman" w:cs="Times New Roman"/>
          <w:b/>
          <w:sz w:val="20"/>
          <w:szCs w:val="20"/>
          <w:vertAlign w:val="superscript"/>
        </w:rPr>
        <w:t>2</w:t>
      </w:r>
      <w:r w:rsidRPr="00134BF3">
        <w:rPr>
          <w:rFonts w:ascii="Times New Roman" w:eastAsia="Arial" w:hAnsi="Times New Roman" w:cs="Times New Roman"/>
          <w:b/>
          <w:sz w:val="20"/>
          <w:szCs w:val="20"/>
        </w:rPr>
        <w:t>, Sadik Cogal</w:t>
      </w:r>
      <w:r w:rsidRPr="00134BF3">
        <w:rPr>
          <w:rFonts w:ascii="Times New Roman" w:eastAsia="Arial" w:hAnsi="Times New Roman" w:cs="Times New Roman"/>
          <w:b/>
          <w:sz w:val="20"/>
          <w:szCs w:val="20"/>
          <w:vertAlign w:val="superscript"/>
        </w:rPr>
        <w:t>3</w:t>
      </w:r>
    </w:p>
    <w:p w14:paraId="1DD58815" w14:textId="77777777" w:rsidR="004D7BDA" w:rsidRPr="00134BF3" w:rsidRDefault="004D7BDA" w:rsidP="004D7BDA">
      <w:pPr>
        <w:spacing w:line="360" w:lineRule="auto"/>
        <w:jc w:val="center"/>
        <w:rPr>
          <w:rFonts w:ascii="Times New Roman" w:eastAsia="Arial" w:hAnsi="Times New Roman" w:cs="Times New Roman"/>
          <w:b/>
          <w:sz w:val="20"/>
          <w:szCs w:val="20"/>
        </w:rPr>
      </w:pPr>
      <w:r w:rsidRPr="00134BF3">
        <w:rPr>
          <w:rFonts w:ascii="Times New Roman" w:eastAsia="Arial" w:hAnsi="Times New Roman" w:cs="Times New Roman"/>
          <w:sz w:val="20"/>
          <w:szCs w:val="20"/>
          <w:vertAlign w:val="superscript"/>
        </w:rPr>
        <w:t>1</w:t>
      </w:r>
      <w:r w:rsidRPr="00134BF3">
        <w:rPr>
          <w:rFonts w:ascii="Times New Roman" w:eastAsia="Arial" w:hAnsi="Times New Roman" w:cs="Times New Roman"/>
          <w:sz w:val="20"/>
          <w:szCs w:val="20"/>
        </w:rPr>
        <w:t xml:space="preserve">Burdur Mehmet Akif </w:t>
      </w:r>
      <w:proofErr w:type="spellStart"/>
      <w:r w:rsidRPr="00134BF3">
        <w:rPr>
          <w:rFonts w:ascii="Times New Roman" w:eastAsia="Arial" w:hAnsi="Times New Roman" w:cs="Times New Roman"/>
          <w:sz w:val="20"/>
          <w:szCs w:val="20"/>
        </w:rPr>
        <w:t>Ersoy</w:t>
      </w:r>
      <w:proofErr w:type="spellEnd"/>
      <w:r w:rsidRPr="00134BF3">
        <w:rPr>
          <w:rFonts w:ascii="Times New Roman" w:eastAsia="Arial" w:hAnsi="Times New Roman" w:cs="Times New Roman"/>
          <w:sz w:val="20"/>
          <w:szCs w:val="20"/>
        </w:rPr>
        <w:t xml:space="preserve"> University, The Graduate School of Natural and Applied Sciences, Department of Material Technology Engineering, 15030, </w:t>
      </w:r>
      <w:proofErr w:type="spellStart"/>
      <w:r w:rsidRPr="00134BF3">
        <w:rPr>
          <w:rFonts w:ascii="Times New Roman" w:eastAsia="Arial" w:hAnsi="Times New Roman" w:cs="Times New Roman"/>
          <w:sz w:val="20"/>
          <w:szCs w:val="20"/>
        </w:rPr>
        <w:t>Burdur</w:t>
      </w:r>
      <w:proofErr w:type="spellEnd"/>
      <w:r w:rsidRPr="00134BF3">
        <w:rPr>
          <w:rFonts w:ascii="Times New Roman" w:eastAsia="Arial" w:hAnsi="Times New Roman" w:cs="Times New Roman"/>
          <w:sz w:val="20"/>
          <w:szCs w:val="20"/>
        </w:rPr>
        <w:t>, Turkey</w:t>
      </w:r>
    </w:p>
    <w:p w14:paraId="23D2545D" w14:textId="77777777" w:rsidR="004D7BDA" w:rsidRPr="00134BF3" w:rsidRDefault="004D7BDA" w:rsidP="004D7BDA">
      <w:pPr>
        <w:spacing w:line="360" w:lineRule="auto"/>
        <w:jc w:val="center"/>
        <w:rPr>
          <w:rFonts w:ascii="Times New Roman" w:eastAsia="Arial" w:hAnsi="Times New Roman" w:cs="Times New Roman"/>
          <w:sz w:val="20"/>
          <w:szCs w:val="20"/>
        </w:rPr>
      </w:pPr>
      <w:r w:rsidRPr="00134BF3">
        <w:rPr>
          <w:rFonts w:ascii="Times New Roman" w:eastAsia="Arial" w:hAnsi="Times New Roman" w:cs="Times New Roman"/>
          <w:sz w:val="20"/>
          <w:szCs w:val="20"/>
          <w:vertAlign w:val="superscript"/>
        </w:rPr>
        <w:t>2</w:t>
      </w:r>
      <w:r w:rsidRPr="00134BF3">
        <w:rPr>
          <w:rFonts w:ascii="Times New Roman" w:eastAsia="Arial" w:hAnsi="Times New Roman" w:cs="Times New Roman"/>
          <w:sz w:val="20"/>
          <w:szCs w:val="20"/>
        </w:rPr>
        <w:t xml:space="preserve">Burdur Mehmet Akif </w:t>
      </w:r>
      <w:proofErr w:type="spellStart"/>
      <w:r w:rsidRPr="00134BF3">
        <w:rPr>
          <w:rFonts w:ascii="Times New Roman" w:eastAsia="Arial" w:hAnsi="Times New Roman" w:cs="Times New Roman"/>
          <w:sz w:val="20"/>
          <w:szCs w:val="20"/>
        </w:rPr>
        <w:t>Ersoy</w:t>
      </w:r>
      <w:proofErr w:type="spellEnd"/>
      <w:r w:rsidRPr="00134BF3">
        <w:rPr>
          <w:rFonts w:ascii="Times New Roman" w:eastAsia="Arial" w:hAnsi="Times New Roman" w:cs="Times New Roman"/>
          <w:sz w:val="20"/>
          <w:szCs w:val="20"/>
        </w:rPr>
        <w:t xml:space="preserve"> University, The Graduate School of Natural and Applied Sciences, Department of Chemistry, 15030, </w:t>
      </w:r>
      <w:proofErr w:type="spellStart"/>
      <w:r w:rsidRPr="00134BF3">
        <w:rPr>
          <w:rFonts w:ascii="Times New Roman" w:eastAsia="Arial" w:hAnsi="Times New Roman" w:cs="Times New Roman"/>
          <w:sz w:val="20"/>
          <w:szCs w:val="20"/>
        </w:rPr>
        <w:t>Burdur</w:t>
      </w:r>
      <w:proofErr w:type="spellEnd"/>
      <w:r w:rsidRPr="00134BF3">
        <w:rPr>
          <w:rFonts w:ascii="Times New Roman" w:eastAsia="Arial" w:hAnsi="Times New Roman" w:cs="Times New Roman"/>
          <w:sz w:val="20"/>
          <w:szCs w:val="20"/>
        </w:rPr>
        <w:t>, Turkey</w:t>
      </w:r>
    </w:p>
    <w:p w14:paraId="56FB393E" w14:textId="77777777" w:rsidR="004D7BDA" w:rsidRPr="00134BF3" w:rsidRDefault="004D7BDA" w:rsidP="004D7BDA">
      <w:pPr>
        <w:spacing w:line="360" w:lineRule="auto"/>
        <w:jc w:val="center"/>
        <w:rPr>
          <w:rFonts w:ascii="Times New Roman" w:eastAsia="Arial" w:hAnsi="Times New Roman" w:cs="Times New Roman"/>
          <w:sz w:val="20"/>
          <w:szCs w:val="20"/>
        </w:rPr>
      </w:pPr>
      <w:r w:rsidRPr="00134BF3">
        <w:rPr>
          <w:rFonts w:ascii="Times New Roman" w:eastAsia="Arial" w:hAnsi="Times New Roman" w:cs="Times New Roman"/>
          <w:sz w:val="20"/>
          <w:szCs w:val="20"/>
          <w:vertAlign w:val="superscript"/>
        </w:rPr>
        <w:t>3</w:t>
      </w:r>
      <w:r w:rsidRPr="00134BF3">
        <w:rPr>
          <w:rFonts w:ascii="Times New Roman" w:eastAsia="Arial" w:hAnsi="Times New Roman" w:cs="Times New Roman"/>
          <w:sz w:val="20"/>
          <w:szCs w:val="20"/>
        </w:rPr>
        <w:t xml:space="preserve">Burdur Mehmet Akif </w:t>
      </w:r>
      <w:proofErr w:type="spellStart"/>
      <w:r w:rsidRPr="00134BF3">
        <w:rPr>
          <w:rFonts w:ascii="Times New Roman" w:eastAsia="Arial" w:hAnsi="Times New Roman" w:cs="Times New Roman"/>
          <w:sz w:val="20"/>
          <w:szCs w:val="20"/>
        </w:rPr>
        <w:t>Ersoy</w:t>
      </w:r>
      <w:proofErr w:type="spellEnd"/>
      <w:r w:rsidRPr="00134BF3">
        <w:rPr>
          <w:rFonts w:ascii="Times New Roman" w:eastAsia="Arial" w:hAnsi="Times New Roman" w:cs="Times New Roman"/>
          <w:sz w:val="20"/>
          <w:szCs w:val="20"/>
        </w:rPr>
        <w:t xml:space="preserve"> University, Faculty of Arts and Science, Department of Chemistry, 15030, </w:t>
      </w:r>
      <w:proofErr w:type="spellStart"/>
      <w:r w:rsidRPr="00134BF3">
        <w:rPr>
          <w:rFonts w:ascii="Times New Roman" w:eastAsia="Arial" w:hAnsi="Times New Roman" w:cs="Times New Roman"/>
          <w:sz w:val="20"/>
          <w:szCs w:val="20"/>
        </w:rPr>
        <w:t>Burdur</w:t>
      </w:r>
      <w:proofErr w:type="spellEnd"/>
      <w:r w:rsidRPr="00134BF3">
        <w:rPr>
          <w:rFonts w:ascii="Times New Roman" w:eastAsia="Arial" w:hAnsi="Times New Roman" w:cs="Times New Roman"/>
          <w:sz w:val="20"/>
          <w:szCs w:val="20"/>
        </w:rPr>
        <w:t>, Turkey</w:t>
      </w:r>
    </w:p>
    <w:p w14:paraId="7ECFE7F8" w14:textId="77777777" w:rsidR="00B7451A" w:rsidRPr="00134BF3" w:rsidRDefault="00B7451A">
      <w:pPr>
        <w:spacing w:line="360" w:lineRule="auto"/>
        <w:jc w:val="both"/>
        <w:rPr>
          <w:rFonts w:ascii="Times New Roman" w:eastAsia="Arial" w:hAnsi="Times New Roman" w:cs="Times New Roman"/>
          <w:sz w:val="20"/>
          <w:szCs w:val="20"/>
        </w:rPr>
      </w:pPr>
    </w:p>
    <w:p w14:paraId="09031D3E" w14:textId="77777777" w:rsidR="00B7451A" w:rsidRPr="00134BF3" w:rsidRDefault="000923F6">
      <w:pPr>
        <w:spacing w:line="360" w:lineRule="auto"/>
        <w:jc w:val="both"/>
        <w:rPr>
          <w:rFonts w:ascii="Times New Roman" w:eastAsia="Arial" w:hAnsi="Times New Roman" w:cs="Times New Roman"/>
          <w:sz w:val="20"/>
          <w:szCs w:val="20"/>
        </w:rPr>
      </w:pPr>
      <w:r w:rsidRPr="00134BF3">
        <w:rPr>
          <w:rFonts w:ascii="Times New Roman" w:eastAsia="Arial" w:hAnsi="Times New Roman" w:cs="Times New Roman"/>
          <w:noProof/>
          <w:sz w:val="20"/>
          <w:szCs w:val="20"/>
          <w:lang w:eastAsia="en-US"/>
        </w:rPr>
        <w:drawing>
          <wp:inline distT="114300" distB="114300" distL="114300" distR="114300" wp14:anchorId="028AC17E" wp14:editId="541EF6FF">
            <wp:extent cx="4400550" cy="3149600"/>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4400824" cy="3149796"/>
                    </a:xfrm>
                    <a:prstGeom prst="rect">
                      <a:avLst/>
                    </a:prstGeom>
                    <a:ln/>
                  </pic:spPr>
                </pic:pic>
              </a:graphicData>
            </a:graphic>
          </wp:inline>
        </w:drawing>
      </w:r>
    </w:p>
    <w:p w14:paraId="578588A6" w14:textId="5D1F32E9" w:rsidR="00B7451A" w:rsidRPr="00134BF3" w:rsidRDefault="000923F6">
      <w:pPr>
        <w:spacing w:line="360" w:lineRule="auto"/>
        <w:jc w:val="both"/>
        <w:rPr>
          <w:rFonts w:ascii="Times New Roman" w:eastAsia="Arial" w:hAnsi="Times New Roman" w:cs="Times New Roman"/>
          <w:sz w:val="20"/>
          <w:szCs w:val="20"/>
        </w:rPr>
      </w:pPr>
      <w:r w:rsidRPr="00134BF3">
        <w:rPr>
          <w:rFonts w:ascii="Times New Roman" w:eastAsia="Arial" w:hAnsi="Times New Roman" w:cs="Times New Roman"/>
          <w:b/>
          <w:sz w:val="20"/>
          <w:szCs w:val="20"/>
        </w:rPr>
        <w:t>Figure S1.</w:t>
      </w:r>
      <w:r w:rsidRPr="00134BF3">
        <w:rPr>
          <w:rFonts w:ascii="Times New Roman" w:eastAsia="Arial" w:hAnsi="Times New Roman" w:cs="Times New Roman"/>
          <w:sz w:val="20"/>
          <w:szCs w:val="20"/>
        </w:rPr>
        <w:t xml:space="preserve"> </w:t>
      </w:r>
      <w:r w:rsidR="00DA1599" w:rsidRPr="00134BF3">
        <w:rPr>
          <w:rFonts w:ascii="Times New Roman" w:eastAsia="Arial" w:hAnsi="Times New Roman" w:cs="Times New Roman"/>
          <w:sz w:val="20"/>
          <w:szCs w:val="20"/>
        </w:rPr>
        <w:t>Cyclic voltammograms (</w:t>
      </w:r>
      <w:r w:rsidRPr="00134BF3">
        <w:rPr>
          <w:rFonts w:ascii="Times New Roman" w:eastAsia="Arial" w:hAnsi="Times New Roman" w:cs="Times New Roman"/>
          <w:sz w:val="20"/>
          <w:szCs w:val="20"/>
        </w:rPr>
        <w:t>CVs</w:t>
      </w:r>
      <w:r w:rsidR="00DA1599" w:rsidRPr="00134BF3">
        <w:rPr>
          <w:rFonts w:ascii="Times New Roman" w:eastAsia="Arial" w:hAnsi="Times New Roman" w:cs="Times New Roman"/>
          <w:sz w:val="20"/>
          <w:szCs w:val="20"/>
        </w:rPr>
        <w:t>)</w:t>
      </w:r>
      <w:r w:rsidRPr="00134BF3">
        <w:rPr>
          <w:rFonts w:ascii="Times New Roman" w:eastAsia="Arial" w:hAnsi="Times New Roman" w:cs="Times New Roman"/>
          <w:sz w:val="20"/>
          <w:szCs w:val="20"/>
        </w:rPr>
        <w:t xml:space="preserve"> of various </w:t>
      </w:r>
      <w:r w:rsidR="00DA1599" w:rsidRPr="00134BF3">
        <w:rPr>
          <w:rFonts w:ascii="Times New Roman" w:eastAsia="Arial" w:hAnsi="Times New Roman" w:cs="Times New Roman"/>
          <w:sz w:val="20"/>
          <w:szCs w:val="20"/>
        </w:rPr>
        <w:t>GCE-MoSe</w:t>
      </w:r>
      <w:r w:rsidR="00DA1599" w:rsidRPr="00134BF3">
        <w:rPr>
          <w:rFonts w:ascii="Times New Roman" w:eastAsia="Arial" w:hAnsi="Times New Roman" w:cs="Times New Roman"/>
          <w:sz w:val="20"/>
          <w:szCs w:val="20"/>
          <w:vertAlign w:val="subscript"/>
        </w:rPr>
        <w:t>2</w:t>
      </w:r>
      <w:r w:rsidR="00DA1599" w:rsidRPr="00134BF3">
        <w:rPr>
          <w:rFonts w:ascii="Times New Roman" w:eastAsia="Arial" w:hAnsi="Times New Roman" w:cs="Times New Roman"/>
          <w:sz w:val="20"/>
          <w:szCs w:val="20"/>
        </w:rPr>
        <w:t xml:space="preserve"> </w:t>
      </w:r>
      <w:r w:rsidRPr="00134BF3">
        <w:rPr>
          <w:rFonts w:ascii="Times New Roman" w:eastAsia="Arial" w:hAnsi="Times New Roman" w:cs="Times New Roman"/>
          <w:sz w:val="20"/>
          <w:szCs w:val="20"/>
        </w:rPr>
        <w:t xml:space="preserve">electrodes in 0.1 M </w:t>
      </w:r>
      <w:proofErr w:type="spellStart"/>
      <w:r w:rsidRPr="00134BF3">
        <w:rPr>
          <w:rFonts w:ascii="Times New Roman" w:eastAsia="Arial" w:hAnsi="Times New Roman" w:cs="Times New Roman"/>
          <w:sz w:val="20"/>
          <w:szCs w:val="20"/>
        </w:rPr>
        <w:t>KCl</w:t>
      </w:r>
      <w:proofErr w:type="spellEnd"/>
      <w:r w:rsidRPr="00134BF3">
        <w:rPr>
          <w:rFonts w:ascii="Times New Roman" w:eastAsia="Arial" w:hAnsi="Times New Roman" w:cs="Times New Roman"/>
          <w:sz w:val="20"/>
          <w:szCs w:val="20"/>
        </w:rPr>
        <w:t xml:space="preserve"> containing 5 mM [</w:t>
      </w:r>
      <w:proofErr w:type="gramStart"/>
      <w:r w:rsidRPr="00134BF3">
        <w:rPr>
          <w:rFonts w:ascii="Times New Roman" w:eastAsia="Arial" w:hAnsi="Times New Roman" w:cs="Times New Roman"/>
          <w:sz w:val="20"/>
          <w:szCs w:val="20"/>
        </w:rPr>
        <w:t>Fe(</w:t>
      </w:r>
      <w:proofErr w:type="gramEnd"/>
      <w:r w:rsidRPr="00134BF3">
        <w:rPr>
          <w:rFonts w:ascii="Times New Roman" w:eastAsia="Arial" w:hAnsi="Times New Roman" w:cs="Times New Roman"/>
          <w:sz w:val="20"/>
          <w:szCs w:val="20"/>
        </w:rPr>
        <w:t>CN)</w:t>
      </w:r>
      <w:r w:rsidRPr="00134BF3">
        <w:rPr>
          <w:rFonts w:ascii="Times New Roman" w:eastAsia="Arial" w:hAnsi="Times New Roman" w:cs="Times New Roman"/>
          <w:sz w:val="20"/>
          <w:szCs w:val="20"/>
          <w:vertAlign w:val="subscript"/>
        </w:rPr>
        <w:t>6</w:t>
      </w:r>
      <w:r w:rsidRPr="00134BF3">
        <w:rPr>
          <w:rFonts w:ascii="Times New Roman" w:eastAsia="Arial" w:hAnsi="Times New Roman" w:cs="Times New Roman"/>
          <w:sz w:val="20"/>
          <w:szCs w:val="20"/>
        </w:rPr>
        <w:t>]</w:t>
      </w:r>
      <w:r w:rsidRPr="00134BF3">
        <w:rPr>
          <w:rFonts w:ascii="Times New Roman" w:eastAsia="Arial" w:hAnsi="Times New Roman" w:cs="Times New Roman"/>
          <w:sz w:val="20"/>
          <w:szCs w:val="20"/>
          <w:vertAlign w:val="superscript"/>
        </w:rPr>
        <w:t>3-/4-</w:t>
      </w:r>
    </w:p>
    <w:p w14:paraId="38D819D4" w14:textId="77777777" w:rsidR="00B7451A" w:rsidRPr="00134BF3" w:rsidRDefault="000923F6" w:rsidP="00DA1599">
      <w:pPr>
        <w:spacing w:line="360" w:lineRule="auto"/>
        <w:jc w:val="center"/>
        <w:rPr>
          <w:rFonts w:ascii="Times New Roman" w:eastAsia="Arial" w:hAnsi="Times New Roman" w:cs="Times New Roman"/>
          <w:sz w:val="20"/>
          <w:szCs w:val="20"/>
        </w:rPr>
      </w:pPr>
      <w:r w:rsidRPr="00134BF3">
        <w:rPr>
          <w:rFonts w:ascii="Times New Roman" w:eastAsia="Arial" w:hAnsi="Times New Roman" w:cs="Times New Roman"/>
          <w:noProof/>
          <w:sz w:val="20"/>
          <w:szCs w:val="20"/>
          <w:lang w:eastAsia="en-US"/>
        </w:rPr>
        <w:lastRenderedPageBreak/>
        <w:drawing>
          <wp:inline distT="114300" distB="114300" distL="114300" distR="114300" wp14:anchorId="164C99B5" wp14:editId="3D52ED5F">
            <wp:extent cx="5040000" cy="3517001"/>
            <wp:effectExtent l="0" t="0" r="8255" b="7620"/>
            <wp:docPr id="4"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0"/>
                    <a:srcRect/>
                    <a:stretch>
                      <a:fillRect/>
                    </a:stretch>
                  </pic:blipFill>
                  <pic:spPr>
                    <a:xfrm>
                      <a:off x="0" y="0"/>
                      <a:ext cx="5040000" cy="3517001"/>
                    </a:xfrm>
                    <a:prstGeom prst="rect">
                      <a:avLst/>
                    </a:prstGeom>
                    <a:ln/>
                  </pic:spPr>
                </pic:pic>
              </a:graphicData>
            </a:graphic>
          </wp:inline>
        </w:drawing>
      </w:r>
    </w:p>
    <w:p w14:paraId="5563A578" w14:textId="7097A6F6" w:rsidR="00B7451A" w:rsidRPr="00134BF3" w:rsidRDefault="000923F6">
      <w:pPr>
        <w:spacing w:line="360" w:lineRule="auto"/>
        <w:jc w:val="both"/>
        <w:rPr>
          <w:rFonts w:ascii="Times New Roman" w:eastAsia="Arial" w:hAnsi="Times New Roman" w:cs="Times New Roman"/>
          <w:b/>
          <w:sz w:val="20"/>
          <w:szCs w:val="20"/>
        </w:rPr>
      </w:pPr>
      <w:r w:rsidRPr="00134BF3">
        <w:rPr>
          <w:rFonts w:ascii="Times New Roman" w:eastAsia="Arial" w:hAnsi="Times New Roman" w:cs="Times New Roman"/>
          <w:b/>
          <w:sz w:val="20"/>
          <w:szCs w:val="20"/>
        </w:rPr>
        <w:t>Figure S2.</w:t>
      </w:r>
      <w:r w:rsidR="00DA1599" w:rsidRPr="00134BF3">
        <w:rPr>
          <w:rFonts w:ascii="Times New Roman" w:eastAsia="Arial" w:hAnsi="Times New Roman" w:cs="Times New Roman"/>
          <w:b/>
          <w:sz w:val="20"/>
          <w:szCs w:val="20"/>
        </w:rPr>
        <w:t xml:space="preserve"> </w:t>
      </w:r>
      <w:r w:rsidR="00DA1599" w:rsidRPr="00134BF3">
        <w:rPr>
          <w:rFonts w:ascii="Times New Roman" w:eastAsia="Arial" w:hAnsi="Times New Roman" w:cs="Times New Roman"/>
          <w:sz w:val="20"/>
          <w:szCs w:val="20"/>
        </w:rPr>
        <w:t>Cyclic voltammograms (CVs) of various GCE-MoSe</w:t>
      </w:r>
      <w:r w:rsidR="00DA1599" w:rsidRPr="00134BF3">
        <w:rPr>
          <w:rFonts w:ascii="Times New Roman" w:eastAsia="Arial" w:hAnsi="Times New Roman" w:cs="Times New Roman"/>
          <w:sz w:val="20"/>
          <w:szCs w:val="20"/>
          <w:vertAlign w:val="subscript"/>
        </w:rPr>
        <w:t>2</w:t>
      </w:r>
      <w:r w:rsidR="00DA1599" w:rsidRPr="00134BF3">
        <w:rPr>
          <w:rFonts w:ascii="Times New Roman" w:eastAsia="Arial" w:hAnsi="Times New Roman" w:cs="Times New Roman"/>
          <w:sz w:val="20"/>
          <w:szCs w:val="20"/>
        </w:rPr>
        <w:t xml:space="preserve"> electrodes in PBS solution containing 1.13 mM ascorbic acid (AA), 0.19 mM dopamine (DA), and 0.38 mM uric acid (UA)</w:t>
      </w:r>
    </w:p>
    <w:p w14:paraId="3F7B07D1" w14:textId="77777777" w:rsidR="00B7451A" w:rsidRPr="00134BF3" w:rsidRDefault="000923F6" w:rsidP="00DA1599">
      <w:pPr>
        <w:spacing w:line="360" w:lineRule="auto"/>
        <w:jc w:val="center"/>
        <w:rPr>
          <w:rFonts w:ascii="Times New Roman" w:eastAsia="Arial" w:hAnsi="Times New Roman" w:cs="Times New Roman"/>
          <w:sz w:val="20"/>
          <w:szCs w:val="20"/>
        </w:rPr>
      </w:pPr>
      <w:r w:rsidRPr="00134BF3">
        <w:rPr>
          <w:rFonts w:ascii="Times New Roman" w:eastAsia="Arial" w:hAnsi="Times New Roman" w:cs="Times New Roman"/>
          <w:noProof/>
          <w:sz w:val="20"/>
          <w:szCs w:val="20"/>
          <w:lang w:eastAsia="en-US"/>
        </w:rPr>
        <w:drawing>
          <wp:inline distT="114300" distB="114300" distL="114300" distR="114300" wp14:anchorId="1BA746B0" wp14:editId="7550EC0F">
            <wp:extent cx="5040000" cy="3517001"/>
            <wp:effectExtent l="0" t="0" r="8255" b="7620"/>
            <wp:docPr id="7"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5040000" cy="3517001"/>
                    </a:xfrm>
                    <a:prstGeom prst="rect">
                      <a:avLst/>
                    </a:prstGeom>
                    <a:ln/>
                  </pic:spPr>
                </pic:pic>
              </a:graphicData>
            </a:graphic>
          </wp:inline>
        </w:drawing>
      </w:r>
    </w:p>
    <w:p w14:paraId="17E76AD4" w14:textId="239D3518" w:rsidR="00DA1599" w:rsidRPr="00134BF3" w:rsidRDefault="00DA1599" w:rsidP="00DA1599">
      <w:pPr>
        <w:spacing w:line="360" w:lineRule="auto"/>
        <w:jc w:val="both"/>
        <w:rPr>
          <w:rFonts w:ascii="Times New Roman" w:eastAsia="Arial" w:hAnsi="Times New Roman" w:cs="Times New Roman"/>
          <w:b/>
          <w:sz w:val="20"/>
          <w:szCs w:val="20"/>
        </w:rPr>
      </w:pPr>
      <w:r w:rsidRPr="00134BF3">
        <w:rPr>
          <w:rFonts w:ascii="Times New Roman" w:eastAsia="Arial" w:hAnsi="Times New Roman" w:cs="Times New Roman"/>
          <w:b/>
          <w:sz w:val="20"/>
          <w:szCs w:val="20"/>
        </w:rPr>
        <w:t>Figure S</w:t>
      </w:r>
      <w:r w:rsidR="00200E92">
        <w:rPr>
          <w:rFonts w:ascii="Times New Roman" w:eastAsia="Arial" w:hAnsi="Times New Roman" w:cs="Times New Roman"/>
          <w:b/>
          <w:sz w:val="20"/>
          <w:szCs w:val="20"/>
        </w:rPr>
        <w:t>3</w:t>
      </w:r>
      <w:bookmarkStart w:id="0" w:name="_GoBack"/>
      <w:bookmarkEnd w:id="0"/>
      <w:r w:rsidRPr="00134BF3">
        <w:rPr>
          <w:rFonts w:ascii="Times New Roman" w:eastAsia="Arial" w:hAnsi="Times New Roman" w:cs="Times New Roman"/>
          <w:b/>
          <w:sz w:val="20"/>
          <w:szCs w:val="20"/>
        </w:rPr>
        <w:t xml:space="preserve">. </w:t>
      </w:r>
      <w:r w:rsidRPr="00134BF3">
        <w:rPr>
          <w:rFonts w:ascii="Times New Roman" w:eastAsia="Arial" w:hAnsi="Times New Roman" w:cs="Times New Roman"/>
          <w:sz w:val="20"/>
          <w:szCs w:val="20"/>
        </w:rPr>
        <w:t>Differential pulse voltammograms (DPVs) of various GCE-MoSe</w:t>
      </w:r>
      <w:r w:rsidRPr="00134BF3">
        <w:rPr>
          <w:rFonts w:ascii="Times New Roman" w:eastAsia="Arial" w:hAnsi="Times New Roman" w:cs="Times New Roman"/>
          <w:sz w:val="20"/>
          <w:szCs w:val="20"/>
          <w:vertAlign w:val="subscript"/>
        </w:rPr>
        <w:t>2</w:t>
      </w:r>
      <w:r w:rsidRPr="00134BF3">
        <w:rPr>
          <w:rFonts w:ascii="Times New Roman" w:eastAsia="Arial" w:hAnsi="Times New Roman" w:cs="Times New Roman"/>
          <w:sz w:val="20"/>
          <w:szCs w:val="20"/>
        </w:rPr>
        <w:t xml:space="preserve"> electrodes in PBS solution containing 1.13 mM ascorbic acid (AA), 0.19 mM dopamine (DA), and 0.38 mM uric acid (UA)</w:t>
      </w:r>
    </w:p>
    <w:p w14:paraId="637AC877" w14:textId="38B9166D" w:rsidR="00C96137" w:rsidRDefault="00C96137">
      <w:pPr>
        <w:spacing w:line="360" w:lineRule="auto"/>
        <w:jc w:val="both"/>
        <w:rPr>
          <w:rFonts w:ascii="Times New Roman" w:eastAsia="Arial" w:hAnsi="Times New Roman" w:cs="Times New Roman"/>
          <w:sz w:val="20"/>
          <w:szCs w:val="20"/>
        </w:rPr>
      </w:pPr>
    </w:p>
    <w:p w14:paraId="2F9E25DF" w14:textId="77777777" w:rsidR="00134BF3" w:rsidRPr="00134BF3" w:rsidRDefault="00134BF3">
      <w:pPr>
        <w:spacing w:line="360" w:lineRule="auto"/>
        <w:jc w:val="both"/>
        <w:rPr>
          <w:rFonts w:ascii="Times New Roman" w:eastAsia="Arial" w:hAnsi="Times New Roman" w:cs="Times New Roman"/>
          <w:sz w:val="20"/>
          <w:szCs w:val="20"/>
        </w:rPr>
      </w:pPr>
    </w:p>
    <w:p w14:paraId="013A65CB" w14:textId="55BAA13E" w:rsidR="00C96137" w:rsidRPr="00134BF3" w:rsidRDefault="00C96137">
      <w:pPr>
        <w:spacing w:line="360" w:lineRule="auto"/>
        <w:jc w:val="both"/>
        <w:rPr>
          <w:rFonts w:ascii="Times New Roman" w:eastAsia="Arial" w:hAnsi="Times New Roman" w:cs="Times New Roman"/>
          <w:sz w:val="20"/>
          <w:szCs w:val="20"/>
        </w:rPr>
      </w:pPr>
      <w:r w:rsidRPr="00134BF3">
        <w:rPr>
          <w:rFonts w:ascii="Times New Roman" w:eastAsia="Arial" w:hAnsi="Times New Roman" w:cs="Times New Roman"/>
          <w:b/>
          <w:sz w:val="20"/>
          <w:szCs w:val="20"/>
        </w:rPr>
        <w:lastRenderedPageBreak/>
        <w:t>Table S1.</w:t>
      </w:r>
      <w:r w:rsidRPr="00134BF3">
        <w:rPr>
          <w:rFonts w:ascii="Times New Roman" w:eastAsia="Arial" w:hAnsi="Times New Roman" w:cs="Times New Roman"/>
          <w:sz w:val="20"/>
          <w:szCs w:val="20"/>
        </w:rPr>
        <w:t xml:space="preserve"> Comparison </w:t>
      </w:r>
      <w:r w:rsidR="00992B87" w:rsidRPr="00134BF3">
        <w:rPr>
          <w:rFonts w:ascii="Times New Roman" w:eastAsia="Arial" w:hAnsi="Times New Roman" w:cs="Times New Roman"/>
          <w:sz w:val="20"/>
          <w:szCs w:val="20"/>
        </w:rPr>
        <w:t>of various electrodes for electrochemical determination of ascorbic acid (AA), dopamine (DA), and uric acid (UA)</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1099"/>
        <w:gridCol w:w="958"/>
        <w:gridCol w:w="961"/>
        <w:gridCol w:w="718"/>
        <w:gridCol w:w="696"/>
        <w:gridCol w:w="692"/>
        <w:gridCol w:w="1377"/>
      </w:tblGrid>
      <w:tr w:rsidR="00992B87" w:rsidRPr="00134BF3" w14:paraId="30CF45E7" w14:textId="77777777" w:rsidTr="00A30E33">
        <w:trPr>
          <w:jc w:val="center"/>
        </w:trPr>
        <w:tc>
          <w:tcPr>
            <w:tcW w:w="1951" w:type="dxa"/>
            <w:vMerge w:val="restart"/>
            <w:shd w:val="clear" w:color="auto" w:fill="auto"/>
          </w:tcPr>
          <w:p w14:paraId="5DE56126" w14:textId="77777777" w:rsidR="00992B87" w:rsidRPr="00134BF3" w:rsidRDefault="00992B87" w:rsidP="00A30E33">
            <w:pPr>
              <w:spacing w:line="360" w:lineRule="auto"/>
              <w:jc w:val="both"/>
              <w:rPr>
                <w:rFonts w:ascii="Times New Roman" w:eastAsia="MS Mincho" w:hAnsi="Times New Roman" w:cs="Times New Roman"/>
                <w:b/>
                <w:i/>
                <w:sz w:val="20"/>
                <w:szCs w:val="20"/>
              </w:rPr>
            </w:pPr>
            <w:r w:rsidRPr="00134BF3">
              <w:rPr>
                <w:rFonts w:ascii="Times New Roman" w:eastAsia="MS Mincho" w:hAnsi="Times New Roman" w:cs="Times New Roman"/>
                <w:b/>
                <w:i/>
                <w:sz w:val="20"/>
                <w:szCs w:val="20"/>
              </w:rPr>
              <w:t>Electrode</w:t>
            </w:r>
          </w:p>
        </w:tc>
        <w:tc>
          <w:tcPr>
            <w:tcW w:w="3103" w:type="dxa"/>
            <w:gridSpan w:val="3"/>
            <w:shd w:val="clear" w:color="auto" w:fill="auto"/>
          </w:tcPr>
          <w:p w14:paraId="43CCC559" w14:textId="77777777" w:rsidR="00992B87" w:rsidRPr="00134BF3" w:rsidRDefault="00992B87" w:rsidP="00A30E33">
            <w:pPr>
              <w:spacing w:line="360" w:lineRule="auto"/>
              <w:jc w:val="both"/>
              <w:rPr>
                <w:rFonts w:ascii="Times New Roman" w:eastAsia="MS Mincho" w:hAnsi="Times New Roman" w:cs="Times New Roman"/>
                <w:b/>
                <w:i/>
                <w:sz w:val="20"/>
                <w:szCs w:val="20"/>
              </w:rPr>
            </w:pPr>
            <w:r w:rsidRPr="00134BF3">
              <w:rPr>
                <w:rFonts w:ascii="Times New Roman" w:eastAsia="MS Mincho" w:hAnsi="Times New Roman" w:cs="Times New Roman"/>
                <w:b/>
                <w:i/>
                <w:sz w:val="20"/>
                <w:szCs w:val="20"/>
              </w:rPr>
              <w:t>Linear range (µM)</w:t>
            </w:r>
          </w:p>
        </w:tc>
        <w:tc>
          <w:tcPr>
            <w:tcW w:w="2144" w:type="dxa"/>
            <w:gridSpan w:val="3"/>
            <w:shd w:val="clear" w:color="auto" w:fill="auto"/>
          </w:tcPr>
          <w:p w14:paraId="21BBB94E" w14:textId="77777777" w:rsidR="00992B87" w:rsidRPr="00134BF3" w:rsidRDefault="00992B87" w:rsidP="00A30E33">
            <w:pPr>
              <w:spacing w:line="360" w:lineRule="auto"/>
              <w:jc w:val="both"/>
              <w:rPr>
                <w:rFonts w:ascii="Times New Roman" w:eastAsia="MS Mincho" w:hAnsi="Times New Roman" w:cs="Times New Roman"/>
                <w:b/>
                <w:i/>
                <w:sz w:val="20"/>
                <w:szCs w:val="20"/>
              </w:rPr>
            </w:pPr>
            <w:r w:rsidRPr="00134BF3">
              <w:rPr>
                <w:rFonts w:ascii="Times New Roman" w:eastAsia="MS Mincho" w:hAnsi="Times New Roman" w:cs="Times New Roman"/>
                <w:b/>
                <w:i/>
                <w:sz w:val="20"/>
                <w:szCs w:val="20"/>
              </w:rPr>
              <w:t>LOD (µM)</w:t>
            </w:r>
          </w:p>
        </w:tc>
        <w:tc>
          <w:tcPr>
            <w:tcW w:w="1415" w:type="dxa"/>
            <w:shd w:val="clear" w:color="auto" w:fill="auto"/>
          </w:tcPr>
          <w:p w14:paraId="39C0B43C"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Reference</w:t>
            </w:r>
          </w:p>
        </w:tc>
      </w:tr>
      <w:tr w:rsidR="003E7BD8" w:rsidRPr="00134BF3" w14:paraId="57E4F899" w14:textId="77777777" w:rsidTr="00A30E33">
        <w:trPr>
          <w:jc w:val="center"/>
        </w:trPr>
        <w:tc>
          <w:tcPr>
            <w:tcW w:w="1951" w:type="dxa"/>
            <w:vMerge/>
            <w:shd w:val="clear" w:color="auto" w:fill="auto"/>
          </w:tcPr>
          <w:p w14:paraId="1AB97C2C" w14:textId="77777777" w:rsidR="00992B87" w:rsidRPr="00134BF3" w:rsidRDefault="00992B87" w:rsidP="00A30E33">
            <w:pPr>
              <w:spacing w:line="360" w:lineRule="auto"/>
              <w:jc w:val="both"/>
              <w:rPr>
                <w:rFonts w:ascii="Times New Roman" w:eastAsia="MS Mincho" w:hAnsi="Times New Roman" w:cs="Times New Roman"/>
                <w:b/>
                <w:i/>
                <w:sz w:val="20"/>
                <w:szCs w:val="20"/>
              </w:rPr>
            </w:pPr>
          </w:p>
        </w:tc>
        <w:tc>
          <w:tcPr>
            <w:tcW w:w="1132" w:type="dxa"/>
            <w:shd w:val="clear" w:color="auto" w:fill="auto"/>
          </w:tcPr>
          <w:p w14:paraId="58DD61E0"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AA</w:t>
            </w:r>
          </w:p>
        </w:tc>
        <w:tc>
          <w:tcPr>
            <w:tcW w:w="994" w:type="dxa"/>
            <w:shd w:val="clear" w:color="auto" w:fill="auto"/>
          </w:tcPr>
          <w:p w14:paraId="4000A990"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DA</w:t>
            </w:r>
          </w:p>
        </w:tc>
        <w:tc>
          <w:tcPr>
            <w:tcW w:w="977" w:type="dxa"/>
            <w:shd w:val="clear" w:color="auto" w:fill="auto"/>
          </w:tcPr>
          <w:p w14:paraId="7475D552"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UA</w:t>
            </w:r>
          </w:p>
        </w:tc>
        <w:tc>
          <w:tcPr>
            <w:tcW w:w="724" w:type="dxa"/>
            <w:shd w:val="clear" w:color="auto" w:fill="auto"/>
          </w:tcPr>
          <w:p w14:paraId="6785AD16"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AA</w:t>
            </w:r>
          </w:p>
        </w:tc>
        <w:tc>
          <w:tcPr>
            <w:tcW w:w="712" w:type="dxa"/>
            <w:shd w:val="clear" w:color="auto" w:fill="auto"/>
          </w:tcPr>
          <w:p w14:paraId="0E4E2067"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DA</w:t>
            </w:r>
          </w:p>
        </w:tc>
        <w:tc>
          <w:tcPr>
            <w:tcW w:w="708" w:type="dxa"/>
            <w:shd w:val="clear" w:color="auto" w:fill="auto"/>
          </w:tcPr>
          <w:p w14:paraId="663DC91C"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UA</w:t>
            </w:r>
          </w:p>
        </w:tc>
        <w:tc>
          <w:tcPr>
            <w:tcW w:w="1415" w:type="dxa"/>
            <w:shd w:val="clear" w:color="auto" w:fill="auto"/>
          </w:tcPr>
          <w:p w14:paraId="6B593220" w14:textId="77777777" w:rsidR="00992B87" w:rsidRPr="00134BF3" w:rsidRDefault="00992B87" w:rsidP="00A30E33">
            <w:pPr>
              <w:spacing w:line="360" w:lineRule="auto"/>
              <w:jc w:val="both"/>
              <w:rPr>
                <w:rFonts w:ascii="Times New Roman" w:eastAsia="MS Mincho" w:hAnsi="Times New Roman" w:cs="Times New Roman"/>
                <w:b/>
                <w:sz w:val="20"/>
                <w:szCs w:val="20"/>
              </w:rPr>
            </w:pPr>
          </w:p>
        </w:tc>
      </w:tr>
      <w:tr w:rsidR="003E7BD8" w:rsidRPr="00134BF3" w14:paraId="600D1B0F" w14:textId="77777777" w:rsidTr="00A30E33">
        <w:trPr>
          <w:jc w:val="center"/>
        </w:trPr>
        <w:tc>
          <w:tcPr>
            <w:tcW w:w="1951" w:type="dxa"/>
            <w:shd w:val="clear" w:color="auto" w:fill="auto"/>
          </w:tcPr>
          <w:p w14:paraId="0621F2E8"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AuNPs@MoS</w:t>
            </w:r>
            <w:r w:rsidRPr="00134BF3">
              <w:rPr>
                <w:rFonts w:ascii="Times New Roman" w:eastAsia="MS Mincho" w:hAnsi="Times New Roman" w:cs="Times New Roman"/>
                <w:b/>
                <w:sz w:val="20"/>
                <w:szCs w:val="20"/>
                <w:vertAlign w:val="subscript"/>
              </w:rPr>
              <w:t>2</w:t>
            </w:r>
          </w:p>
        </w:tc>
        <w:tc>
          <w:tcPr>
            <w:tcW w:w="1132" w:type="dxa"/>
            <w:shd w:val="clear" w:color="auto" w:fill="auto"/>
          </w:tcPr>
          <w:p w14:paraId="5F706248" w14:textId="77777777" w:rsidR="00992B87" w:rsidRPr="00134BF3" w:rsidRDefault="00992B87" w:rsidP="00A30E33">
            <w:pPr>
              <w:spacing w:line="360" w:lineRule="auto"/>
              <w:jc w:val="both"/>
              <w:rPr>
                <w:rFonts w:ascii="Times New Roman" w:eastAsia="MS Mincho" w:hAnsi="Times New Roman" w:cs="Times New Roman"/>
                <w:sz w:val="20"/>
                <w:szCs w:val="20"/>
                <w:vertAlign w:val="superscript"/>
              </w:rPr>
            </w:pPr>
            <w:r w:rsidRPr="00134BF3">
              <w:rPr>
                <w:rFonts w:ascii="Times New Roman" w:eastAsia="MS Mincho" w:hAnsi="Times New Roman" w:cs="Times New Roman"/>
                <w:sz w:val="20"/>
                <w:szCs w:val="20"/>
              </w:rPr>
              <w:t>50-1.0x10</w:t>
            </w:r>
            <w:r w:rsidRPr="00134BF3">
              <w:rPr>
                <w:rFonts w:ascii="Times New Roman" w:eastAsia="MS Mincho" w:hAnsi="Times New Roman" w:cs="Times New Roman"/>
                <w:sz w:val="20"/>
                <w:szCs w:val="20"/>
                <w:vertAlign w:val="superscript"/>
              </w:rPr>
              <w:t>5</w:t>
            </w:r>
          </w:p>
        </w:tc>
        <w:tc>
          <w:tcPr>
            <w:tcW w:w="994" w:type="dxa"/>
            <w:shd w:val="clear" w:color="auto" w:fill="auto"/>
          </w:tcPr>
          <w:p w14:paraId="7577403D"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0.05-30</w:t>
            </w:r>
          </w:p>
        </w:tc>
        <w:tc>
          <w:tcPr>
            <w:tcW w:w="977" w:type="dxa"/>
            <w:shd w:val="clear" w:color="auto" w:fill="auto"/>
          </w:tcPr>
          <w:p w14:paraId="7AE86D6D" w14:textId="77777777" w:rsidR="00992B87" w:rsidRPr="00134BF3" w:rsidRDefault="00992B87" w:rsidP="00A30E33">
            <w:pPr>
              <w:spacing w:line="360" w:lineRule="auto"/>
              <w:jc w:val="both"/>
              <w:rPr>
                <w:rFonts w:ascii="Times New Roman" w:eastAsia="MS Mincho" w:hAnsi="Times New Roman" w:cs="Times New Roman"/>
                <w:sz w:val="20"/>
                <w:szCs w:val="20"/>
                <w:vertAlign w:val="superscript"/>
              </w:rPr>
            </w:pPr>
            <w:r w:rsidRPr="00134BF3">
              <w:rPr>
                <w:rFonts w:ascii="Times New Roman" w:eastAsia="MS Mincho" w:hAnsi="Times New Roman" w:cs="Times New Roman"/>
                <w:sz w:val="20"/>
                <w:szCs w:val="20"/>
              </w:rPr>
              <w:t>50-4.0x10</w:t>
            </w:r>
            <w:r w:rsidRPr="00134BF3">
              <w:rPr>
                <w:rFonts w:ascii="Times New Roman" w:eastAsia="MS Mincho" w:hAnsi="Times New Roman" w:cs="Times New Roman"/>
                <w:sz w:val="20"/>
                <w:szCs w:val="20"/>
                <w:vertAlign w:val="superscript"/>
              </w:rPr>
              <w:t>4</w:t>
            </w:r>
          </w:p>
        </w:tc>
        <w:tc>
          <w:tcPr>
            <w:tcW w:w="724" w:type="dxa"/>
            <w:shd w:val="clear" w:color="auto" w:fill="auto"/>
          </w:tcPr>
          <w:p w14:paraId="41BAE5CF"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100</w:t>
            </w:r>
          </w:p>
        </w:tc>
        <w:tc>
          <w:tcPr>
            <w:tcW w:w="712" w:type="dxa"/>
            <w:shd w:val="clear" w:color="auto" w:fill="auto"/>
          </w:tcPr>
          <w:p w14:paraId="3A0F0FBD"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0.05</w:t>
            </w:r>
          </w:p>
        </w:tc>
        <w:tc>
          <w:tcPr>
            <w:tcW w:w="708" w:type="dxa"/>
            <w:shd w:val="clear" w:color="auto" w:fill="auto"/>
          </w:tcPr>
          <w:p w14:paraId="6EDBA1D2"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10</w:t>
            </w:r>
          </w:p>
        </w:tc>
        <w:tc>
          <w:tcPr>
            <w:tcW w:w="1415" w:type="dxa"/>
            <w:shd w:val="clear" w:color="auto" w:fill="auto"/>
          </w:tcPr>
          <w:p w14:paraId="7ADBDF29" w14:textId="767012E1"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{"citationItems":[{"id":"ITEM-1","itemData":{"DOI":"10.1039/C4RA04046E","ISSN":"2046-2069","abstract":"An electrochemical sensor has been developed for simultaneous detection of dopamine (DA), uric acid (UA) and ascorbic acid (AA) based on a gold nanoparticle-decorated MoS2 nanocomposite (AuNPs@MoS2) modified electrode. The AuNPs@MoS2 nanocomposite has been synthesized by electrodeposition of AuNPs on the MoS2 nanosheets, which possesses better properties than pure AuNPs and MoS2. The AuNPs@MoS2 film modified electrode showed excellent electrocatalytic activity toward the oxidation of AA, DA and UA with three well-resolved oxidation peaks. The peak separation of AA–DA, DA–UA and AA–UA is 151 mV, 137 mV and 288 mV, respectively, which permits the modified electrode to individually or simultaneously analyze AA, DA and UA by differential pulse voltammetry (DPV). Under optimum conditions, the AuNPs@MoS2 modified electrode exhibits linear response toward AA, DA and UA in the range of 50–100 000 μM, 0.05–30 μM and 50–40 000 μM, respectively. Moreover, the MoS2-based modified electrode was successfully employed to determine DA in human serum samples with satisfactory results.","author":[{"dropping-particle":"","family":"Sun","given":"Haofan","non-dropping-particle":"","parse-names":false,"suffix":""},{"dropping-particle":"","family":"Chao","given":"Jie","non-dropping-particle":"","parse-names":false,"suffix":""},{"dropping-particle":"","family":"Zuo","given":"Xiaolei","non-dropping-particle":"","parse-names":false,"suffix":""},{"dropping-particle":"","family":"Su","given":"Shao","non-dropping-particle":"","parse-names":false,"suffix":""},{"dropping-particle":"","family":"Liu","given":"Xingfen","non-dropping-particle":"","parse-names":false,"suffix":""},{"dropping-particle":"","family":"Yuwen","given":"Lihui","non-dropping-particle":"","parse-names":false,"suffix":""},{"dropping-particle":"","family":"Fan","given":"Chunhai","non-dropping-particle":"","parse-names":false,"suffix":""},{"dropping-particle":"","family":"Wang","given":"Lianhui","non-dropping-particle":"","parse-names":false,"suffix":""}],"container-title":"RSC Advances","id":"ITEM-1","issue":"52","issued":{"date-parts":[["2014","6","24"]]},"note":"1002-Sup-1","page":"27625-27629","publisher":"The Royal Society of Chemistry","title":"Gold nanoparticle-decorated MoS2 nanosheets for simultaneous detection of ascorbic acid, dopamine and uric acid","type":"article-journal","volume":"4"},"uris":["http://www.mendeley.com/documents/?uuid=01abdacd-86b3-3d0a-821d-c1c6a35ec9b5"]}],"mendeley":{"formattedCitation":"[1]","plainTextFormattedCitation":"[1]","previouslyFormattedCitation":"[1]"},"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[1]</w:t>
            </w:r>
            <w:r w:rsidRPr="00134BF3">
              <w:rPr>
                <w:rFonts w:ascii="Times New Roman" w:eastAsia="MS Mincho" w:hAnsi="Times New Roman" w:cs="Times New Roman"/>
                <w:sz w:val="20"/>
                <w:szCs w:val="20"/>
              </w:rPr>
              <w:fldChar w:fldCharType="end"/>
            </w:r>
          </w:p>
        </w:tc>
      </w:tr>
      <w:tr w:rsidR="003E7BD8" w:rsidRPr="00134BF3" w14:paraId="7A24ABF5" w14:textId="77777777" w:rsidTr="00A30E33">
        <w:trPr>
          <w:jc w:val="center"/>
        </w:trPr>
        <w:tc>
          <w:tcPr>
            <w:tcW w:w="1951" w:type="dxa"/>
            <w:shd w:val="clear" w:color="auto" w:fill="auto"/>
          </w:tcPr>
          <w:p w14:paraId="71D3EF54" w14:textId="77777777" w:rsidR="00992B87" w:rsidRPr="00134BF3" w:rsidRDefault="00992B87" w:rsidP="00A30E33">
            <w:pPr>
              <w:spacing w:line="360" w:lineRule="auto"/>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3D-MoS</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w:t>
            </w:r>
            <w:proofErr w:type="spellStart"/>
            <w:r w:rsidRPr="00134BF3">
              <w:rPr>
                <w:rFonts w:ascii="Times New Roman" w:eastAsia="MS Mincho" w:hAnsi="Times New Roman" w:cs="Times New Roman"/>
                <w:b/>
                <w:sz w:val="20"/>
                <w:szCs w:val="20"/>
              </w:rPr>
              <w:t>rGO</w:t>
            </w:r>
            <w:proofErr w:type="spellEnd"/>
            <w:r w:rsidRPr="00134BF3">
              <w:rPr>
                <w:rFonts w:ascii="Times New Roman" w:eastAsia="MS Mincho" w:hAnsi="Times New Roman" w:cs="Times New Roman"/>
                <w:b/>
                <w:sz w:val="20"/>
                <w:szCs w:val="20"/>
              </w:rPr>
              <w:t>/Au</w:t>
            </w:r>
          </w:p>
        </w:tc>
        <w:tc>
          <w:tcPr>
            <w:tcW w:w="1132" w:type="dxa"/>
            <w:shd w:val="clear" w:color="auto" w:fill="auto"/>
          </w:tcPr>
          <w:p w14:paraId="6A916465"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2-5400</w:t>
            </w:r>
          </w:p>
        </w:tc>
        <w:tc>
          <w:tcPr>
            <w:tcW w:w="994" w:type="dxa"/>
            <w:shd w:val="clear" w:color="auto" w:fill="auto"/>
          </w:tcPr>
          <w:p w14:paraId="66C572B2"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0.3-198.3</w:t>
            </w:r>
          </w:p>
        </w:tc>
        <w:tc>
          <w:tcPr>
            <w:tcW w:w="977" w:type="dxa"/>
            <w:shd w:val="clear" w:color="auto" w:fill="auto"/>
          </w:tcPr>
          <w:p w14:paraId="3FCE081B"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5-2215</w:t>
            </w:r>
          </w:p>
        </w:tc>
        <w:tc>
          <w:tcPr>
            <w:tcW w:w="724" w:type="dxa"/>
            <w:shd w:val="clear" w:color="auto" w:fill="auto"/>
          </w:tcPr>
          <w:p w14:paraId="5E19CDCC"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0.93</w:t>
            </w:r>
          </w:p>
        </w:tc>
        <w:tc>
          <w:tcPr>
            <w:tcW w:w="712" w:type="dxa"/>
            <w:shd w:val="clear" w:color="auto" w:fill="auto"/>
          </w:tcPr>
          <w:p w14:paraId="1EF8EAB8"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0.11</w:t>
            </w:r>
          </w:p>
        </w:tc>
        <w:tc>
          <w:tcPr>
            <w:tcW w:w="708" w:type="dxa"/>
            <w:shd w:val="clear" w:color="auto" w:fill="auto"/>
          </w:tcPr>
          <w:p w14:paraId="4E5165FE"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0.74</w:t>
            </w:r>
          </w:p>
        </w:tc>
        <w:tc>
          <w:tcPr>
            <w:tcW w:w="1415" w:type="dxa"/>
            <w:shd w:val="clear" w:color="auto" w:fill="auto"/>
          </w:tcPr>
          <w:p w14:paraId="23C29040" w14:textId="28F3A703"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005C4609" w:rsidRPr="00134BF3">
              <w:rPr>
                <w:rFonts w:ascii="Times New Roman" w:eastAsia="MS Mincho" w:hAnsi="Times New Roman" w:cs="Times New Roman"/>
                <w:sz w:val="20"/>
                <w:szCs w:val="20"/>
              </w:rPr>
              <w:instrText>ADDIN CSL_CITATION {"citationItems":[{"id":"ITEM-1","itemData":{"DOI":"https://doi.org/10.1007/s00604-018-3222-7","ISSN":"14365073","PMID":"30631942","abstract":"A glassy carbon electrode was modified with a 3D-networked nanostructure composed of MoS2, reduced graphene oxide and gold nanoparticles (3D-MoS2/rGO/Au). The composites were prepared through in-situ growth of gold nanoparticles on 3D-MoS2/rGO nanosheets via a hydrothermal method. The morphology and electrochemical features of the composite were investigated. The 3D-MoS2/rGO/Au sensor exhibits excellent electrocatalytic activity for simultaneous detection of ascorbic acid (AA), dopamine (DA) and uric acid (UA). The oxidation potentials are well separated at around −0.05 V for AA, 0.06 V for DA and 0.2 V for UA, respectively. The detection limits for individual detection and simultaneous detection (S/N = 3) are 0.93 μM and 1.46 μM for AA, 0.11 μM and 0.15 μM for DA, and 0.74 μM and 0.29 μM for UA. The method was applied to the quantitative analysis of AA, DA, and UA in spiked serum samples with satisfying results. [Figure not available: see fulltext.].","author":[{"dropping-particle":"","family":"Zhao","given":"Yanan","non-dropping-particle":"","parse-names":false,"suffix":""},{"dropping-particle":"","family":"Zhou","given":"Juan","non-dropping-particle":"","parse-names":false,"suffix":""},{"dropping-particle":"","family":"Jia","given":"Zimu","non-dropping-particle":"","parse-names":false,"suffix":""},{"dropping-particle":"","family":"Huo","given":"Danqun","non-dropping-particle":"","parse-names":false,"suffix":""},{"dropping-particle":"","family":"Liu","given":"Qingyan","non-dropping-particle":"","parse-names":false,"suffix":""},{"dropping-particle":"","family":"Zhong","given":"Dengqin","non-dropping-particle":"","parse-names":false,"suffix":""},{"dropping-particle":"","family":"Hu","given":"Yu","non-dropping-particle":"","parse-names":false,"suffix":""},{"dropping-particle":"","family":"Yang","given":"Mei","non-dropping-particle":"","parse-names":false,"suffix":""},{"dropping-particle":"","family":"Bian","given":"Minghong","non-dropping-particle":"","parse-names":false,"suffix":""},{"dropping-particle":"","family":"Hou","given":"Changjun","non-dropping-particle":"","parse-names":false,"suffix":""}],"container-title":"Microchimica Acta","id":"ITEM-1","issue":"2","issued":{"date-parts":[["2019","2","1"]]},"note":"1002-Sup-2","page":"1-10","publisher":"Springer-Verlag Wien","title":"In-situ growth of gold nanoparticles on a 3D-network consisting of a MoS2/rGO nanocomposite for simultaneous voltammetric determination of ascorbic acid, dopamine and uric acid","type":"article-journal","volume":"186"},"uris":["http://www.mendeley.com/documents/?uuid=2a440088-e189-3ca7-849d-5e472ad98e13"]}],"mendeley":{"formattedCitation":"[2]","plainTextFormattedCitation":"[2]","previouslyFormattedCitation":"[2]"},"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[2]</w:t>
            </w:r>
            <w:r w:rsidRPr="00134BF3">
              <w:rPr>
                <w:rFonts w:ascii="Times New Roman" w:eastAsia="MS Mincho" w:hAnsi="Times New Roman" w:cs="Times New Roman"/>
                <w:sz w:val="20"/>
                <w:szCs w:val="20"/>
              </w:rPr>
              <w:fldChar w:fldCharType="end"/>
            </w:r>
          </w:p>
        </w:tc>
      </w:tr>
      <w:tr w:rsidR="003E7BD8" w:rsidRPr="00134BF3" w14:paraId="0C26F377" w14:textId="77777777" w:rsidTr="00A30E33">
        <w:trPr>
          <w:jc w:val="center"/>
        </w:trPr>
        <w:tc>
          <w:tcPr>
            <w:tcW w:w="1951" w:type="dxa"/>
            <w:shd w:val="clear" w:color="auto" w:fill="auto"/>
          </w:tcPr>
          <w:p w14:paraId="6BE5C57F"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MoS</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w:t>
            </w:r>
            <w:proofErr w:type="spellStart"/>
            <w:r w:rsidRPr="00134BF3">
              <w:rPr>
                <w:rFonts w:ascii="Times New Roman" w:eastAsia="MS Mincho" w:hAnsi="Times New Roman" w:cs="Times New Roman"/>
                <w:b/>
                <w:sz w:val="20"/>
                <w:szCs w:val="20"/>
              </w:rPr>
              <w:t>rGO</w:t>
            </w:r>
            <w:proofErr w:type="spellEnd"/>
          </w:p>
        </w:tc>
        <w:tc>
          <w:tcPr>
            <w:tcW w:w="1132" w:type="dxa"/>
            <w:shd w:val="clear" w:color="auto" w:fill="auto"/>
          </w:tcPr>
          <w:p w14:paraId="68D67DC3"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12-5402</w:t>
            </w:r>
          </w:p>
        </w:tc>
        <w:tc>
          <w:tcPr>
            <w:tcW w:w="994" w:type="dxa"/>
            <w:shd w:val="clear" w:color="auto" w:fill="auto"/>
          </w:tcPr>
          <w:p w14:paraId="07A39FF3"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5-545</w:t>
            </w:r>
          </w:p>
          <w:p w14:paraId="2B3BD54A" w14:textId="77777777" w:rsidR="00992B87" w:rsidRPr="00134BF3" w:rsidRDefault="00992B87" w:rsidP="00A30E33">
            <w:pPr>
              <w:spacing w:line="360" w:lineRule="auto"/>
              <w:jc w:val="both"/>
              <w:rPr>
                <w:rFonts w:ascii="Times New Roman" w:eastAsia="MS Mincho" w:hAnsi="Times New Roman" w:cs="Times New Roman"/>
                <w:sz w:val="20"/>
                <w:szCs w:val="20"/>
              </w:rPr>
            </w:pPr>
          </w:p>
        </w:tc>
        <w:tc>
          <w:tcPr>
            <w:tcW w:w="977" w:type="dxa"/>
            <w:shd w:val="clear" w:color="auto" w:fill="auto"/>
          </w:tcPr>
          <w:p w14:paraId="31725193"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25-2745</w:t>
            </w:r>
          </w:p>
        </w:tc>
        <w:tc>
          <w:tcPr>
            <w:tcW w:w="724" w:type="dxa"/>
            <w:shd w:val="clear" w:color="auto" w:fill="auto"/>
          </w:tcPr>
          <w:p w14:paraId="09B03824"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0.72</w:t>
            </w:r>
          </w:p>
        </w:tc>
        <w:tc>
          <w:tcPr>
            <w:tcW w:w="712" w:type="dxa"/>
            <w:shd w:val="clear" w:color="auto" w:fill="auto"/>
          </w:tcPr>
          <w:p w14:paraId="48667859"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0.05</w:t>
            </w:r>
          </w:p>
        </w:tc>
        <w:tc>
          <w:tcPr>
            <w:tcW w:w="708" w:type="dxa"/>
            <w:shd w:val="clear" w:color="auto" w:fill="auto"/>
          </w:tcPr>
          <w:p w14:paraId="1E23BBCF"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0.46</w:t>
            </w:r>
          </w:p>
        </w:tc>
        <w:tc>
          <w:tcPr>
            <w:tcW w:w="1415" w:type="dxa"/>
            <w:shd w:val="clear" w:color="auto" w:fill="auto"/>
          </w:tcPr>
          <w:p w14:paraId="5BE8C6FE" w14:textId="46B28DEA"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005C4609" w:rsidRPr="00134BF3">
              <w:rPr>
                <w:rFonts w:ascii="Times New Roman" w:eastAsia="MS Mincho" w:hAnsi="Times New Roman" w:cs="Times New Roman"/>
                <w:sz w:val="20"/>
                <w:szCs w:val="20"/>
              </w:rPr>
              <w:instrText>ADDIN CSL_CITATION {"citationItems":[{"id":"ITEM-1","itemData":{"DOI":"https://doi.org/10.1007/s00604-015-1648-8","ISSN":"14365073","abstract":"We describe the synthesis of a hybrid nanocomposite consisting of MoS2 and reduced graphene oxide (MoS2/rGO) by a one-pot hydrothermal process, and the use of the material in an amperometric sensor. Scanning electron microscopy and nitrogen adsorption-desorption tests revealed that the nanocomposite possesses a porous and flower-like structure and a large specific surface. Cyclic voltammetry and differential pulse voltammetry demonstrated the nanocomposite to perform excellently in the electrochemical oxidation of ascorbic acid (AA), dopamine (DA), and uric acid (UA), respectively. The oxidation potentials are well separated (oxidation peaks at −64, 168 and 320 mV vs. Ag/AgCl) for AA, DA, and UA, and the respective detection sensitivities are strongly enhanced (0.12, 4.11 and 1.59 μA μM−1 cm−2). The sensor was applied to the detection of the three species in spiked human serum samples where it gave recoveries ranging from 98.9 to 104.1 % (for n = 3). [Figure not available: see fulltext.]","author":[{"dropping-particle":"","family":"Xing","given":"Liwen","non-dropping-particle":"","parse-names":false,"suffix":""},{"dropping-particle":"","family":"Ma","given":"Zhanfang","non-dropping-particle":"","parse-names":false,"suffix":""}],"container-title":"Microchimica Acta","id":"ITEM-1","issue":"1","issued":{"date-parts":[["2016","1","1"]]},"note":"1002-Sup-3","page":"257-263","publisher":"Springer-Verlag Wien","title":"A glassy carbon electrode modified with a nanocomposite consisting of MoS2 and reduced graphene oxide for electrochemical simultaneous determination of ascorbic acid, dopamine, and uric acid","type":"article-journal","volume":"183"},"uris":["http://www.mendeley.com/documents/?uuid=60dda964-e3ac-3588-89ce-e6754bcae50f"]}],"mendeley":{"formattedCitation":"[3]","plainTextFormattedCitation":"[3]","previouslyFormattedCitation":"[3]"},"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[3]</w:t>
            </w:r>
            <w:r w:rsidRPr="00134BF3">
              <w:rPr>
                <w:rFonts w:ascii="Times New Roman" w:eastAsia="MS Mincho" w:hAnsi="Times New Roman" w:cs="Times New Roman"/>
                <w:sz w:val="20"/>
                <w:szCs w:val="20"/>
              </w:rPr>
              <w:fldChar w:fldCharType="end"/>
            </w:r>
          </w:p>
        </w:tc>
      </w:tr>
      <w:tr w:rsidR="003E7BD8" w:rsidRPr="00134BF3" w14:paraId="21C89C5D" w14:textId="77777777" w:rsidTr="00A30E33">
        <w:trPr>
          <w:jc w:val="center"/>
        </w:trPr>
        <w:tc>
          <w:tcPr>
            <w:tcW w:w="1951" w:type="dxa"/>
            <w:shd w:val="clear" w:color="auto" w:fill="auto"/>
          </w:tcPr>
          <w:p w14:paraId="4D56D301"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MoS</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/PEDOT</w:t>
            </w:r>
          </w:p>
        </w:tc>
        <w:tc>
          <w:tcPr>
            <w:tcW w:w="1132" w:type="dxa"/>
            <w:shd w:val="clear" w:color="auto" w:fill="auto"/>
          </w:tcPr>
          <w:p w14:paraId="16E99EBD"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20-140</w:t>
            </w:r>
          </w:p>
        </w:tc>
        <w:tc>
          <w:tcPr>
            <w:tcW w:w="994" w:type="dxa"/>
            <w:shd w:val="clear" w:color="auto" w:fill="auto"/>
          </w:tcPr>
          <w:p w14:paraId="1B7B762E"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1-80</w:t>
            </w:r>
          </w:p>
        </w:tc>
        <w:tc>
          <w:tcPr>
            <w:tcW w:w="977" w:type="dxa"/>
            <w:shd w:val="clear" w:color="auto" w:fill="auto"/>
          </w:tcPr>
          <w:p w14:paraId="6A717B0E"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2-25</w:t>
            </w:r>
          </w:p>
        </w:tc>
        <w:tc>
          <w:tcPr>
            <w:tcW w:w="724" w:type="dxa"/>
            <w:shd w:val="clear" w:color="auto" w:fill="auto"/>
          </w:tcPr>
          <w:p w14:paraId="1E8AB8B5"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5.83</w:t>
            </w:r>
          </w:p>
        </w:tc>
        <w:tc>
          <w:tcPr>
            <w:tcW w:w="712" w:type="dxa"/>
            <w:shd w:val="clear" w:color="auto" w:fill="auto"/>
          </w:tcPr>
          <w:p w14:paraId="4ADCAB74"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0.52</w:t>
            </w:r>
          </w:p>
        </w:tc>
        <w:tc>
          <w:tcPr>
            <w:tcW w:w="708" w:type="dxa"/>
            <w:shd w:val="clear" w:color="auto" w:fill="auto"/>
          </w:tcPr>
          <w:p w14:paraId="0EAA67B9"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0.95</w:t>
            </w:r>
          </w:p>
        </w:tc>
        <w:tc>
          <w:tcPr>
            <w:tcW w:w="1415" w:type="dxa"/>
            <w:shd w:val="clear" w:color="auto" w:fill="auto"/>
          </w:tcPr>
          <w:p w14:paraId="3A59CADF" w14:textId="0B089BA9"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{"citationItems":[{"id":"ITEM-1","itemData":{"DOI":"10.1007/S00604-016-1897-1/TABLES/2","ISSN":"14365073","abstract":"We describe a chemical exfoliation method for the preparation of MoS2 nanosheets. The nanosheets were incorporated into poly(3,4-ethylenedioxythiophene) (PEDOT) by electrodeposition on a glassy carbon electrode (GCE) to form a nanocomposite. The modified GCE is shown to enable simultaneous determination of ascorbic acid (AA), dopamine (DA) and uric acid (UA). Due to the synergistic effect of MoS2 and PEDOT, this electrode displays better properties in terms of electrocatalytic oxidation of AA, DA and UA than pure PEDOT, which is illustrated by cyclic voltammetry and differential pulse voltammetry (DPV). Under optimum conditions and at pH 7.4, the respective sensitivities and best working potentials are as follows: AA: 1.20 A∙mM−1∙m−2, 30 mV; DA: 36.40 A∙mM−1∙m−2, 210 mV; UA: 105.17 A∙mM−1∙m−2, 350 mV. The calculated detection limits for AA, DA and UA are 5.83 μM, 0.52 μM and 0.95 μM, respectively. The modified electrode was applied to the detection of the three species in human urine samples and gave satisfactory results. [Figure not available: see fulltext.]","author":[{"dropping-particle":"","family":"Li","given":"Ying","non-dropping-particle":"","parse-names":false,"suffix":""},{"dropping-particle":"","family":"Lin","given":"Hechun","non-dropping-particle":"","parse-names":false,"suffix":""},{"dropping-particle":"","family":"Peng","given":"Hui","non-dropping-particle":"","parse-names":false,"suffix":""},{"dropping-particle":"","family":"Qi","given":"Ruijuan","non-dropping-particle":"","parse-names":false,"suffix":""},{"dropping-particle":"","family":"Luo","given":"Chunhua","non-dropping-particle":"","parse-names":false,"suffix":""}],"container-title":"Microchimica Acta","id":"ITEM-1","issue":"9","issued":{"date-parts":[["2016","9","1"]]},"note":"1002-Sup-4","page":"2517-2523","publisher":"Springer-Verlag Wien","title":"A glassy carbon electrode modified with MoS2 nanosheets and poly(3,4-ethylenedioxythiophene) for simultaneous electrochemical detection of ascorbic acid, dopamine and uric acid","type":"article-journal","volume":"183"},"uris":["http://www.mendeley.com/documents/?uuid=7bfb5972-d89d-3011-b600-2552e8718dc3"]}],"mendeley":{"formattedCitation":"[4]","plainTextFormattedCitation":"[4]","previouslyFormattedCitation":"[4]"},"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[4]</w:t>
            </w:r>
            <w:r w:rsidRPr="00134BF3">
              <w:rPr>
                <w:rFonts w:ascii="Times New Roman" w:eastAsia="MS Mincho" w:hAnsi="Times New Roman" w:cs="Times New Roman"/>
                <w:sz w:val="20"/>
                <w:szCs w:val="20"/>
              </w:rPr>
              <w:fldChar w:fldCharType="end"/>
            </w:r>
          </w:p>
        </w:tc>
      </w:tr>
      <w:tr w:rsidR="003E7BD8" w:rsidRPr="00134BF3" w14:paraId="0CD36A91" w14:textId="77777777" w:rsidTr="00A30E33">
        <w:trPr>
          <w:jc w:val="center"/>
        </w:trPr>
        <w:tc>
          <w:tcPr>
            <w:tcW w:w="1951" w:type="dxa"/>
            <w:shd w:val="clear" w:color="auto" w:fill="auto"/>
          </w:tcPr>
          <w:p w14:paraId="28235CF9"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AuNPs@MoS</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-NSs</w:t>
            </w:r>
          </w:p>
        </w:tc>
        <w:tc>
          <w:tcPr>
            <w:tcW w:w="1132" w:type="dxa"/>
            <w:shd w:val="clear" w:color="auto" w:fill="auto"/>
          </w:tcPr>
          <w:p w14:paraId="6FB29758"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20-300</w:t>
            </w:r>
          </w:p>
        </w:tc>
        <w:tc>
          <w:tcPr>
            <w:tcW w:w="994" w:type="dxa"/>
            <w:shd w:val="clear" w:color="auto" w:fill="auto"/>
          </w:tcPr>
          <w:p w14:paraId="3164F179"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5-200</w:t>
            </w:r>
          </w:p>
        </w:tc>
        <w:tc>
          <w:tcPr>
            <w:tcW w:w="977" w:type="dxa"/>
            <w:shd w:val="clear" w:color="auto" w:fill="auto"/>
          </w:tcPr>
          <w:p w14:paraId="08907505"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20-400</w:t>
            </w:r>
          </w:p>
        </w:tc>
        <w:tc>
          <w:tcPr>
            <w:tcW w:w="724" w:type="dxa"/>
            <w:shd w:val="clear" w:color="auto" w:fill="auto"/>
          </w:tcPr>
          <w:p w14:paraId="28E5EDED"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3</w:t>
            </w:r>
          </w:p>
        </w:tc>
        <w:tc>
          <w:tcPr>
            <w:tcW w:w="712" w:type="dxa"/>
            <w:shd w:val="clear" w:color="auto" w:fill="auto"/>
          </w:tcPr>
          <w:p w14:paraId="17E55DE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w:t>
            </w:r>
          </w:p>
        </w:tc>
        <w:tc>
          <w:tcPr>
            <w:tcW w:w="708" w:type="dxa"/>
            <w:shd w:val="clear" w:color="auto" w:fill="auto"/>
          </w:tcPr>
          <w:p w14:paraId="5550920E"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w:t>
            </w:r>
          </w:p>
        </w:tc>
        <w:tc>
          <w:tcPr>
            <w:tcW w:w="1415" w:type="dxa"/>
            <w:shd w:val="clear" w:color="auto" w:fill="auto"/>
          </w:tcPr>
          <w:p w14:paraId="0EFFF7D5" w14:textId="691B0179"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{"citationItems":[{"id":"ITEM-1","itemData":{"DOI":"10.1016/J.SNB.2017.06.158","ISSN":"0925-4005","abstract":"Recently, hybrids of layered MoS2 are highly encouraged to handle the puzzles, taken by the weakness of two-dimensional (2D) transition metal dichalcogenides (TMDC), including low conductivity and lack of active edge sites. Considering the merits of zero-dimensional (0D) nanomaterials, the emerging heterostructures based on 0D Au nanoparticles and 2D MoS2nanosheets (MoS2-NSs) are successfully obtained via a spontaneously reduced process with the addition of HAuCl4 in exfoliated MoS2-NSs aqueous dispersions. Significantly, with the combination of high conductivity rate and large active surface, the synthetic effect results in a diversity of improved properties of 0D-2D heterostructures, not only exhibiting improved stability, but also remarkably enhancing the selectivity and sensitivity for electrochemically simultaneous detections of dopamine, ascorbic acid, uric acid, and nitrite. Our current achievements of 0D-2D heterostructures contribute fresh ideas to the overall development of more advanced future TMDC based sensors.","author":[{"dropping-particle":"","family":"Zou","given":"Hao Lin","non-dropping-particle":"","parse-names":false,"suffix":""},{"dropping-particle":"","family":"Li","given":"Bang Lin","non-dropping-particle":"","parse-names":false,"suffix":""},{"dropping-particle":"","family":"Luo","given":"Hong Qun","non-dropping-particle":"","parse-names":false,"suffix":""},{"dropping-particle":"","family":"Li","given":"Nian Bing","non-dropping-particle":"","parse-names":false,"suffix":""}],"container-title":"Sensors and Actuators B: Chemical","id":"ITEM-1","issued":{"date-parts":[["2017","12","1"]]},"note":"1002-Sup-5","page":"352-360","publisher":"Elsevier","title":"0D-2D heterostructures of Au nanoparticles and layered MoS2 for simultaneous detections of dopamine, ascorbic acid, uric acid, and nitrite","type":"article-journal","volume":"253"},"uris":["http://www.mendeley.com/documents/?uuid=e49125bf-9efa-3cdc-b353-1ea7e17753b3"]}],"mendeley":{"formattedCitation":"[5]","plainTextFormattedCitation":"[5]","previouslyFormattedCitation":"[5]"},"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[5]</w:t>
            </w:r>
            <w:r w:rsidRPr="00134BF3">
              <w:rPr>
                <w:rFonts w:ascii="Times New Roman" w:eastAsia="MS Mincho" w:hAnsi="Times New Roman" w:cs="Times New Roman"/>
                <w:sz w:val="20"/>
                <w:szCs w:val="20"/>
              </w:rPr>
              <w:fldChar w:fldCharType="end"/>
            </w:r>
          </w:p>
        </w:tc>
      </w:tr>
      <w:tr w:rsidR="003E7BD8" w:rsidRPr="00134BF3" w14:paraId="2ECB5AA1" w14:textId="77777777" w:rsidTr="00A30E33">
        <w:trPr>
          <w:jc w:val="center"/>
        </w:trPr>
        <w:tc>
          <w:tcPr>
            <w:tcW w:w="1951" w:type="dxa"/>
            <w:shd w:val="clear" w:color="auto" w:fill="auto"/>
          </w:tcPr>
          <w:p w14:paraId="25ABFB65"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3D MoS</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-PANI/</w:t>
            </w:r>
            <w:proofErr w:type="spellStart"/>
            <w:r w:rsidRPr="00134BF3">
              <w:rPr>
                <w:rFonts w:ascii="Times New Roman" w:eastAsia="MS Mincho" w:hAnsi="Times New Roman" w:cs="Times New Roman"/>
                <w:b/>
                <w:sz w:val="20"/>
                <w:szCs w:val="20"/>
              </w:rPr>
              <w:t>rGO</w:t>
            </w:r>
            <w:proofErr w:type="spellEnd"/>
          </w:p>
        </w:tc>
        <w:tc>
          <w:tcPr>
            <w:tcW w:w="1132" w:type="dxa"/>
            <w:shd w:val="clear" w:color="auto" w:fill="auto"/>
          </w:tcPr>
          <w:p w14:paraId="51D80671"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50-8.0x10</w:t>
            </w:r>
            <w:r w:rsidRPr="00134BF3">
              <w:rPr>
                <w:rFonts w:ascii="Times New Roman" w:eastAsia="MS Mincho" w:hAnsi="Times New Roman" w:cs="Times New Roman"/>
                <w:sz w:val="20"/>
                <w:szCs w:val="20"/>
                <w:vertAlign w:val="superscript"/>
              </w:rPr>
              <w:t>3</w:t>
            </w:r>
          </w:p>
        </w:tc>
        <w:tc>
          <w:tcPr>
            <w:tcW w:w="994" w:type="dxa"/>
            <w:shd w:val="clear" w:color="auto" w:fill="auto"/>
          </w:tcPr>
          <w:p w14:paraId="677BF218"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5-500</w:t>
            </w:r>
          </w:p>
        </w:tc>
        <w:tc>
          <w:tcPr>
            <w:tcW w:w="977" w:type="dxa"/>
            <w:shd w:val="clear" w:color="auto" w:fill="auto"/>
          </w:tcPr>
          <w:p w14:paraId="190362C8"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1-500</w:t>
            </w:r>
          </w:p>
        </w:tc>
        <w:tc>
          <w:tcPr>
            <w:tcW w:w="724" w:type="dxa"/>
            <w:shd w:val="clear" w:color="auto" w:fill="auto"/>
          </w:tcPr>
          <w:p w14:paraId="31F140E3"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22.20</w:t>
            </w:r>
          </w:p>
        </w:tc>
        <w:tc>
          <w:tcPr>
            <w:tcW w:w="712" w:type="dxa"/>
            <w:shd w:val="clear" w:color="auto" w:fill="auto"/>
          </w:tcPr>
          <w:p w14:paraId="0F532114"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0.70</w:t>
            </w:r>
          </w:p>
        </w:tc>
        <w:tc>
          <w:tcPr>
            <w:tcW w:w="708" w:type="dxa"/>
            <w:shd w:val="clear" w:color="auto" w:fill="auto"/>
          </w:tcPr>
          <w:p w14:paraId="0328C33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0.36</w:t>
            </w:r>
          </w:p>
        </w:tc>
        <w:tc>
          <w:tcPr>
            <w:tcW w:w="1415" w:type="dxa"/>
            <w:shd w:val="clear" w:color="auto" w:fill="auto"/>
          </w:tcPr>
          <w:p w14:paraId="4DD63C12" w14:textId="3D2696E8"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{"citationItems":[{"id":"ITEM-1","itemData":{"DOI":"10.1039/C8RA09511F","ISSN":"2046-2069","abstract":"A three dimensional (3D) nanostructured composite based on the self-assembly of MoS2 nanospheres and polyaniline (PANI) loaded on reduced graphene oxide (denoted by 3D MoS2-PANI/rGO) was prepared via a feasible one-pot hydrothermal process. The 3D MoS2-PANI/rGO nanocomposite not only exhibits good functionality and bioaffinity but also displays high electrochemical catalytic activity. As such, the developed 3D MoS2-PANI/rGO nanocomposite can be employed as the sensing platform for simultaneously detecting small biomolecules, i.e., ascorbic acid (AA), dopamine (DA), and uric acid (UA). The peak currents obtained from the differential pulse voltammetry (DPV) measurements depended linearly on the concentrations in the wide range from 50 μM to 8.0 mM, 5.0 to 500 μM, and 1.0 to 500 μM, giving low detection limits of 22.20, 0.70, and 0.36 μM for AA, DA, and UA, respectively. Furthermore, the 3D MoS2-PANI/rGO-based electrochemical sensor also exhibited high selectivity, good reproducibility and stability toward small molecule detection. The present sensing strategy based on 3D MoS2-PANI/rGO suggests a good reliability in the trace determination of electroactive biomolecules.","author":[{"dropping-particle":"","family":"Li","given":"Shuaihui","non-dropping-particle":"","parse-names":false,"suffix":""},{"dropping-particle":"","family":"Ma","given":"Yashen","non-dropping-particle":"","parse-names":false,"suffix":""},{"dropping-particle":"","family":"Liu","given":"Yongkang","non-dropping-particle":"","parse-names":false,"suffix":""},{"dropping-particle":"","family":"Xin","given":"Gu","non-dropping-particle":"","parse-names":false,"suffix":""},{"dropping-particle":"","family":"Wang","given":"Minghua","non-dropping-particle":"","parse-names":false,"suffix":""},{"dropping-particle":"","family":"Zhang","given":"Zhihong","non-dropping-particle":"","parse-names":false,"suffix":""},{"dropping-particle":"","family":"Liu","given":"Zhongyi","non-dropping-particle":"","parse-names":false,"suffix":""}],"container-title":"RSC Advances","id":"ITEM-1","issue":"6","issued":{"date-parts":[["2019","1","22"]]},"note":"1002-Sup-6","page":"2997-3003","publisher":"The Royal Society of Chemistry","title":"Electrochemical sensor based on a three dimensional nanostructured MoS2 nanosphere-PANI/reduced graphene oxide composite for simultaneous detection of ascorbic acid, dopamine, and uric acid","type":"article-journal","volume":"9"},"uris":["http://www.mendeley.com/documents/?uuid=6a889062-3fb1-3782-bb98-2968c11c7dd4"]}],"mendeley":{"formattedCitation":"[6]","plainTextFormattedCitation":"[6]","previouslyFormattedCitation":"[6]"},"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[6]</w:t>
            </w:r>
            <w:r w:rsidRPr="00134BF3">
              <w:rPr>
                <w:rFonts w:ascii="Times New Roman" w:eastAsia="MS Mincho" w:hAnsi="Times New Roman" w:cs="Times New Roman"/>
                <w:sz w:val="20"/>
                <w:szCs w:val="20"/>
              </w:rPr>
              <w:fldChar w:fldCharType="end"/>
            </w:r>
          </w:p>
        </w:tc>
      </w:tr>
      <w:tr w:rsidR="003E7BD8" w:rsidRPr="00134BF3" w14:paraId="255CE125" w14:textId="77777777" w:rsidTr="00A30E33">
        <w:trPr>
          <w:jc w:val="center"/>
        </w:trPr>
        <w:tc>
          <w:tcPr>
            <w:tcW w:w="1951" w:type="dxa"/>
            <w:shd w:val="clear" w:color="auto" w:fill="auto"/>
          </w:tcPr>
          <w:p w14:paraId="4A60A608"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S-MoSe</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/NSG/Au/MIPs</w:t>
            </w:r>
          </w:p>
        </w:tc>
        <w:tc>
          <w:tcPr>
            <w:tcW w:w="1132" w:type="dxa"/>
            <w:shd w:val="clear" w:color="auto" w:fill="auto"/>
          </w:tcPr>
          <w:p w14:paraId="78CE6F0C" w14:textId="77777777" w:rsidR="00992B87" w:rsidRPr="00134BF3" w:rsidRDefault="00992B87" w:rsidP="00A30E33">
            <w:pPr>
              <w:spacing w:line="360" w:lineRule="auto"/>
              <w:jc w:val="both"/>
              <w:rPr>
                <w:rFonts w:ascii="Times New Roman" w:eastAsia="MS Mincho" w:hAnsi="Times New Roman" w:cs="Times New Roman"/>
                <w:sz w:val="20"/>
                <w:szCs w:val="20"/>
              </w:rPr>
            </w:pPr>
          </w:p>
        </w:tc>
        <w:tc>
          <w:tcPr>
            <w:tcW w:w="994" w:type="dxa"/>
            <w:shd w:val="clear" w:color="auto" w:fill="auto"/>
          </w:tcPr>
          <w:p w14:paraId="22872003"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0.05-1000</w:t>
            </w:r>
          </w:p>
        </w:tc>
        <w:tc>
          <w:tcPr>
            <w:tcW w:w="977" w:type="dxa"/>
            <w:shd w:val="clear" w:color="auto" w:fill="auto"/>
          </w:tcPr>
          <w:p w14:paraId="34E3E849" w14:textId="77777777" w:rsidR="00992B87" w:rsidRPr="00134BF3" w:rsidRDefault="00992B87" w:rsidP="00A30E33">
            <w:pPr>
              <w:spacing w:line="360" w:lineRule="auto"/>
              <w:jc w:val="both"/>
              <w:rPr>
                <w:rFonts w:ascii="Times New Roman" w:eastAsia="MS Mincho" w:hAnsi="Times New Roman" w:cs="Times New Roman"/>
                <w:sz w:val="20"/>
                <w:szCs w:val="20"/>
              </w:rPr>
            </w:pPr>
          </w:p>
        </w:tc>
        <w:tc>
          <w:tcPr>
            <w:tcW w:w="724" w:type="dxa"/>
            <w:shd w:val="clear" w:color="auto" w:fill="auto"/>
          </w:tcPr>
          <w:p w14:paraId="26530027" w14:textId="77777777" w:rsidR="00992B87" w:rsidRPr="00134BF3" w:rsidRDefault="00992B87" w:rsidP="00A30E33">
            <w:pPr>
              <w:spacing w:line="360" w:lineRule="auto"/>
              <w:jc w:val="both"/>
              <w:rPr>
                <w:rFonts w:ascii="Times New Roman" w:eastAsia="MS Mincho" w:hAnsi="Times New Roman" w:cs="Times New Roman"/>
                <w:sz w:val="20"/>
                <w:szCs w:val="20"/>
              </w:rPr>
            </w:pPr>
          </w:p>
        </w:tc>
        <w:tc>
          <w:tcPr>
            <w:tcW w:w="712" w:type="dxa"/>
            <w:shd w:val="clear" w:color="auto" w:fill="auto"/>
          </w:tcPr>
          <w:p w14:paraId="5939A485"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0.02</w:t>
            </w:r>
          </w:p>
        </w:tc>
        <w:tc>
          <w:tcPr>
            <w:tcW w:w="708" w:type="dxa"/>
            <w:shd w:val="clear" w:color="auto" w:fill="auto"/>
          </w:tcPr>
          <w:p w14:paraId="13695FAE" w14:textId="77777777" w:rsidR="00992B87" w:rsidRPr="00134BF3" w:rsidRDefault="00992B87" w:rsidP="00A30E33">
            <w:pPr>
              <w:spacing w:line="360" w:lineRule="auto"/>
              <w:jc w:val="both"/>
              <w:rPr>
                <w:rFonts w:ascii="Times New Roman" w:eastAsia="MS Mincho" w:hAnsi="Times New Roman" w:cs="Times New Roman"/>
                <w:sz w:val="20"/>
                <w:szCs w:val="20"/>
              </w:rPr>
            </w:pPr>
          </w:p>
        </w:tc>
        <w:tc>
          <w:tcPr>
            <w:tcW w:w="1415" w:type="dxa"/>
            <w:shd w:val="clear" w:color="auto" w:fill="auto"/>
          </w:tcPr>
          <w:p w14:paraId="4C885620" w14:textId="7742DC55"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{"citationItems":[{"id":"ITEM-1","itemData":{"DOI":"10.1016/J.MICROC.2020.104845","ISSN":"0026-265X","abstract":"An imprinted electrochemical sensor based on S-MoSe2/NSG/Au composite is firstly synthesized via a novel hydrothermal route with large surface area and abundant binding cavities for synergistic effect on dopamine (DA) recognition. High sensitivity obtained can be dramatically attributed to the electrical conductivity of S-MoSe2, Au, and catalytic ability of NSG. The selectivity of the biosensor for dopamine detection in differential pulse voltammetry (DPV) measurement does correspond to the high affinity and specificity of molecularly imprinted polymers (MIPs) using polypyrrole as functional monomer, which can distinguish DA from structural analogues of ascorbic acid and uric acid. The design takes advantage of electrochemical sensor based on S-MoSe2/NSG/Au/MIPs composite, showing a wide linear dynamic range (LDR) from 0.05 μM to 1000 μM, the limit of detection (LOD) of 0.02 μM and limit of quantification (LOQ) of 0.066 μM. A series of DA concentration analyzed in human blood samples have demonstrated the potential of the developed sensor used in practical application. The present work might open a new perspective for the research in electrochemical sensor in term of novel nanomaterials.","author":[{"dropping-particle":"","family":"Zang","given":"Yu jiao","non-dropping-particle":"","parse-names":false,"suffix":""},{"dropping-particle":"","family":"Nie","given":"Jing","non-dropping-particle":"","parse-names":false,"suffix":""},{"dropping-particle":"","family":"He","given":"Bin","non-dropping-particle":"","parse-names":false,"suffix":""},{"dropping-particle":"","family":"Yin","given":"Wei","non-dropping-particle":"","parse-names":false,"suffix":""},{"dropping-particle":"","family":"Zheng","given":"Jie","non-dropping-particle":"","parse-names":false,"suffix":""},{"dropping-particle":"","family":"Hou","given":"Chang jun","non-dropping-particle":"","parse-names":false,"suffix":""},{"dropping-particle":"","family":"Huo","given":"Dan qun","non-dropping-particle":"","parse-names":false,"suffix":""},{"dropping-particle":"","family":"Yang","given":"Mei","non-dropping-particle":"","parse-names":false,"suffix":""},{"dropping-particle":"","family":"Liu","given":"Fang mei","non-dropping-particle":"","parse-names":false,"suffix":""},{"dropping-particle":"","family":"Sun","given":"Qiao qian","non-dropping-particle":"","parse-names":false,"suffix":""},{"dropping-particle":"","family":"Qin","given":"Yan ling","non-dropping-particle":"","parse-names":false,"suffix":""},{"dropping-particle":"","family":"Fa","given":"Huan bao","non-dropping-particle":"","parse-names":false,"suffix":""}],"container-title":"Microchemical Journal","id":"ITEM-1","issued":{"date-parts":[["2020","7","1"]]},"note":"1002-Sup-7","page":"104845","publisher":"Elsevier","title":"Fabrication of S-MoSe2/NSG/Au/MIPs imprinted composites for electrochemical detection of dopamine based on synergistic effect","type":"article-journal","volume":"156"},"uris":["http://www.mendeley.com/documents/?uuid=b4325bb6-032b-3503-b917-9f8d77b41d19"]}],"mendeley":{"formattedCitation":"[7]","plainTextFormattedCitation":"[7]","previouslyFormattedCitation":"[7]"},"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[7]</w:t>
            </w:r>
            <w:r w:rsidRPr="00134BF3">
              <w:rPr>
                <w:rFonts w:ascii="Times New Roman" w:eastAsia="MS Mincho" w:hAnsi="Times New Roman" w:cs="Times New Roman"/>
                <w:sz w:val="20"/>
                <w:szCs w:val="20"/>
              </w:rPr>
              <w:fldChar w:fldCharType="end"/>
            </w:r>
          </w:p>
        </w:tc>
      </w:tr>
      <w:tr w:rsidR="003E7BD8" w:rsidRPr="00134BF3" w14:paraId="58D70E42" w14:textId="77777777" w:rsidTr="00992B87">
        <w:trPr>
          <w:jc w:val="center"/>
        </w:trPr>
        <w:tc>
          <w:tcPr>
            <w:tcW w:w="1951" w:type="dxa"/>
            <w:tcBorders>
              <w:bottom w:val="single" w:sz="4" w:space="0" w:color="auto"/>
            </w:tcBorders>
            <w:shd w:val="clear" w:color="auto" w:fill="auto"/>
          </w:tcPr>
          <w:p w14:paraId="773601E9"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CB-CNT/PI</w:t>
            </w:r>
          </w:p>
        </w:tc>
        <w:tc>
          <w:tcPr>
            <w:tcW w:w="1132" w:type="dxa"/>
            <w:tcBorders>
              <w:bottom w:val="single" w:sz="4" w:space="0" w:color="auto"/>
            </w:tcBorders>
            <w:shd w:val="clear" w:color="auto" w:fill="auto"/>
          </w:tcPr>
          <w:p w14:paraId="6DF42DB2"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1000-24000</w:t>
            </w:r>
          </w:p>
        </w:tc>
        <w:tc>
          <w:tcPr>
            <w:tcW w:w="994" w:type="dxa"/>
            <w:tcBorders>
              <w:bottom w:val="single" w:sz="4" w:space="0" w:color="auto"/>
            </w:tcBorders>
            <w:shd w:val="clear" w:color="auto" w:fill="auto"/>
          </w:tcPr>
          <w:p w14:paraId="4B89EEC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3-300</w:t>
            </w:r>
          </w:p>
        </w:tc>
        <w:tc>
          <w:tcPr>
            <w:tcW w:w="977" w:type="dxa"/>
            <w:tcBorders>
              <w:bottom w:val="single" w:sz="4" w:space="0" w:color="auto"/>
            </w:tcBorders>
            <w:shd w:val="clear" w:color="auto" w:fill="auto"/>
          </w:tcPr>
          <w:p w14:paraId="059A8F3B"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5-500</w:t>
            </w:r>
          </w:p>
        </w:tc>
        <w:tc>
          <w:tcPr>
            <w:tcW w:w="724" w:type="dxa"/>
            <w:tcBorders>
              <w:bottom w:val="single" w:sz="4" w:space="0" w:color="auto"/>
            </w:tcBorders>
            <w:shd w:val="clear" w:color="auto" w:fill="auto"/>
          </w:tcPr>
          <w:p w14:paraId="157587B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154</w:t>
            </w:r>
          </w:p>
        </w:tc>
        <w:tc>
          <w:tcPr>
            <w:tcW w:w="712" w:type="dxa"/>
            <w:tcBorders>
              <w:bottom w:val="single" w:sz="4" w:space="0" w:color="auto"/>
            </w:tcBorders>
            <w:shd w:val="clear" w:color="auto" w:fill="auto"/>
          </w:tcPr>
          <w:p w14:paraId="58E4B460"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1.86</w:t>
            </w:r>
          </w:p>
        </w:tc>
        <w:tc>
          <w:tcPr>
            <w:tcW w:w="708" w:type="dxa"/>
            <w:tcBorders>
              <w:bottom w:val="single" w:sz="4" w:space="0" w:color="auto"/>
            </w:tcBorders>
            <w:shd w:val="clear" w:color="auto" w:fill="auto"/>
          </w:tcPr>
          <w:p w14:paraId="58E89D7E"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3</w:t>
            </w:r>
          </w:p>
        </w:tc>
        <w:tc>
          <w:tcPr>
            <w:tcW w:w="1415" w:type="dxa"/>
            <w:tcBorders>
              <w:bottom w:val="single" w:sz="4" w:space="0" w:color="auto"/>
            </w:tcBorders>
            <w:shd w:val="clear" w:color="auto" w:fill="auto"/>
          </w:tcPr>
          <w:p w14:paraId="6EEEC3B6" w14:textId="1B8BBF2F"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{"citationItems":[{"id":"ITEM-1","itemData":{"DOI":"10.3390/MA11091691","ISSN":"1996-1944","abstract":"Carbon black (CB) and carbon nanotube (CNT) co-doped polyimide (PI) modified glassy carbon electrode (CB-CNT/PI/GCE) was first prepared for the simultaneous determination of ascorbic acid (AA), dopamine (DA), and uric acid (UA). The CB-CNT/PI/GCE exhibited persistent electrochemical behavior and excellent catalytic activities. Cyclic voltammetry (CV) and differential pulse voltammetry (DPV) were used for the simultaneous detection of AA, DA, and UA in their ternary mixture. The peak separations between AA and DA, and DA and UA, are up to 166 mV and 148 mV, respectively. The CB-CNT/PI/GCE exhibited high sensitivity to DA and UA, with the detection limit of 1.9 µM and 3 µM, respectively. In addition, the CB-CNT/PI/GCE showed sufficient selectivity and long-term stability, and was applicable to detect AA, DA, and UA in human urine sample.","author":[{"dropping-particle":"","family":"Wang","given":"Yue","non-dropping-particle":"","parse-names":false,"suffix":""},{"dropping-particle":"","family":"Yang","given":"Tian","non-dropping-particle":"","parse-names":false,"suffix":""},{"dropping-particle":"","family":"Hasebe","given":"Yasushi","non-dropping-particle":"","parse-names":false,"suffix":""},{"dropping-particle":"","family":"Zhang","given":"Zhiqiang","non-dropping-particle":"","parse-names":false,"suffix":""},{"dropping-particle":"","family":"Tao","given":"Dongping","non-dropping-particle":"","parse-names":false,"suffix":""}],"container-title":"Materials 2018, Vol. 11, Page 1691","id":"ITEM-1","issue":"9","issued":{"date-parts":[["2018","9","12"]]},"note":"1002-Sup-8","page":"1691","publisher":"Multidisciplinary Digital Publishing Institute","title":"Carbon Black-Carbon Nanotube Co-Doped Polyimide Sensors for Simultaneous Determination of Ascorbic Acid, Uric Acid, and Dopamine","type":"article-journal","volume":"11"},"uris":["http://www.mendeley.com/documents/?uuid=94f6fbca-44bc-367f-8415-9c2bbb886ee4"]}],"mendeley":{"formattedCitation":"[8]","plainTextFormattedCitation":"[8]","previouslyFormattedCitation":"[8]"},"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[8]</w:t>
            </w:r>
            <w:r w:rsidRPr="00134BF3">
              <w:rPr>
                <w:rFonts w:ascii="Times New Roman" w:eastAsia="MS Mincho" w:hAnsi="Times New Roman" w:cs="Times New Roman"/>
                <w:sz w:val="20"/>
                <w:szCs w:val="20"/>
              </w:rPr>
              <w:fldChar w:fldCharType="end"/>
            </w:r>
          </w:p>
        </w:tc>
      </w:tr>
      <w:tr w:rsidR="003E7BD8" w:rsidRPr="00134BF3" w14:paraId="4F5D9F71" w14:textId="77777777" w:rsidTr="00A30E33">
        <w:trPr>
          <w:jc w:val="center"/>
        </w:trPr>
        <w:tc>
          <w:tcPr>
            <w:tcW w:w="1951" w:type="dxa"/>
            <w:shd w:val="clear" w:color="auto" w:fill="auto"/>
          </w:tcPr>
          <w:p w14:paraId="4D4ADE9B" w14:textId="77777777" w:rsidR="00992B87" w:rsidRPr="00134BF3" w:rsidRDefault="00992B87" w:rsidP="00A30E33">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WSe</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@C</w:t>
            </w:r>
          </w:p>
        </w:tc>
        <w:tc>
          <w:tcPr>
            <w:tcW w:w="1132" w:type="dxa"/>
            <w:shd w:val="clear" w:color="auto" w:fill="auto"/>
          </w:tcPr>
          <w:p w14:paraId="4C4AB7F9"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8-2456</w:t>
            </w:r>
          </w:p>
        </w:tc>
        <w:tc>
          <w:tcPr>
            <w:tcW w:w="994" w:type="dxa"/>
            <w:shd w:val="clear" w:color="auto" w:fill="auto"/>
          </w:tcPr>
          <w:p w14:paraId="6980B93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1.0-49</w:t>
            </w:r>
          </w:p>
          <w:p w14:paraId="0A4EC3E2"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72.8-381.4</w:t>
            </w:r>
          </w:p>
        </w:tc>
        <w:tc>
          <w:tcPr>
            <w:tcW w:w="977" w:type="dxa"/>
            <w:shd w:val="clear" w:color="auto" w:fill="auto"/>
          </w:tcPr>
          <w:p w14:paraId="0ABD7877"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1-24.8</w:t>
            </w:r>
          </w:p>
          <w:p w14:paraId="21C32C06"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36,9-185.2</w:t>
            </w:r>
          </w:p>
        </w:tc>
        <w:tc>
          <w:tcPr>
            <w:tcW w:w="724" w:type="dxa"/>
            <w:shd w:val="clear" w:color="auto" w:fill="auto"/>
          </w:tcPr>
          <w:p w14:paraId="577C9DE5"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3.2</w:t>
            </w:r>
          </w:p>
        </w:tc>
        <w:tc>
          <w:tcPr>
            <w:tcW w:w="712" w:type="dxa"/>
            <w:shd w:val="clear" w:color="auto" w:fill="auto"/>
          </w:tcPr>
          <w:p w14:paraId="62C2517A"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0.18</w:t>
            </w:r>
          </w:p>
        </w:tc>
        <w:tc>
          <w:tcPr>
            <w:tcW w:w="708" w:type="dxa"/>
            <w:shd w:val="clear" w:color="auto" w:fill="auto"/>
          </w:tcPr>
          <w:p w14:paraId="53BC95C1" w14:textId="77777777" w:rsidR="00992B87" w:rsidRPr="00134BF3" w:rsidRDefault="00992B87"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0.42</w:t>
            </w:r>
          </w:p>
        </w:tc>
        <w:tc>
          <w:tcPr>
            <w:tcW w:w="1415" w:type="dxa"/>
            <w:shd w:val="clear" w:color="auto" w:fill="auto"/>
          </w:tcPr>
          <w:p w14:paraId="04C9DE31" w14:textId="30B22227" w:rsidR="00992B87" w:rsidRPr="00134BF3" w:rsidRDefault="003E7BD8" w:rsidP="00A30E33">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Pr="00134BF3">
              <w:rPr>
                <w:rFonts w:ascii="Times New Roman" w:eastAsia="MS Mincho" w:hAnsi="Times New Roman" w:cs="Times New Roman"/>
                <w:sz w:val="20"/>
                <w:szCs w:val="20"/>
              </w:rPr>
              <w:instrText>ADDIN CSL_CITATION {"citationItems":[{"id":"ITEM-1","itemData":{"DOI":"10.1109/JSEN.2022.3184509","ISSN":"15581748","abstract":"The development of sensitive and selective electrodes for electrochemical detection of ascorbic acid (AA), dopamine (DA) and uric acid (UA) is essential for early diagnosis and effective treatment. In this work, a nanocomposite of two-dimensional WSe2 nanosheets with carbon black (WSe2@C) was prepared by facile hydrothermal method and used to modify a glassy carbon electrode (GCE) to fabricate an electrochemical sensing platform for simultaneous determination of AA, DA and UA. The as-prepared nanocomposite was characterized in terms of structural and morphological analyses through X-ray diffraction (XRD), scanning electron microscopy (SEM) and transmission electron microscopy (TEM). The electrochemical and electrocatalytic behaviors of the modified electrode (GCE-WSe2@C) were investigated using cyclic voltammetry (CV) and differential pulse voltammetry (DPV) techniques. The sensing performance of GCE-WSe2@C electrode was tested against AA, DA and UA, resulting in enhanced electrocatalytic properties compared to GCE-WSe2 and GCE-C electrodes. The GCE-WSe2@C electrode displayed wide linear ranges of 8.0 - $2456 \\mu \\text{M}$ for AA, 1.0 - 49.0 &amp; 72.8 - $381.4 \\mu \\text{M}$ for DA and 1.0- 24.8 &amp; 36.9- $185.2 \\mu \\text{M}$ for UA with low detection limits of 3.2, 0.18 and $0.42 \\mu \\text{M}$ , respectively. In addition, the developed electrode demonstrated high reproducibility and stability for electrochemical detection of AA, DA and UA.","author":[{"dropping-particle":"","family":"Cogal","given":"Sadik","non-dropping-particle":"","parse-names":false,"suffix":""},{"dropping-particle":"","family":"Bhethanabotla","given":"Venkat R.","non-dropping-particle":"","parse-names":false,"suffix":""}],"container-title":"IEEE Sensors Journal","id":"ITEM-1","issue":"15","issued":{"date-parts":[["2022","8","1"]]},"note":"1002-Sup-9","page":"14952-14958","publisher":"Institute of Electrical and Electronics Engineers Inc.","title":"Electrochemical Sensor Based on Carbon-Incorporated WSe2Nanosheets for Simultaneous Detection of Ascorbic Acid, Dopamine, and Uric Acid","type":"article-journal","volume":"22"},"uris":["http://www.mendeley.com/documents/?uuid=a7e9f35c-1d95-3afd-a97b-05b39c739cb8"]}],"mendeley":{"formattedCitation":"[9]","plainTextFormattedCitation":"[9]","previouslyFormattedCitation":"[9]"},"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[9]</w:t>
            </w:r>
            <w:r w:rsidRPr="00134BF3">
              <w:rPr>
                <w:rFonts w:ascii="Times New Roman" w:eastAsia="MS Mincho" w:hAnsi="Times New Roman" w:cs="Times New Roman"/>
                <w:sz w:val="20"/>
                <w:szCs w:val="20"/>
              </w:rPr>
              <w:fldChar w:fldCharType="end"/>
            </w:r>
          </w:p>
        </w:tc>
      </w:tr>
      <w:tr w:rsidR="003E7BD8" w:rsidRPr="00134BF3" w14:paraId="463FE0A6" w14:textId="77777777" w:rsidTr="00992B87">
        <w:trPr>
          <w:jc w:val="center"/>
        </w:trPr>
        <w:tc>
          <w:tcPr>
            <w:tcW w:w="1951" w:type="dxa"/>
            <w:tcBorders>
              <w:bottom w:val="single" w:sz="4" w:space="0" w:color="auto"/>
              <w:right w:val="single" w:sz="4" w:space="0" w:color="auto"/>
            </w:tcBorders>
            <w:shd w:val="clear" w:color="auto" w:fill="auto"/>
          </w:tcPr>
          <w:p w14:paraId="75D14848" w14:textId="7F82BA38" w:rsidR="00992B87" w:rsidRPr="00134BF3" w:rsidRDefault="00992B87" w:rsidP="00992B87">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Co/MoSe</w:t>
            </w:r>
            <w:r w:rsidRPr="00134BF3">
              <w:rPr>
                <w:rFonts w:ascii="Times New Roman" w:eastAsia="MS Mincho" w:hAnsi="Times New Roman" w:cs="Times New Roman"/>
                <w:b/>
                <w:sz w:val="20"/>
                <w:szCs w:val="20"/>
                <w:vertAlign w:val="subscript"/>
              </w:rPr>
              <w:t>2</w:t>
            </w:r>
            <w:r w:rsidRPr="00134BF3">
              <w:rPr>
                <w:rFonts w:ascii="Times New Roman" w:eastAsia="MS Mincho" w:hAnsi="Times New Roman" w:cs="Times New Roman"/>
                <w:b/>
                <w:sz w:val="20"/>
                <w:szCs w:val="20"/>
              </w:rPr>
              <w:t>/</w:t>
            </w:r>
            <w:proofErr w:type="spellStart"/>
            <w:r w:rsidRPr="00134BF3">
              <w:rPr>
                <w:rFonts w:ascii="Times New Roman" w:eastAsia="MS Mincho" w:hAnsi="Times New Roman" w:cs="Times New Roman"/>
                <w:b/>
                <w:sz w:val="20"/>
                <w:szCs w:val="20"/>
              </w:rPr>
              <w:t>PPy@CNF</w:t>
            </w:r>
            <w:proofErr w:type="spellEnd"/>
          </w:p>
        </w:tc>
        <w:tc>
          <w:tcPr>
            <w:tcW w:w="1132" w:type="dxa"/>
            <w:tcBorders>
              <w:left w:val="single" w:sz="4" w:space="0" w:color="auto"/>
              <w:bottom w:val="single" w:sz="4" w:space="0" w:color="auto"/>
              <w:right w:val="single" w:sz="4" w:space="0" w:color="auto"/>
            </w:tcBorders>
            <w:shd w:val="clear" w:color="auto" w:fill="FFFFFF"/>
          </w:tcPr>
          <w:p w14:paraId="78CEE697" w14:textId="791447F3"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30–3212</w:t>
            </w:r>
          </w:p>
        </w:tc>
        <w:tc>
          <w:tcPr>
            <w:tcW w:w="994" w:type="dxa"/>
            <w:tcBorders>
              <w:left w:val="single" w:sz="4" w:space="0" w:color="auto"/>
              <w:bottom w:val="single" w:sz="4" w:space="0" w:color="auto"/>
              <w:right w:val="single" w:sz="4" w:space="0" w:color="auto"/>
            </w:tcBorders>
            <w:shd w:val="clear" w:color="auto" w:fill="FFFFFF"/>
          </w:tcPr>
          <w:p w14:paraId="3471398C" w14:textId="1A191C28"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1.2–536</w:t>
            </w:r>
          </w:p>
        </w:tc>
        <w:tc>
          <w:tcPr>
            <w:tcW w:w="977" w:type="dxa"/>
            <w:tcBorders>
              <w:left w:val="single" w:sz="4" w:space="0" w:color="auto"/>
              <w:bottom w:val="single" w:sz="4" w:space="0" w:color="auto"/>
              <w:right w:val="single" w:sz="4" w:space="0" w:color="auto"/>
            </w:tcBorders>
            <w:shd w:val="clear" w:color="auto" w:fill="FFFFFF"/>
          </w:tcPr>
          <w:p w14:paraId="76B99216" w14:textId="5059ED24"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10–1071</w:t>
            </w:r>
          </w:p>
        </w:tc>
        <w:tc>
          <w:tcPr>
            <w:tcW w:w="724" w:type="dxa"/>
            <w:tcBorders>
              <w:left w:val="single" w:sz="4" w:space="0" w:color="auto"/>
              <w:bottom w:val="single" w:sz="4" w:space="0" w:color="auto"/>
              <w:right w:val="single" w:sz="4" w:space="0" w:color="auto"/>
            </w:tcBorders>
            <w:shd w:val="clear" w:color="auto" w:fill="FFFFFF"/>
          </w:tcPr>
          <w:p w14:paraId="48265B37" w14:textId="24EB6A47"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6.32</w:t>
            </w:r>
          </w:p>
        </w:tc>
        <w:tc>
          <w:tcPr>
            <w:tcW w:w="712" w:type="dxa"/>
            <w:tcBorders>
              <w:left w:val="single" w:sz="4" w:space="0" w:color="auto"/>
              <w:bottom w:val="single" w:sz="4" w:space="0" w:color="auto"/>
              <w:right w:val="single" w:sz="4" w:space="0" w:color="auto"/>
            </w:tcBorders>
            <w:shd w:val="clear" w:color="auto" w:fill="FFFFFF"/>
          </w:tcPr>
          <w:p w14:paraId="02862553" w14:textId="7658E45B"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0.45</w:t>
            </w:r>
          </w:p>
        </w:tc>
        <w:tc>
          <w:tcPr>
            <w:tcW w:w="708" w:type="dxa"/>
            <w:tcBorders>
              <w:left w:val="single" w:sz="4" w:space="0" w:color="auto"/>
              <w:bottom w:val="single" w:sz="4" w:space="0" w:color="auto"/>
              <w:right w:val="single" w:sz="4" w:space="0" w:color="auto"/>
            </w:tcBorders>
            <w:shd w:val="clear" w:color="auto" w:fill="FFFFFF"/>
          </w:tcPr>
          <w:p w14:paraId="6F529A8B" w14:textId="4B3D6A99"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hAnsi="Times New Roman" w:cs="Times New Roman"/>
                <w:color w:val="222222"/>
                <w:sz w:val="20"/>
                <w:szCs w:val="20"/>
              </w:rPr>
              <w:t>0.81</w:t>
            </w:r>
          </w:p>
        </w:tc>
        <w:tc>
          <w:tcPr>
            <w:tcW w:w="1415" w:type="dxa"/>
            <w:tcBorders>
              <w:left w:val="single" w:sz="4" w:space="0" w:color="auto"/>
              <w:bottom w:val="single" w:sz="4" w:space="0" w:color="auto"/>
            </w:tcBorders>
            <w:shd w:val="clear" w:color="auto" w:fill="auto"/>
          </w:tcPr>
          <w:p w14:paraId="4EFFCBF2" w14:textId="49C34176" w:rsidR="00992B87" w:rsidRPr="00134BF3" w:rsidRDefault="003E7BD8"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fldChar w:fldCharType="begin" w:fldLock="1"/>
            </w:r>
            <w:r w:rsidR="005C4609" w:rsidRPr="00134BF3">
              <w:rPr>
                <w:rFonts w:ascii="Times New Roman" w:eastAsia="MS Mincho" w:hAnsi="Times New Roman" w:cs="Times New Roman"/>
                <w:sz w:val="20"/>
                <w:szCs w:val="20"/>
              </w:rPr>
              <w:instrText>ADDIN CSL_CITATION {"citationItems":[{"id":"ITEM-1","itemData":{"DOI":"https://doi.org/10.1007/s00604-023-06078-2","ISSN":"14365073","PMID":"38172450","abstract":"A novel cobalt-doped two-dimensional molybdenum diselenide/polypyrrole hybrid-based carbon nanofiber (Co/MoSe2/PPy@CNF) was prepared using the hydrothermal method followed by electrospinning technique. The structural and morphological properties of the 2D-TMD@CNF-based hybrids were characterized through X-ray photoelectron spectroscopy (XPS), scanning electron microscopy (SEM), energy-dispersive spectrometry (EDS), and transmission electron microscopy (TEM). The Co-MoSe2/PPy@CNF exhibited large surface area, porous structure, and improved active sites due to the synergistic effect of the components. The electrochemical and electrocatalytic characteristics of the 2D-TMD@CNF-modified electrodes were also investigated using cyclic voltammetry (CV) and differential pulse voltammetry (DPV) techniques. The Co/MoSe2/PPy@CNF electrode was used as an electrochemical sensor for simultaneous detection of ascorbic acid (AA), dopamine (DA), and uric acid (UA) and showed enhanced catalytic activity and sensitivity. Using DPV measurements, the Co/MoSe2/PPy@CNF demonstrated wide linear ranges of 30–3212 μM for AA, 1.2–536 μM for DA, and 10–1071 μM for UA with low detection limits of 6.32, 0.45, and 0.81 μM, respectively. The developed sensor with the Co/MoSe2/PPy@CNF-modified electrode was also applied to a human urine sample and gave recoveries ranging from 94.0 to 105.5% (n = 3) for AA, DA, and UA. Furthermore, the Co/MoSe2/PPy@CNF-based sensor exhibited good selectivity and reproducibility for the detection of AA, DA, and UA. Graphical abstract: [Figure not available: see fulltext.].","author":[{"dropping-particle":"","family":"Celik Cogal","given":"Gamze","non-dropping-particle":"","parse-names":false,"suffix":""},{"dropping-particle":"","family":"Cogal","given":"Sadik","non-dropping-particle":"","parse-names":false,"suffix":""},{"dropping-particle":"","family":"Machata","given":"Peter","non-dropping-particle":"","parse-names":false,"suffix":""},{"dropping-particle":"","family":"Uygun Oksuz","given":"Aysegul","non-dropping-particle":"","parse-names":false,"suffix":""},{"dropping-particle":"","family":"Omastová","given":"Maria","non-dropping-particle":"","parse-names":false,"suffix":""}],"container-title":"Microchimica Acta","id":"ITEM-1","issue":"1","issued":{"date-parts":[["2024","1","1"]]},"note":"1002-Sup-10","page":"1-13","publisher":"Springer","title":"Electrospun cobalt-doped 2D-MoSe2/polypyrrole hybrid-based carbon nanofibers as electrochemical sensing platforms","type":"article-journal","volume":"191"},"uris":["http://www.mendeley.com/documents/?uuid=0aa453c3-6636-3510-a4a2-9d0acbbf58eb"]}],"mendeley":{"formattedCitation":"[10]","plainTextFormattedCitation":"[10]","previouslyFormattedCitation":"[10]"},"properties":{"noteIndex":0},"schema":"https://github.com/citation-style-language/schema/raw/master/csl-citation.json"}</w:instrText>
            </w:r>
            <w:r w:rsidRPr="00134BF3">
              <w:rPr>
                <w:rFonts w:ascii="Times New Roman" w:eastAsia="MS Mincho" w:hAnsi="Times New Roman" w:cs="Times New Roman"/>
                <w:sz w:val="20"/>
                <w:szCs w:val="20"/>
              </w:rPr>
              <w:fldChar w:fldCharType="separate"/>
            </w:r>
            <w:r w:rsidRPr="00134BF3">
              <w:rPr>
                <w:rFonts w:ascii="Times New Roman" w:eastAsia="MS Mincho" w:hAnsi="Times New Roman" w:cs="Times New Roman"/>
                <w:noProof/>
                <w:sz w:val="20"/>
                <w:szCs w:val="20"/>
              </w:rPr>
              <w:t>[10]</w:t>
            </w:r>
            <w:r w:rsidRPr="00134BF3">
              <w:rPr>
                <w:rFonts w:ascii="Times New Roman" w:eastAsia="MS Mincho" w:hAnsi="Times New Roman" w:cs="Times New Roman"/>
                <w:sz w:val="20"/>
                <w:szCs w:val="20"/>
              </w:rPr>
              <w:fldChar w:fldCharType="end"/>
            </w:r>
          </w:p>
        </w:tc>
      </w:tr>
      <w:tr w:rsidR="00751F03" w:rsidRPr="00134BF3" w14:paraId="58DDFABB" w14:textId="77777777" w:rsidTr="00992B87">
        <w:trPr>
          <w:jc w:val="center"/>
        </w:trPr>
        <w:tc>
          <w:tcPr>
            <w:tcW w:w="1951" w:type="dxa"/>
            <w:tcBorders>
              <w:bottom w:val="single" w:sz="4" w:space="0" w:color="auto"/>
              <w:right w:val="single" w:sz="4" w:space="0" w:color="auto"/>
            </w:tcBorders>
            <w:shd w:val="clear" w:color="auto" w:fill="auto"/>
          </w:tcPr>
          <w:p w14:paraId="23D733F5" w14:textId="587AEACF" w:rsidR="00751F03" w:rsidRPr="00134BF3" w:rsidRDefault="00751F03" w:rsidP="00992B87">
            <w:pPr>
              <w:spacing w:line="360" w:lineRule="auto"/>
              <w:jc w:val="both"/>
              <w:rPr>
                <w:rFonts w:ascii="Times New Roman" w:eastAsia="MS Mincho" w:hAnsi="Times New Roman" w:cs="Times New Roman"/>
                <w:b/>
                <w:sz w:val="20"/>
                <w:szCs w:val="20"/>
              </w:rPr>
            </w:pPr>
            <w:r w:rsidRPr="00751F03">
              <w:rPr>
                <w:rFonts w:ascii="Times New Roman" w:eastAsia="MS Mincho" w:hAnsi="Times New Roman" w:cs="Times New Roman"/>
                <w:b/>
                <w:sz w:val="20"/>
                <w:szCs w:val="20"/>
              </w:rPr>
              <w:t>AuNps@MoSe</w:t>
            </w:r>
            <w:r w:rsidRPr="00751F03">
              <w:rPr>
                <w:rFonts w:ascii="Times New Roman" w:eastAsia="MS Mincho" w:hAnsi="Times New Roman" w:cs="Times New Roman"/>
                <w:b/>
                <w:sz w:val="20"/>
                <w:szCs w:val="20"/>
                <w:vertAlign w:val="subscript"/>
              </w:rPr>
              <w:t>2</w:t>
            </w:r>
            <w:r w:rsidRPr="00751F03">
              <w:rPr>
                <w:rFonts w:ascii="Times New Roman" w:eastAsia="MS Mincho" w:hAnsi="Times New Roman" w:cs="Times New Roman"/>
                <w:b/>
                <w:sz w:val="20"/>
                <w:szCs w:val="20"/>
              </w:rPr>
              <w:t>/SPCE</w:t>
            </w:r>
          </w:p>
        </w:tc>
        <w:tc>
          <w:tcPr>
            <w:tcW w:w="1132" w:type="dxa"/>
            <w:tcBorders>
              <w:left w:val="single" w:sz="4" w:space="0" w:color="auto"/>
              <w:bottom w:val="single" w:sz="4" w:space="0" w:color="auto"/>
              <w:right w:val="single" w:sz="4" w:space="0" w:color="auto"/>
            </w:tcBorders>
            <w:shd w:val="clear" w:color="auto" w:fill="FFFFFF"/>
          </w:tcPr>
          <w:p w14:paraId="11F102CB" w14:textId="77777777" w:rsidR="00751F03" w:rsidRPr="00134BF3" w:rsidRDefault="00751F03" w:rsidP="00992B87">
            <w:pPr>
              <w:spacing w:line="360" w:lineRule="auto"/>
              <w:jc w:val="both"/>
              <w:rPr>
                <w:rFonts w:ascii="Times New Roman" w:hAnsi="Times New Roman" w:cs="Times New Roman"/>
                <w:color w:val="222222"/>
                <w:sz w:val="20"/>
                <w:szCs w:val="20"/>
              </w:rPr>
            </w:pPr>
          </w:p>
        </w:tc>
        <w:tc>
          <w:tcPr>
            <w:tcW w:w="994" w:type="dxa"/>
            <w:tcBorders>
              <w:left w:val="single" w:sz="4" w:space="0" w:color="auto"/>
              <w:bottom w:val="single" w:sz="4" w:space="0" w:color="auto"/>
              <w:right w:val="single" w:sz="4" w:space="0" w:color="auto"/>
            </w:tcBorders>
            <w:shd w:val="clear" w:color="auto" w:fill="FFFFFF"/>
          </w:tcPr>
          <w:p w14:paraId="6604CF7B" w14:textId="3D4ADAC0" w:rsidR="00751F03" w:rsidRPr="00134BF3" w:rsidRDefault="00751F03" w:rsidP="00992B87">
            <w:pPr>
              <w:spacing w:line="360" w:lineRule="auto"/>
              <w:jc w:val="both"/>
              <w:rPr>
                <w:rFonts w:ascii="Times New Roman" w:hAnsi="Times New Roman" w:cs="Times New Roman"/>
                <w:color w:val="222222"/>
                <w:sz w:val="20"/>
                <w:szCs w:val="20"/>
              </w:rPr>
            </w:pPr>
            <w:r>
              <w:rPr>
                <w:rFonts w:ascii="Times New Roman" w:hAnsi="Times New Roman" w:cs="Times New Roman"/>
                <w:color w:val="222222"/>
                <w:sz w:val="20"/>
                <w:szCs w:val="20"/>
              </w:rPr>
              <w:t>3-20</w:t>
            </w:r>
          </w:p>
        </w:tc>
        <w:tc>
          <w:tcPr>
            <w:tcW w:w="977" w:type="dxa"/>
            <w:tcBorders>
              <w:left w:val="single" w:sz="4" w:space="0" w:color="auto"/>
              <w:bottom w:val="single" w:sz="4" w:space="0" w:color="auto"/>
              <w:right w:val="single" w:sz="4" w:space="0" w:color="auto"/>
            </w:tcBorders>
            <w:shd w:val="clear" w:color="auto" w:fill="FFFFFF"/>
          </w:tcPr>
          <w:p w14:paraId="61988231" w14:textId="77777777" w:rsidR="00751F03" w:rsidRPr="00134BF3" w:rsidRDefault="00751F03" w:rsidP="00992B87">
            <w:pPr>
              <w:spacing w:line="360" w:lineRule="auto"/>
              <w:jc w:val="both"/>
              <w:rPr>
                <w:rFonts w:ascii="Times New Roman" w:hAnsi="Times New Roman" w:cs="Times New Roman"/>
                <w:color w:val="222222"/>
                <w:sz w:val="20"/>
                <w:szCs w:val="20"/>
              </w:rPr>
            </w:pPr>
          </w:p>
        </w:tc>
        <w:tc>
          <w:tcPr>
            <w:tcW w:w="724" w:type="dxa"/>
            <w:tcBorders>
              <w:left w:val="single" w:sz="4" w:space="0" w:color="auto"/>
              <w:bottom w:val="single" w:sz="4" w:space="0" w:color="auto"/>
              <w:right w:val="single" w:sz="4" w:space="0" w:color="auto"/>
            </w:tcBorders>
            <w:shd w:val="clear" w:color="auto" w:fill="FFFFFF"/>
          </w:tcPr>
          <w:p w14:paraId="32C769D8" w14:textId="77777777" w:rsidR="00751F03" w:rsidRPr="00134BF3" w:rsidRDefault="00751F03" w:rsidP="00992B87">
            <w:pPr>
              <w:spacing w:line="360" w:lineRule="auto"/>
              <w:jc w:val="both"/>
              <w:rPr>
                <w:rFonts w:ascii="Times New Roman" w:hAnsi="Times New Roman" w:cs="Times New Roman"/>
                <w:color w:val="222222"/>
                <w:sz w:val="20"/>
                <w:szCs w:val="20"/>
              </w:rPr>
            </w:pPr>
          </w:p>
        </w:tc>
        <w:tc>
          <w:tcPr>
            <w:tcW w:w="712" w:type="dxa"/>
            <w:tcBorders>
              <w:left w:val="single" w:sz="4" w:space="0" w:color="auto"/>
              <w:bottom w:val="single" w:sz="4" w:space="0" w:color="auto"/>
              <w:right w:val="single" w:sz="4" w:space="0" w:color="auto"/>
            </w:tcBorders>
            <w:shd w:val="clear" w:color="auto" w:fill="FFFFFF"/>
          </w:tcPr>
          <w:p w14:paraId="2734475B" w14:textId="6099BD0C" w:rsidR="00751F03" w:rsidRPr="00134BF3" w:rsidRDefault="00751F03" w:rsidP="00992B87">
            <w:pPr>
              <w:spacing w:line="360" w:lineRule="auto"/>
              <w:jc w:val="both"/>
              <w:rPr>
                <w:rFonts w:ascii="Times New Roman" w:hAnsi="Times New Roman" w:cs="Times New Roman"/>
                <w:color w:val="222222"/>
                <w:sz w:val="20"/>
                <w:szCs w:val="20"/>
              </w:rPr>
            </w:pPr>
            <w:r>
              <w:rPr>
                <w:rFonts w:ascii="Times New Roman" w:hAnsi="Times New Roman" w:cs="Times New Roman"/>
                <w:color w:val="222222"/>
                <w:sz w:val="20"/>
                <w:szCs w:val="20"/>
              </w:rPr>
              <w:t>0.21</w:t>
            </w:r>
          </w:p>
        </w:tc>
        <w:tc>
          <w:tcPr>
            <w:tcW w:w="708" w:type="dxa"/>
            <w:tcBorders>
              <w:left w:val="single" w:sz="4" w:space="0" w:color="auto"/>
              <w:bottom w:val="single" w:sz="4" w:space="0" w:color="auto"/>
              <w:right w:val="single" w:sz="4" w:space="0" w:color="auto"/>
            </w:tcBorders>
            <w:shd w:val="clear" w:color="auto" w:fill="FFFFFF"/>
          </w:tcPr>
          <w:p w14:paraId="1BA23744" w14:textId="77777777" w:rsidR="00751F03" w:rsidRPr="00134BF3" w:rsidRDefault="00751F03" w:rsidP="00992B87">
            <w:pPr>
              <w:spacing w:line="360" w:lineRule="auto"/>
              <w:jc w:val="both"/>
              <w:rPr>
                <w:rFonts w:ascii="Times New Roman" w:hAnsi="Times New Roman" w:cs="Times New Roman"/>
                <w:color w:val="222222"/>
                <w:sz w:val="20"/>
                <w:szCs w:val="20"/>
              </w:rPr>
            </w:pPr>
          </w:p>
        </w:tc>
        <w:tc>
          <w:tcPr>
            <w:tcW w:w="1415" w:type="dxa"/>
            <w:tcBorders>
              <w:left w:val="single" w:sz="4" w:space="0" w:color="auto"/>
              <w:bottom w:val="single" w:sz="4" w:space="0" w:color="auto"/>
            </w:tcBorders>
            <w:shd w:val="clear" w:color="auto" w:fill="auto"/>
          </w:tcPr>
          <w:p w14:paraId="392EF0F0" w14:textId="31624A02" w:rsidR="00751F03" w:rsidRPr="00134BF3" w:rsidRDefault="00751F03" w:rsidP="00992B87">
            <w:pPr>
              <w:spacing w:line="36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fldChar w:fldCharType="begin" w:fldLock="1"/>
            </w:r>
            <w:r>
              <w:rPr>
                <w:rFonts w:ascii="Times New Roman" w:eastAsia="MS Mincho" w:hAnsi="Times New Roman" w:cs="Times New Roman"/>
                <w:sz w:val="20"/>
                <w:szCs w:val="20"/>
              </w:rPr>
              <w:instrText>ADDIN CSL_CITATION {"citationItems":[{"id":"ITEM-1","itemData":{"DOI":"10.1016/J.ELECTACTA.2023.143371","ISSN":"0013-4686","abstract":"Molybdenum selenide nanosheets (MoSe2-NS) were synthesized by liquid-phase exfoliation (LPE) technique and successive liquid cascade centrifugation (LCC) at two different centrifugation rates (1.5 and 5 krpm). By this technique's combination, we were able to prepare MoSe2 nanosheets with different geometric characteristics (i.e., average number of layers &lt;N&gt; and average lateral length &lt;L&gt;). Increasing the centrifugation speed from 1.5 krpm to 5 krpm leads to a decrease in number of layers (down to nL = 2 – 4, with the presence of sparse monolayer flakes) and average lateral size of NS from 280 nm to 180 nm, as confirmed combining optical and morphological analysis. Modified screen-printed carbon electrodes (SPCE) with the as prepared MoSe2-NS were fabricated and applied for the determination of dopamine (DA) as an electroactive model analyte in the concentration ranging from 0.5 to 80 µM. DA is an important neurotransmitter for human beings and its deficiency can bring out various health diseases like Parkinson's and brain disorders, thus the development of simple DA sensors is highly demanding. Results demonstrated the better performances of the modified MoSe2 (5 krpm)/SPCE sensor compared to bare SPCE and the MoSe2 (1.5 krpm)/SPCE. With the objective to improve the electroanalytical performances toward dopamine, AuNPs-MoSe2-NS hybrid composite was also prepared, mixing AuNPs obtained by a green-reduction method with the MoSe2-NS. The developed AuNPs-MoSe2 (5 krpm)/SPCE sensor resulted the most promising with further improved sensitivity as compared to MoSe2/SPCE.","author":[{"dropping-particle":"","family":"Abid","given":"K.","non-dropping-particle":"","parse-names":false,"suffix":""},{"dropping-particle":"","family":"Foti","given":"A.","non-dropping-particle":"","parse-names":false,"suffix":""},{"dropping-particle":"","family":"Khaskhoussi","given":"A.","non-dropping-particle":"","parse-names":false,"suffix":""},{"dropping-particle":"","family":"Celesti","given":"C.","non-dropping-particle":"","parse-names":false,"suffix":""},{"dropping-particle":"","family":"D'Andrea","given":"C.","non-dropping-particle":"","parse-names":false,"suffix":""},{"dropping-particle":"","family":"Polykretis","given":"P.","non-dropping-particle":"","parse-names":false,"suffix":""},{"dropping-particle":"","family":"Matteini","given":"P.","non-dropping-particle":"","parse-names":false,"suffix":""},{"dropping-particle":"","family":"Iannazzo","given":"D.","non-dropping-particle":"","parse-names":false,"suffix":""},{"dropping-particle":"","family":"Maalej","given":"R.","non-dropping-particle":"","parse-names":false,"suffix":""},{"dropping-particle":"","family":"Gucciardi","given":"P. G.","non-dropping-particle":"","parse-names":false,"suffix":""},{"dropping-particle":"","family":"Neri","given":"G.","non-dropping-particle":"","parse-names":false,"suffix":""}],"container-title":"Electrochimica Acta","id":"ITEM-1","issued":{"date-parts":[["2024","1","20"]]},"page":"143371","publisher":"Pergamon","title":"A study of screen-printed electrodes modified with MoSe2 and AuNPs-MoSe2 nanosheets for dopamine sensing","type":"article-journal","volume":"475"},"uris":["http://www.mendeley.com/documents/?uuid=24eedb19-16e3-3487-a329-2346b8238c19"]}],"mendeley":{"formattedCitation":"[11]","plainTextFormattedCitation":"[11]"},"properties":{"noteIndex":0},"schema":"https://github.com/citation-style-language/schema/raw/master/csl-citation.json"}</w:instrText>
            </w:r>
            <w:r>
              <w:rPr>
                <w:rFonts w:ascii="Times New Roman" w:eastAsia="MS Mincho" w:hAnsi="Times New Roman" w:cs="Times New Roman"/>
                <w:sz w:val="20"/>
                <w:szCs w:val="20"/>
              </w:rPr>
              <w:fldChar w:fldCharType="separate"/>
            </w:r>
            <w:r w:rsidRPr="00751F03">
              <w:rPr>
                <w:rFonts w:ascii="Times New Roman" w:eastAsia="MS Mincho" w:hAnsi="Times New Roman" w:cs="Times New Roman"/>
                <w:noProof/>
                <w:sz w:val="20"/>
                <w:szCs w:val="20"/>
              </w:rPr>
              <w:t>[11]</w:t>
            </w:r>
            <w:r>
              <w:rPr>
                <w:rFonts w:ascii="Times New Roman" w:eastAsia="MS Mincho" w:hAnsi="Times New Roman" w:cs="Times New Roman"/>
                <w:sz w:val="20"/>
                <w:szCs w:val="20"/>
              </w:rPr>
              <w:fldChar w:fldCharType="end"/>
            </w:r>
          </w:p>
        </w:tc>
      </w:tr>
      <w:tr w:rsidR="003E7BD8" w:rsidRPr="00134BF3" w14:paraId="1A5E644E" w14:textId="77777777" w:rsidTr="00A30E33">
        <w:trPr>
          <w:jc w:val="center"/>
        </w:trPr>
        <w:tc>
          <w:tcPr>
            <w:tcW w:w="1951" w:type="dxa"/>
            <w:shd w:val="clear" w:color="auto" w:fill="auto"/>
          </w:tcPr>
          <w:p w14:paraId="27F565CA" w14:textId="0D4E3C32" w:rsidR="00992B87" w:rsidRPr="00134BF3" w:rsidRDefault="00992B87" w:rsidP="00992B87">
            <w:pPr>
              <w:spacing w:line="360" w:lineRule="auto"/>
              <w:jc w:val="both"/>
              <w:rPr>
                <w:rFonts w:ascii="Times New Roman" w:eastAsia="MS Mincho" w:hAnsi="Times New Roman" w:cs="Times New Roman"/>
                <w:b/>
                <w:sz w:val="20"/>
                <w:szCs w:val="20"/>
              </w:rPr>
            </w:pPr>
            <w:r w:rsidRPr="00134BF3">
              <w:rPr>
                <w:rFonts w:ascii="Times New Roman" w:eastAsia="MS Mincho" w:hAnsi="Times New Roman" w:cs="Times New Roman"/>
                <w:b/>
                <w:sz w:val="20"/>
                <w:szCs w:val="20"/>
              </w:rPr>
              <w:t>MoSe</w:t>
            </w:r>
            <w:r w:rsidRPr="00134BF3">
              <w:rPr>
                <w:rFonts w:ascii="Times New Roman" w:eastAsia="MS Mincho" w:hAnsi="Times New Roman" w:cs="Times New Roman"/>
                <w:b/>
                <w:sz w:val="20"/>
                <w:szCs w:val="20"/>
                <w:vertAlign w:val="subscript"/>
              </w:rPr>
              <w:t>2</w:t>
            </w:r>
          </w:p>
        </w:tc>
        <w:tc>
          <w:tcPr>
            <w:tcW w:w="1132" w:type="dxa"/>
            <w:shd w:val="clear" w:color="auto" w:fill="auto"/>
          </w:tcPr>
          <w:p w14:paraId="0C4EC37D" w14:textId="5B54F7CE"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50-3440</w:t>
            </w:r>
          </w:p>
        </w:tc>
        <w:tc>
          <w:tcPr>
            <w:tcW w:w="994" w:type="dxa"/>
            <w:shd w:val="clear" w:color="auto" w:fill="auto"/>
          </w:tcPr>
          <w:p w14:paraId="44AE425D" w14:textId="60D2BC24"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1-333</w:t>
            </w:r>
          </w:p>
        </w:tc>
        <w:tc>
          <w:tcPr>
            <w:tcW w:w="977" w:type="dxa"/>
            <w:shd w:val="clear" w:color="auto" w:fill="auto"/>
          </w:tcPr>
          <w:p w14:paraId="6C34CD36" w14:textId="68A972DC"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5-1146</w:t>
            </w:r>
          </w:p>
        </w:tc>
        <w:tc>
          <w:tcPr>
            <w:tcW w:w="724" w:type="dxa"/>
            <w:shd w:val="clear" w:color="auto" w:fill="auto"/>
          </w:tcPr>
          <w:p w14:paraId="40B1923E" w14:textId="060E9F10"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13.7</w:t>
            </w:r>
          </w:p>
        </w:tc>
        <w:tc>
          <w:tcPr>
            <w:tcW w:w="712" w:type="dxa"/>
            <w:shd w:val="clear" w:color="auto" w:fill="auto"/>
          </w:tcPr>
          <w:p w14:paraId="774437A7" w14:textId="796D8D4E"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0.57</w:t>
            </w:r>
          </w:p>
        </w:tc>
        <w:tc>
          <w:tcPr>
            <w:tcW w:w="708" w:type="dxa"/>
            <w:shd w:val="clear" w:color="auto" w:fill="auto"/>
          </w:tcPr>
          <w:p w14:paraId="0F17E76D" w14:textId="2153024C"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1.75</w:t>
            </w:r>
          </w:p>
        </w:tc>
        <w:tc>
          <w:tcPr>
            <w:tcW w:w="1415" w:type="dxa"/>
            <w:shd w:val="clear" w:color="auto" w:fill="auto"/>
          </w:tcPr>
          <w:p w14:paraId="2315E77D" w14:textId="484F6142" w:rsidR="00992B87" w:rsidRPr="00134BF3" w:rsidRDefault="00992B87" w:rsidP="00992B87">
            <w:pPr>
              <w:spacing w:line="360" w:lineRule="auto"/>
              <w:jc w:val="both"/>
              <w:rPr>
                <w:rFonts w:ascii="Times New Roman" w:eastAsia="MS Mincho" w:hAnsi="Times New Roman" w:cs="Times New Roman"/>
                <w:sz w:val="20"/>
                <w:szCs w:val="20"/>
              </w:rPr>
            </w:pPr>
            <w:r w:rsidRPr="00134BF3">
              <w:rPr>
                <w:rFonts w:ascii="Times New Roman" w:eastAsia="MS Mincho" w:hAnsi="Times New Roman" w:cs="Times New Roman"/>
                <w:sz w:val="20"/>
                <w:szCs w:val="20"/>
              </w:rPr>
              <w:t>This work</w:t>
            </w:r>
          </w:p>
        </w:tc>
      </w:tr>
    </w:tbl>
    <w:p w14:paraId="5D1DDE48" w14:textId="5219DC81" w:rsidR="00992B87" w:rsidRPr="00134BF3" w:rsidRDefault="00992B87">
      <w:pPr>
        <w:spacing w:line="360" w:lineRule="auto"/>
        <w:jc w:val="both"/>
        <w:rPr>
          <w:rFonts w:ascii="Times New Roman" w:eastAsia="Arial" w:hAnsi="Times New Roman" w:cs="Times New Roman"/>
          <w:sz w:val="20"/>
          <w:szCs w:val="20"/>
        </w:rPr>
      </w:pPr>
    </w:p>
    <w:p w14:paraId="452D0FFD" w14:textId="3EC9D03E" w:rsidR="00992B87" w:rsidRPr="00134BF3" w:rsidRDefault="00DA1599">
      <w:pPr>
        <w:spacing w:line="360" w:lineRule="auto"/>
        <w:jc w:val="both"/>
        <w:rPr>
          <w:rFonts w:ascii="Times New Roman" w:eastAsia="Arial" w:hAnsi="Times New Roman" w:cs="Times New Roman"/>
          <w:b/>
          <w:sz w:val="20"/>
          <w:szCs w:val="20"/>
        </w:rPr>
      </w:pPr>
      <w:r w:rsidRPr="00134BF3">
        <w:rPr>
          <w:rFonts w:ascii="Times New Roman" w:eastAsia="Arial" w:hAnsi="Times New Roman" w:cs="Times New Roman"/>
          <w:b/>
          <w:sz w:val="20"/>
          <w:szCs w:val="20"/>
        </w:rPr>
        <w:t>References</w:t>
      </w:r>
    </w:p>
    <w:p w14:paraId="467A5317" w14:textId="7E5571C6" w:rsidR="00751F03" w:rsidRPr="00751F03" w:rsidRDefault="003E7BD8" w:rsidP="00751F03">
      <w:pPr>
        <w:widowControl w:val="0"/>
        <w:autoSpaceDE w:val="0"/>
        <w:autoSpaceDN w:val="0"/>
        <w:adjustRightInd w:val="0"/>
        <w:spacing w:line="360" w:lineRule="auto"/>
        <w:rPr>
          <w:rFonts w:ascii="Times New Roman" w:hAnsi="Times New Roman" w:cs="Times New Roman"/>
          <w:noProof/>
          <w:sz w:val="20"/>
        </w:rPr>
      </w:pPr>
      <w:r w:rsidRPr="00134BF3">
        <w:rPr>
          <w:rFonts w:ascii="Times New Roman" w:eastAsia="Arial" w:hAnsi="Times New Roman" w:cs="Times New Roman"/>
          <w:b/>
          <w:sz w:val="20"/>
          <w:szCs w:val="20"/>
        </w:rPr>
        <w:fldChar w:fldCharType="begin" w:fldLock="1"/>
      </w:r>
      <w:r w:rsidRPr="00134BF3">
        <w:rPr>
          <w:rFonts w:ascii="Times New Roman" w:eastAsia="Arial" w:hAnsi="Times New Roman" w:cs="Times New Roman"/>
          <w:b/>
          <w:sz w:val="20"/>
          <w:szCs w:val="20"/>
        </w:rPr>
        <w:instrText xml:space="preserve">ADDIN Mendeley Bibliography CSL_BIBLIOGRAPHY </w:instrText>
      </w:r>
      <w:r w:rsidRPr="00134BF3">
        <w:rPr>
          <w:rFonts w:ascii="Times New Roman" w:eastAsia="Arial" w:hAnsi="Times New Roman" w:cs="Times New Roman"/>
          <w:b/>
          <w:sz w:val="20"/>
          <w:szCs w:val="20"/>
        </w:rPr>
        <w:fldChar w:fldCharType="separate"/>
      </w:r>
      <w:r w:rsidR="00751F03" w:rsidRPr="00751F03">
        <w:rPr>
          <w:rFonts w:ascii="Times New Roman" w:hAnsi="Times New Roman" w:cs="Times New Roman"/>
          <w:noProof/>
          <w:sz w:val="20"/>
        </w:rPr>
        <w:t xml:space="preserve">1. H. Sun, J. Chao, X. Zuo, S. Su, X. Liu, L. Yuwen, C. Fan, and L. Wang, RSC Adv. </w:t>
      </w:r>
      <w:r w:rsidR="00751F03" w:rsidRPr="00751F03">
        <w:rPr>
          <w:rFonts w:ascii="Times New Roman" w:hAnsi="Times New Roman" w:cs="Times New Roman"/>
          <w:b/>
          <w:bCs/>
          <w:noProof/>
          <w:sz w:val="20"/>
        </w:rPr>
        <w:t>4</w:t>
      </w:r>
      <w:r w:rsidR="00751F03" w:rsidRPr="00751F03">
        <w:rPr>
          <w:rFonts w:ascii="Times New Roman" w:hAnsi="Times New Roman" w:cs="Times New Roman"/>
          <w:noProof/>
          <w:sz w:val="20"/>
        </w:rPr>
        <w:t>, 27625 (2014).</w:t>
      </w:r>
    </w:p>
    <w:p w14:paraId="5DD28361"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2. Y. Zhao, J. Zhou, Z. Jia, D. Huo, Q. Liu, D. Zhong, Y. Hu, M. Yang, M. Bian, and C. Hou, Microchim. Acta </w:t>
      </w:r>
      <w:r w:rsidRPr="00751F03">
        <w:rPr>
          <w:rFonts w:ascii="Times New Roman" w:hAnsi="Times New Roman" w:cs="Times New Roman"/>
          <w:b/>
          <w:bCs/>
          <w:noProof/>
          <w:sz w:val="20"/>
        </w:rPr>
        <w:t>186</w:t>
      </w:r>
      <w:r w:rsidRPr="00751F03">
        <w:rPr>
          <w:rFonts w:ascii="Times New Roman" w:hAnsi="Times New Roman" w:cs="Times New Roman"/>
          <w:noProof/>
          <w:sz w:val="20"/>
        </w:rPr>
        <w:t>, 1 (2019).</w:t>
      </w:r>
    </w:p>
    <w:p w14:paraId="7006FAE6"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3. L. Xing and Z. Ma, Microchim. Acta </w:t>
      </w:r>
      <w:r w:rsidRPr="00751F03">
        <w:rPr>
          <w:rFonts w:ascii="Times New Roman" w:hAnsi="Times New Roman" w:cs="Times New Roman"/>
          <w:b/>
          <w:bCs/>
          <w:noProof/>
          <w:sz w:val="20"/>
        </w:rPr>
        <w:t>183</w:t>
      </w:r>
      <w:r w:rsidRPr="00751F03">
        <w:rPr>
          <w:rFonts w:ascii="Times New Roman" w:hAnsi="Times New Roman" w:cs="Times New Roman"/>
          <w:noProof/>
          <w:sz w:val="20"/>
        </w:rPr>
        <w:t>, 257 (2016).</w:t>
      </w:r>
    </w:p>
    <w:p w14:paraId="56D44184"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4. Y. Li, H. Lin, H. Peng, R. Qi, and C. Luo, Microchim. Acta </w:t>
      </w:r>
      <w:r w:rsidRPr="00751F03">
        <w:rPr>
          <w:rFonts w:ascii="Times New Roman" w:hAnsi="Times New Roman" w:cs="Times New Roman"/>
          <w:b/>
          <w:bCs/>
          <w:noProof/>
          <w:sz w:val="20"/>
        </w:rPr>
        <w:t>183</w:t>
      </w:r>
      <w:r w:rsidRPr="00751F03">
        <w:rPr>
          <w:rFonts w:ascii="Times New Roman" w:hAnsi="Times New Roman" w:cs="Times New Roman"/>
          <w:noProof/>
          <w:sz w:val="20"/>
        </w:rPr>
        <w:t>, 2517 (2016).</w:t>
      </w:r>
    </w:p>
    <w:p w14:paraId="27E23773"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5. H. L. Zou, B. L. Li, H. Q. Luo, and N. B. Li, Sensors Actuators B Chem. </w:t>
      </w:r>
      <w:r w:rsidRPr="00751F03">
        <w:rPr>
          <w:rFonts w:ascii="Times New Roman" w:hAnsi="Times New Roman" w:cs="Times New Roman"/>
          <w:b/>
          <w:bCs/>
          <w:noProof/>
          <w:sz w:val="20"/>
        </w:rPr>
        <w:t>253</w:t>
      </w:r>
      <w:r w:rsidRPr="00751F03">
        <w:rPr>
          <w:rFonts w:ascii="Times New Roman" w:hAnsi="Times New Roman" w:cs="Times New Roman"/>
          <w:noProof/>
          <w:sz w:val="20"/>
        </w:rPr>
        <w:t>, 352 (2017).</w:t>
      </w:r>
    </w:p>
    <w:p w14:paraId="2C761018"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6. S. Li, Y. Ma, Y. Liu, G. Xin, M. Wang, Z. Zhang, and Z. Liu, RSC Adv. </w:t>
      </w:r>
      <w:r w:rsidRPr="00751F03">
        <w:rPr>
          <w:rFonts w:ascii="Times New Roman" w:hAnsi="Times New Roman" w:cs="Times New Roman"/>
          <w:b/>
          <w:bCs/>
          <w:noProof/>
          <w:sz w:val="20"/>
        </w:rPr>
        <w:t>9</w:t>
      </w:r>
      <w:r w:rsidRPr="00751F03">
        <w:rPr>
          <w:rFonts w:ascii="Times New Roman" w:hAnsi="Times New Roman" w:cs="Times New Roman"/>
          <w:noProof/>
          <w:sz w:val="20"/>
        </w:rPr>
        <w:t>, 2997 (2019).</w:t>
      </w:r>
    </w:p>
    <w:p w14:paraId="48542FFA"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7. Y. jiao Zang, J. Nie, B. He, W. Yin, J. Zheng, C. jun Hou, D. qun Huo, M. Yang, F. mei Liu, Q. qian Sun, Y. ling Qin, and H. bao Fa, Microchem. J. </w:t>
      </w:r>
      <w:r w:rsidRPr="00751F03">
        <w:rPr>
          <w:rFonts w:ascii="Times New Roman" w:hAnsi="Times New Roman" w:cs="Times New Roman"/>
          <w:b/>
          <w:bCs/>
          <w:noProof/>
          <w:sz w:val="20"/>
        </w:rPr>
        <w:t>156</w:t>
      </w:r>
      <w:r w:rsidRPr="00751F03">
        <w:rPr>
          <w:rFonts w:ascii="Times New Roman" w:hAnsi="Times New Roman" w:cs="Times New Roman"/>
          <w:noProof/>
          <w:sz w:val="20"/>
        </w:rPr>
        <w:t>, 104845 (2020).</w:t>
      </w:r>
    </w:p>
    <w:p w14:paraId="60C159B1"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8. Y. Wang, T. Yang, Y. Hasebe, Z. Zhang, and D. Tao, Mater. 2018, Vol. 11, Page 1691 </w:t>
      </w:r>
      <w:r w:rsidRPr="00751F03">
        <w:rPr>
          <w:rFonts w:ascii="Times New Roman" w:hAnsi="Times New Roman" w:cs="Times New Roman"/>
          <w:b/>
          <w:bCs/>
          <w:noProof/>
          <w:sz w:val="20"/>
        </w:rPr>
        <w:t>11</w:t>
      </w:r>
      <w:r w:rsidRPr="00751F03">
        <w:rPr>
          <w:rFonts w:ascii="Times New Roman" w:hAnsi="Times New Roman" w:cs="Times New Roman"/>
          <w:noProof/>
          <w:sz w:val="20"/>
        </w:rPr>
        <w:t>, 1691 (2018).</w:t>
      </w:r>
    </w:p>
    <w:p w14:paraId="749ACD44"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9. S. Cogal and V. R. Bhethanabotla, IEEE Sens. J. </w:t>
      </w:r>
      <w:r w:rsidRPr="00751F03">
        <w:rPr>
          <w:rFonts w:ascii="Times New Roman" w:hAnsi="Times New Roman" w:cs="Times New Roman"/>
          <w:b/>
          <w:bCs/>
          <w:noProof/>
          <w:sz w:val="20"/>
        </w:rPr>
        <w:t>22</w:t>
      </w:r>
      <w:r w:rsidRPr="00751F03">
        <w:rPr>
          <w:rFonts w:ascii="Times New Roman" w:hAnsi="Times New Roman" w:cs="Times New Roman"/>
          <w:noProof/>
          <w:sz w:val="20"/>
        </w:rPr>
        <w:t>, 14952 (2022).</w:t>
      </w:r>
    </w:p>
    <w:p w14:paraId="71C18E1B"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10. G. Celik Cogal, S. Cogal, P. Machata, A. Uygun Oksuz, and M. Omastová, Microchim. Acta </w:t>
      </w:r>
      <w:r w:rsidRPr="00751F03">
        <w:rPr>
          <w:rFonts w:ascii="Times New Roman" w:hAnsi="Times New Roman" w:cs="Times New Roman"/>
          <w:b/>
          <w:bCs/>
          <w:noProof/>
          <w:sz w:val="20"/>
        </w:rPr>
        <w:t>191</w:t>
      </w:r>
      <w:r w:rsidRPr="00751F03">
        <w:rPr>
          <w:rFonts w:ascii="Times New Roman" w:hAnsi="Times New Roman" w:cs="Times New Roman"/>
          <w:noProof/>
          <w:sz w:val="20"/>
        </w:rPr>
        <w:t>, 1 (2024).</w:t>
      </w:r>
    </w:p>
    <w:p w14:paraId="29758AEF" w14:textId="77777777" w:rsidR="00751F03" w:rsidRPr="00751F03" w:rsidRDefault="00751F03" w:rsidP="00751F03">
      <w:pPr>
        <w:widowControl w:val="0"/>
        <w:autoSpaceDE w:val="0"/>
        <w:autoSpaceDN w:val="0"/>
        <w:adjustRightInd w:val="0"/>
        <w:spacing w:line="360" w:lineRule="auto"/>
        <w:rPr>
          <w:rFonts w:ascii="Times New Roman" w:hAnsi="Times New Roman" w:cs="Times New Roman"/>
          <w:noProof/>
          <w:sz w:val="20"/>
        </w:rPr>
      </w:pPr>
      <w:r w:rsidRPr="00751F03">
        <w:rPr>
          <w:rFonts w:ascii="Times New Roman" w:hAnsi="Times New Roman" w:cs="Times New Roman"/>
          <w:noProof/>
          <w:sz w:val="20"/>
        </w:rPr>
        <w:t xml:space="preserve">11. K. Abid, A. Foti, A. Khaskhoussi, C. Celesti, C. D’Andrea, P. Polykretis, P. Matteini, D. Iannazzo, </w:t>
      </w:r>
      <w:r w:rsidRPr="00751F03">
        <w:rPr>
          <w:rFonts w:ascii="Times New Roman" w:hAnsi="Times New Roman" w:cs="Times New Roman"/>
          <w:noProof/>
          <w:sz w:val="20"/>
        </w:rPr>
        <w:lastRenderedPageBreak/>
        <w:t xml:space="preserve">R. Maalej, P. G. Gucciardi, and G. Neri, Electrochim. Acta </w:t>
      </w:r>
      <w:r w:rsidRPr="00751F03">
        <w:rPr>
          <w:rFonts w:ascii="Times New Roman" w:hAnsi="Times New Roman" w:cs="Times New Roman"/>
          <w:b/>
          <w:bCs/>
          <w:noProof/>
          <w:sz w:val="20"/>
        </w:rPr>
        <w:t>475</w:t>
      </w:r>
      <w:r w:rsidRPr="00751F03">
        <w:rPr>
          <w:rFonts w:ascii="Times New Roman" w:hAnsi="Times New Roman" w:cs="Times New Roman"/>
          <w:noProof/>
          <w:sz w:val="20"/>
        </w:rPr>
        <w:t>, 143371 (2024).</w:t>
      </w:r>
    </w:p>
    <w:p w14:paraId="6BF193AC" w14:textId="22492CB4" w:rsidR="003E7BD8" w:rsidRPr="00134BF3" w:rsidRDefault="003E7BD8">
      <w:pPr>
        <w:spacing w:line="360" w:lineRule="auto"/>
        <w:jc w:val="both"/>
        <w:rPr>
          <w:rFonts w:ascii="Times New Roman" w:eastAsia="Arial" w:hAnsi="Times New Roman" w:cs="Times New Roman"/>
          <w:b/>
          <w:sz w:val="20"/>
          <w:szCs w:val="20"/>
        </w:rPr>
      </w:pPr>
      <w:r w:rsidRPr="00134BF3">
        <w:rPr>
          <w:rFonts w:ascii="Times New Roman" w:eastAsia="Arial" w:hAnsi="Times New Roman" w:cs="Times New Roman"/>
          <w:b/>
          <w:sz w:val="20"/>
          <w:szCs w:val="20"/>
        </w:rPr>
        <w:fldChar w:fldCharType="end"/>
      </w:r>
    </w:p>
    <w:sectPr w:rsidR="003E7BD8" w:rsidRPr="00134BF3">
      <w:footnotePr>
        <w:numFmt w:val="chicago"/>
      </w:footnotePr>
      <w:pgSz w:w="11900" w:h="16840"/>
      <w:pgMar w:top="1440" w:right="1797" w:bottom="1440" w:left="179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61CF4" w14:textId="77777777" w:rsidR="00287A5E" w:rsidRDefault="00287A5E" w:rsidP="004D7BDA">
      <w:r>
        <w:separator/>
      </w:r>
    </w:p>
  </w:endnote>
  <w:endnote w:type="continuationSeparator" w:id="0">
    <w:p w14:paraId="1EC1B70F" w14:textId="77777777" w:rsidR="00287A5E" w:rsidRDefault="00287A5E" w:rsidP="004D7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A2"/>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CE09B" w14:textId="77777777" w:rsidR="00287A5E" w:rsidRDefault="00287A5E" w:rsidP="004D7BDA">
      <w:r>
        <w:separator/>
      </w:r>
    </w:p>
  </w:footnote>
  <w:footnote w:type="continuationSeparator" w:id="0">
    <w:p w14:paraId="70BDB3E4" w14:textId="77777777" w:rsidR="00287A5E" w:rsidRDefault="00287A5E" w:rsidP="004D7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51A"/>
    <w:rsid w:val="00014D91"/>
    <w:rsid w:val="000225E2"/>
    <w:rsid w:val="0003204F"/>
    <w:rsid w:val="00036C4C"/>
    <w:rsid w:val="00047E8D"/>
    <w:rsid w:val="00066484"/>
    <w:rsid w:val="000923F6"/>
    <w:rsid w:val="000A3B59"/>
    <w:rsid w:val="000C7968"/>
    <w:rsid w:val="000E48F3"/>
    <w:rsid w:val="000F500F"/>
    <w:rsid w:val="0010367C"/>
    <w:rsid w:val="00126672"/>
    <w:rsid w:val="00134BF3"/>
    <w:rsid w:val="00186949"/>
    <w:rsid w:val="00196207"/>
    <w:rsid w:val="001C685B"/>
    <w:rsid w:val="001D7DD4"/>
    <w:rsid w:val="001F1779"/>
    <w:rsid w:val="00200E92"/>
    <w:rsid w:val="00202EB2"/>
    <w:rsid w:val="00207428"/>
    <w:rsid w:val="002163CA"/>
    <w:rsid w:val="00221A16"/>
    <w:rsid w:val="0022793D"/>
    <w:rsid w:val="00231463"/>
    <w:rsid w:val="00231D27"/>
    <w:rsid w:val="00247ECE"/>
    <w:rsid w:val="0025019A"/>
    <w:rsid w:val="002530E5"/>
    <w:rsid w:val="00287A5E"/>
    <w:rsid w:val="002973FB"/>
    <w:rsid w:val="002B011F"/>
    <w:rsid w:val="003227FF"/>
    <w:rsid w:val="00347C41"/>
    <w:rsid w:val="00365345"/>
    <w:rsid w:val="0037433F"/>
    <w:rsid w:val="003E7BD8"/>
    <w:rsid w:val="00401139"/>
    <w:rsid w:val="004A47CB"/>
    <w:rsid w:val="004C76A3"/>
    <w:rsid w:val="004D7BDA"/>
    <w:rsid w:val="004E7879"/>
    <w:rsid w:val="004F568B"/>
    <w:rsid w:val="00503B12"/>
    <w:rsid w:val="00551E1E"/>
    <w:rsid w:val="005567FF"/>
    <w:rsid w:val="00570304"/>
    <w:rsid w:val="00576B7D"/>
    <w:rsid w:val="00585CB3"/>
    <w:rsid w:val="005C4609"/>
    <w:rsid w:val="005F610D"/>
    <w:rsid w:val="00631FA3"/>
    <w:rsid w:val="0070781B"/>
    <w:rsid w:val="0071005C"/>
    <w:rsid w:val="00734361"/>
    <w:rsid w:val="00751F03"/>
    <w:rsid w:val="007541BF"/>
    <w:rsid w:val="00760356"/>
    <w:rsid w:val="00774533"/>
    <w:rsid w:val="00784D6E"/>
    <w:rsid w:val="007A69EF"/>
    <w:rsid w:val="007B2787"/>
    <w:rsid w:val="007D093C"/>
    <w:rsid w:val="008262B4"/>
    <w:rsid w:val="008541A1"/>
    <w:rsid w:val="0085473F"/>
    <w:rsid w:val="0085590F"/>
    <w:rsid w:val="00891DCC"/>
    <w:rsid w:val="008A21BA"/>
    <w:rsid w:val="008B123C"/>
    <w:rsid w:val="008B4366"/>
    <w:rsid w:val="008D4D17"/>
    <w:rsid w:val="008E1FED"/>
    <w:rsid w:val="008E4372"/>
    <w:rsid w:val="009107F6"/>
    <w:rsid w:val="009166D5"/>
    <w:rsid w:val="009451B2"/>
    <w:rsid w:val="0094539F"/>
    <w:rsid w:val="0095124A"/>
    <w:rsid w:val="009905AB"/>
    <w:rsid w:val="00992B87"/>
    <w:rsid w:val="0099477B"/>
    <w:rsid w:val="0099648F"/>
    <w:rsid w:val="009973B1"/>
    <w:rsid w:val="009C069B"/>
    <w:rsid w:val="009C6ED9"/>
    <w:rsid w:val="009E38E2"/>
    <w:rsid w:val="009F7F25"/>
    <w:rsid w:val="00A8114C"/>
    <w:rsid w:val="00AB1DDF"/>
    <w:rsid w:val="00B0476F"/>
    <w:rsid w:val="00B11170"/>
    <w:rsid w:val="00B3195B"/>
    <w:rsid w:val="00B519CA"/>
    <w:rsid w:val="00B630E2"/>
    <w:rsid w:val="00B7451A"/>
    <w:rsid w:val="00B8178E"/>
    <w:rsid w:val="00BA1863"/>
    <w:rsid w:val="00BB0570"/>
    <w:rsid w:val="00BD7C86"/>
    <w:rsid w:val="00BE4CD9"/>
    <w:rsid w:val="00BF0E94"/>
    <w:rsid w:val="00BF7692"/>
    <w:rsid w:val="00C22BB5"/>
    <w:rsid w:val="00C52588"/>
    <w:rsid w:val="00C96137"/>
    <w:rsid w:val="00CB0D6A"/>
    <w:rsid w:val="00CB7D49"/>
    <w:rsid w:val="00CC3AE5"/>
    <w:rsid w:val="00CE17CA"/>
    <w:rsid w:val="00CE5656"/>
    <w:rsid w:val="00CF562D"/>
    <w:rsid w:val="00D04B2D"/>
    <w:rsid w:val="00D35707"/>
    <w:rsid w:val="00D3733C"/>
    <w:rsid w:val="00D53FB2"/>
    <w:rsid w:val="00D71081"/>
    <w:rsid w:val="00DA1599"/>
    <w:rsid w:val="00DB18B1"/>
    <w:rsid w:val="00DD0566"/>
    <w:rsid w:val="00DD7319"/>
    <w:rsid w:val="00DE3FC6"/>
    <w:rsid w:val="00E3487F"/>
    <w:rsid w:val="00E647CC"/>
    <w:rsid w:val="00E817DD"/>
    <w:rsid w:val="00E82906"/>
    <w:rsid w:val="00E97C63"/>
    <w:rsid w:val="00F028F8"/>
    <w:rsid w:val="00F3196E"/>
    <w:rsid w:val="00F46D77"/>
    <w:rsid w:val="00F80074"/>
    <w:rsid w:val="00FB278A"/>
    <w:rsid w:val="00FB478A"/>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266B89"/>
  <w15:docId w15:val="{1D9F31A3-6535-4B48-97F1-93DEDD06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onNotMetni">
    <w:name w:val="endnote text"/>
    <w:basedOn w:val="Normal"/>
    <w:link w:val="SonNotMetniChar"/>
    <w:uiPriority w:val="99"/>
    <w:semiHidden/>
    <w:unhideWhenUsed/>
    <w:rsid w:val="004D7BDA"/>
    <w:rPr>
      <w:sz w:val="20"/>
      <w:szCs w:val="20"/>
    </w:rPr>
  </w:style>
  <w:style w:type="character" w:customStyle="1" w:styleId="SonNotMetniChar">
    <w:name w:val="Son Not Metni Char"/>
    <w:basedOn w:val="VarsaylanParagrafYazTipi"/>
    <w:link w:val="SonNotMetni"/>
    <w:uiPriority w:val="99"/>
    <w:semiHidden/>
    <w:rsid w:val="004D7BDA"/>
    <w:rPr>
      <w:sz w:val="20"/>
      <w:szCs w:val="20"/>
    </w:rPr>
  </w:style>
  <w:style w:type="character" w:styleId="SonNotBavurusu">
    <w:name w:val="endnote reference"/>
    <w:basedOn w:val="VarsaylanParagrafYazTipi"/>
    <w:uiPriority w:val="99"/>
    <w:semiHidden/>
    <w:unhideWhenUsed/>
    <w:rsid w:val="004D7BDA"/>
    <w:rPr>
      <w:vertAlign w:val="superscript"/>
    </w:rPr>
  </w:style>
  <w:style w:type="paragraph" w:styleId="DipnotMetni">
    <w:name w:val="footnote text"/>
    <w:basedOn w:val="Normal"/>
    <w:link w:val="DipnotMetniChar"/>
    <w:uiPriority w:val="99"/>
    <w:semiHidden/>
    <w:unhideWhenUsed/>
    <w:rsid w:val="004D7BDA"/>
    <w:rPr>
      <w:sz w:val="20"/>
      <w:szCs w:val="20"/>
    </w:rPr>
  </w:style>
  <w:style w:type="character" w:customStyle="1" w:styleId="DipnotMetniChar">
    <w:name w:val="Dipnot Metni Char"/>
    <w:basedOn w:val="VarsaylanParagrafYazTipi"/>
    <w:link w:val="DipnotMetni"/>
    <w:uiPriority w:val="99"/>
    <w:semiHidden/>
    <w:rsid w:val="004D7BDA"/>
    <w:rPr>
      <w:sz w:val="20"/>
      <w:szCs w:val="20"/>
    </w:rPr>
  </w:style>
  <w:style w:type="character" w:styleId="DipnotBavurusu">
    <w:name w:val="footnote reference"/>
    <w:basedOn w:val="VarsaylanParagrafYazTipi"/>
    <w:uiPriority w:val="99"/>
    <w:semiHidden/>
    <w:unhideWhenUsed/>
    <w:rsid w:val="004D7BDA"/>
    <w:rPr>
      <w:vertAlign w:val="superscript"/>
    </w:rPr>
  </w:style>
  <w:style w:type="paragraph" w:styleId="BalonMetni">
    <w:name w:val="Balloon Text"/>
    <w:basedOn w:val="Normal"/>
    <w:link w:val="BalonMetniChar"/>
    <w:uiPriority w:val="99"/>
    <w:semiHidden/>
    <w:unhideWhenUsed/>
    <w:rsid w:val="00196207"/>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196207"/>
    <w:rPr>
      <w:rFonts w:ascii="Lucida Grande" w:hAnsi="Lucida Grande" w:cs="Lucida Grande"/>
      <w:sz w:val="18"/>
      <w:szCs w:val="18"/>
    </w:rPr>
  </w:style>
  <w:style w:type="character" w:styleId="Kpr">
    <w:name w:val="Hyperlink"/>
    <w:basedOn w:val="VarsaylanParagrafYazTipi"/>
    <w:uiPriority w:val="99"/>
    <w:unhideWhenUsed/>
    <w:rsid w:val="00D53FB2"/>
    <w:rPr>
      <w:color w:val="0000FF" w:themeColor="hyperlink"/>
      <w:u w:val="single"/>
    </w:rPr>
  </w:style>
  <w:style w:type="paragraph" w:customStyle="1" w:styleId="Tablolardizini">
    <w:name w:val="Tablolar dizini"/>
    <w:basedOn w:val="ResimYazs"/>
    <w:link w:val="TablolardiziniChar"/>
    <w:qFormat/>
    <w:rsid w:val="00247ECE"/>
    <w:pPr>
      <w:overflowPunct w:val="0"/>
      <w:autoSpaceDE w:val="0"/>
      <w:spacing w:before="120" w:after="0" w:line="360" w:lineRule="auto"/>
      <w:ind w:left="2" w:hangingChars="1" w:hanging="2"/>
      <w:textDirection w:val="btLr"/>
      <w:textAlignment w:val="baseline"/>
      <w:outlineLvl w:val="0"/>
    </w:pPr>
    <w:rPr>
      <w:rFonts w:ascii="Arial" w:eastAsia="Arial" w:hAnsi="Arial" w:cs="Arial"/>
      <w:b w:val="0"/>
      <w:bCs w:val="0"/>
      <w:iCs/>
      <w:color w:val="auto"/>
      <w:position w:val="-1"/>
      <w:sz w:val="22"/>
      <w:lang w:val="tr-TR" w:eastAsia="ar-SA"/>
    </w:rPr>
  </w:style>
  <w:style w:type="character" w:customStyle="1" w:styleId="TablolardiziniChar">
    <w:name w:val="Tablolar dizini Char"/>
    <w:basedOn w:val="VarsaylanParagrafYazTipi"/>
    <w:link w:val="Tablolardizini"/>
    <w:rsid w:val="00247ECE"/>
    <w:rPr>
      <w:rFonts w:ascii="Arial" w:eastAsia="Arial" w:hAnsi="Arial" w:cs="Arial"/>
      <w:iCs/>
      <w:position w:val="-1"/>
      <w:sz w:val="22"/>
      <w:szCs w:val="18"/>
      <w:lang w:val="tr-TR" w:eastAsia="ar-SA"/>
    </w:rPr>
  </w:style>
  <w:style w:type="paragraph" w:styleId="ResimYazs">
    <w:name w:val="caption"/>
    <w:basedOn w:val="Normal"/>
    <w:next w:val="Normal"/>
    <w:uiPriority w:val="35"/>
    <w:semiHidden/>
    <w:unhideWhenUsed/>
    <w:qFormat/>
    <w:rsid w:val="00247ECE"/>
    <w:pPr>
      <w:spacing w:after="200"/>
    </w:pPr>
    <w:rPr>
      <w:b/>
      <w:bCs/>
      <w:color w:val="4F81BD" w:themeColor="accent1"/>
      <w:sz w:val="18"/>
      <w:szCs w:val="18"/>
    </w:rPr>
  </w:style>
  <w:style w:type="character" w:styleId="YerTutucuMetni">
    <w:name w:val="Placeholder Text"/>
    <w:basedOn w:val="VarsaylanParagrafYazTipi"/>
    <w:uiPriority w:val="99"/>
    <w:semiHidden/>
    <w:rsid w:val="00A8114C"/>
    <w:rPr>
      <w:color w:val="808080"/>
    </w:rPr>
  </w:style>
  <w:style w:type="paragraph" w:customStyle="1" w:styleId="References">
    <w:name w:val="References"/>
    <w:basedOn w:val="Normal"/>
    <w:rsid w:val="00992B87"/>
    <w:pPr>
      <w:numPr>
        <w:numId w:val="1"/>
      </w:numPr>
      <w:jc w:val="both"/>
    </w:pPr>
    <w:rPr>
      <w:rFonts w:ascii="Times New Roman" w:eastAsia="Times New Roman" w:hAnsi="Times New Roman"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6837">
      <w:bodyDiv w:val="1"/>
      <w:marLeft w:val="0"/>
      <w:marRight w:val="0"/>
      <w:marTop w:val="0"/>
      <w:marBottom w:val="0"/>
      <w:divBdr>
        <w:top w:val="none" w:sz="0" w:space="0" w:color="auto"/>
        <w:left w:val="none" w:sz="0" w:space="0" w:color="auto"/>
        <w:bottom w:val="none" w:sz="0" w:space="0" w:color="auto"/>
        <w:right w:val="none" w:sz="0" w:space="0" w:color="auto"/>
      </w:divBdr>
    </w:div>
    <w:div w:id="383140530">
      <w:bodyDiv w:val="1"/>
      <w:marLeft w:val="0"/>
      <w:marRight w:val="0"/>
      <w:marTop w:val="0"/>
      <w:marBottom w:val="0"/>
      <w:divBdr>
        <w:top w:val="none" w:sz="0" w:space="0" w:color="auto"/>
        <w:left w:val="none" w:sz="0" w:space="0" w:color="auto"/>
        <w:bottom w:val="none" w:sz="0" w:space="0" w:color="auto"/>
        <w:right w:val="none" w:sz="0" w:space="0" w:color="auto"/>
      </w:divBdr>
      <w:divsChild>
        <w:div w:id="516769854">
          <w:marLeft w:val="480"/>
          <w:marRight w:val="0"/>
          <w:marTop w:val="0"/>
          <w:marBottom w:val="0"/>
          <w:divBdr>
            <w:top w:val="none" w:sz="0" w:space="0" w:color="auto"/>
            <w:left w:val="none" w:sz="0" w:space="0" w:color="auto"/>
            <w:bottom w:val="none" w:sz="0" w:space="0" w:color="auto"/>
            <w:right w:val="none" w:sz="0" w:space="0" w:color="auto"/>
          </w:divBdr>
        </w:div>
        <w:div w:id="85806079">
          <w:marLeft w:val="4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CAA7E7-8422-40BA-9422-E3AA3E39F96C}">
  <we:reference id="wa104382081" version="1.55.1.0" store="en-US" storeType="OMEX"/>
  <we:alternateReferences>
    <we:reference id="wa104382081" version="1.55.1.0" store="en-US" storeType="OMEX"/>
  </we:alternateReferences>
  <we:properties>
    <we:property name="MENDELEY_CITATIONS" value="[{&quot;citationID&quot;:&quot;MENDELEY_CITATION_c4c62916-f87d-4258-b375-53d2fbd6cf5b&quot;,&quot;properties&quot;:{&quot;noteIndex&quot;:0},&quot;isEdited&quot;:false,&quot;manualOverride&quot;:{&quot;isManuallyOverridden&quot;:false,&quot;citeprocText&quot;:&quot;(Balasingam et al., 2015; Cogal et al., 2021)&quot;,&quot;manualOverrideText&quot;:&quot;&quot;},&quot;citationTag&quot;:&quot;MENDELEY_CITATION_v3_eyJjaXRhdGlvbklEIjoiTUVOREVMRVlfQ0lUQVRJT05fYzRjNjI5MTYtZjg3ZC00MjU4LWIzNzUtNTNkMmZiZDZjZjViIiwicHJvcGVydGllcyI6eyJub3RlSW5kZXgiOjB9LCJpc0VkaXRlZCI6ZmFsc2UsIm1hbnVhbE92ZXJyaWRlIjp7ImlzTWFudWFsbHlPdmVycmlkZGVuIjpmYWxzZSwiY2l0ZXByb2NUZXh0IjoiKEJhbGFzaW5nYW0gZXQgYWwuLCAyMDE1OyBDb2dhbCBldCBhbC4sIDIwMjEpIiwibWFudWFsT3ZlcnJpZGVUZXh0IjoiIn0sImNpdGF0aW9uSXRlbXMiOlt7ImlkIjoiNTljOWVmMGYtMGZmNC0zNjc4LTkzMTgtOTQyODJjZjFkZWZlIiwiaXRlbURhdGEiOnsidHlwZSI6ImFydGljbGUtam91cm5hbCIsImlkIjoiNTljOWVmMGYtMGZmNC0zNjc4LTkzMTgtOTQyODJjZjFkZWZlIiwidGl0bGUiOiJVbnJhdmVsbGluZyB0aGUgT3JpZ2luIG9mIEVuaGFuY2VkIEVsZWN0cm9jaGVtaWNhbCBQZXJmb3JtYW5jZSBpbiBDb1NlMuKIkk1vU2UyIEludGVyZmFjZXMiLCJhdXRob3IiOlt7ImZhbWlseSI6IkNvZ2FsIiwiZ2l2ZW4iOiJTYWRpayIsInBhcnNlLW5hbWVzIjpmYWxzZSwiZHJvcHBpbmctcGFydGljbGUiOiIiLCJub24tZHJvcHBpbmctcGFydGljbGUiOiIifSx7ImZhbWlseSI6IlJhbWFuaSIsImdpdmVuIjoiU3dldGhhIiwicGFyc2UtbmFtZXMiOmZhbHNlLCJkcm9wcGluZy1wYXJ0aWNsZSI6IiIsIm5vbi1kcm9wcGluZy1wYXJ0aWNsZSI6IiJ9LHsiZmFtaWx5IjoiQmhldGhhbmFib3RsYSIsImdpdmVuIjoiVmVua2F0IFIuIiwicGFyc2UtbmFtZXMiOmZhbHNlLCJkcm9wcGluZy1wYXJ0aWNsZSI6IiIsIm5vbi1kcm9wcGluZy1wYXJ0aWNsZSI6IiJ9LHsiZmFtaWx5IjoiS3VobiIsImdpdmVuIjoiSm9obiBOLiIsInBhcnNlLW5hbWVzIjpmYWxzZSwiZHJvcHBpbmctcGFydGljbGUiOiIiLCJub24tZHJvcHBpbmctcGFydGljbGUiOiIifV0sImNvbnRhaW5lci10aXRsZSI6IkNoZW1DYXRDaGVtIiwiY29udGFpbmVyLXRpdGxlLXNob3J0IjoiQ2hlbUNhdENoZW0iLCJhY2Nlc3NlZCI6eyJkYXRlLXBhcnRzIjpbWzIwMjMsMTEsMjRdXX0sIkRPSSI6IjEwLjEwMDIvQ0NUQy4yMDIwMDE4NDQiLCJJU1NOIjoiMTg2Ny0zODk5IiwiVVJMIjoiaHR0cHM6Ly9vbmxpbmVsaWJyYXJ5LndpbGV5LmNvbS9kb2kvZnVsbC8xMC4xMDAyL2NjdGMuMjAyMDAxODQ0IiwiaXNzdWVkIjp7ImRhdGUtcGFydHMiOltbMjAyMSw0LDIxXV19LCJwYWdlIjoiMjAxNy0yMDI0IiwiYWJzdHJhY3QiOiJEZWZlY3QgYW5kIGludGVyZmFjZSBlbmdpbmVlcmluZyBoYXZlIGJlZW4gc2hvd24gYXMgZWZmZWN0aXZlIHN0cmF0ZWdpZXMgdG93YXJkcyBzdXN0YWluYWJsZSBoeWRyb2dlbiBwcm9kdWN0aW9uLCBidXQgZGV0YWlsZWQgZGVzY3JpcHRpb25zIG9mIHRoZSBvcmlnaW4gb2YgcGVyZm9ybWFuY2UgZW5oYW5jZW1lbnRzIGlzIG5vdCBlc3RhYmxpc2hlZC4gSGVyZSwgd2Ugc3ludGhlc2l6ZSBhIG1vZGVsIGhldGVyb3N0cnVjdHVyZSBpbnRlcmZhY2UsIENvU2Uy4oiSTW9TZTIvUEVET1QsIHRvIHVucmF2ZWwgaXRzIGJpZnVuY3Rpb25hbCBjYXBhYmlsaXR5LiBMb3cgzrcxMCBvZiDiiJIwLjIwIFYgZm9yIEhFUiBhbmQgMS41MyBWIGZvciBPRVIgdmVyaWZpZWQgdGhlIGVsZWN0cm9jYXRhbHl0aWMgcGVyZm9ybWFuY2Ugb2YgdGhpcyBjYXRhbHlzdC4gV2Ugc3lzdGVtYXRpY2FsbHkgcmV2ZWFsIGludHJpbnNpYyBwb2ludCBkZWZlY3RzIGFuZCBsYXR0aWNlIGRpc2xvY2F0aW9ucyBpbiB0aGVzZSBoZXRlcm9zdHJ1Y3R1cmVzLiBBdG9taWMgc2NhbGUgZWxlY3Ryb24gbWljcm9zY29weSBzdHVkaWVzIGRpc2Nsb3NlIHByZXNlbmNlIG9mIFZTZSBhbmQgTW/iiJJNbyBib25kIGRlZmVjdHMuIFNwZWN0cm9zY29waWMgdGVjaG5pcXVlcyBhcmUgZW1wbG95ZWQgdG8gc2hvdyB0aGUgYWx0ZXJlZCBlbGVjdHJvbmljIHByb3BlcnRpZXMgdGhhdCBwcm9tb3RlIHN1cmZhY2Ugb3hpZGF0aW9uIGR1ZSB0byB0aGUgcHJlc2VuY2Ugb2YgZGVmZWN0cy4gSW4gY29udHJhc3QgdG8gTW9TZTIgb3IgTW9TZTIvUEVET1QsIGRlZmVjdCByaWNoIENvU2Uy4oiSTW9TZTIvUEVET1Qgc2hvd2VkIGFjY2VsZXJhdGVkIHJlYWN0aW9uIGtpbmV0aWNzIHdpdGggbXVjaCBsb3dlciBUYWZlbCBzbG9wZXMuIEVzc2VudGlhbGx5LCBnZW5lcmF0aW9uIG9mIGFuaW9uIHZhY2FuY2llcyBhbmQgbWV0YWxsaWMgTW/iiJJNbyBib25kcyBwcm92aWRlIGFkZGl0aW9uYWwgc2l0ZXMgd2l0aCBpbXByb3ZlZCBhZHNvcnB0aW9uIHByb3BlcnRpZXMgb2YgdGhlIHJlYWN0aW9uIGludGVybWVkaWF0ZXMuIFRoaXMgY2F0YWx5c3QgZXhoaWJpdHMgZXhjZWxsZW50IGVsZWN0cm9jYXRhbHl0aWMgc3RhYmlsaXR5IHVwb24gY3ljbGluZyBmb3IgYm90aCBoYWxmLWNlbGwgcmVhY3Rpb25zLiIsInB1Ymxpc2hlciI6IkpvaG4gV2lsZXkgJiBTb25zLCBMdGQiLCJpc3N1ZSI6IjgiLCJ2b2x1bWUiOiIxMyJ9LCJpc1RlbXBvcmFyeSI6ZmFsc2V9LHsiaWQiOiJkYzgxYzM1Zi0yZmRjLTNjMzYtOTVmMS0wMTVmODUwMzdlM2IiLCJpdGVtRGF0YSI6eyJ0eXBlIjoiYXJ0aWNsZS1qb3VybmFsIiwiaWQiOiJkYzgxYzM1Zi0yZmRjLTNjMzYtOTVmMS0wMTVmODUwMzdlM2IiLCJ0aXRsZSI6IkZldy1sYXllcmVkIE1vU2UyIG5hbm9zaGVldHMgYXMgYW4gYWR2YW5jZWQgZWxlY3Ryb2RlIG1hdGVyaWFsIGZvciBzdXBlcmNhcGFjaXRvcnMiLCJhdXRob3IiOlt7ImZhbWlseSI6IkJhbGFzaW5nYW0iLCJnaXZlbiI6IlN1cmVzaCBLYW5uYW4iLCJwYXJzZS1uYW1lcyI6ZmFsc2UsImRyb3BwaW5nLXBhcnRpY2xlIjoiIiwibm9uLWRyb3BwaW5nLXBhcnRpY2xlIjoiIn0seyJmYW1pbHkiOiJMZWUiLCJnaXZlbiI6IkphZSBTdW5nIiwicGFyc2UtbmFtZXMiOmZhbHNlLCJkcm9wcGluZy1wYXJ0aWNsZSI6IiIsIm5vbi1kcm9wcGluZy1wYXJ0aWNsZSI6IiJ9LHsiZmFtaWx5IjoiSnVuIiwiZ2l2ZW4iOiJZb25nc2VvayIsInBhcnNlLW5hbWVzIjpmYWxzZSwiZHJvcHBpbmctcGFydGljbGUiOiIiLCJub24tZHJvcHBpbmctcGFydGljbGUiOiIifV0sImNvbnRhaW5lci10aXRsZSI6IkRhbHRvbiBUcmFuc2FjdGlvbnMiLCJhY2Nlc3NlZCI6eyJkYXRlLXBhcnRzIjpbWzIwMjMsMTEsMjRdXX0sIkRPSSI6IjEwLjEwMzkvQzVEVDAxOTg1SyIsIklTU04iOiIxNDc3LTkyMzQiLCJVUkwiOiJodHRwczovL3B1YnMucnNjLm9yZy9lbi9jb250ZW50L2FydGljbGVodG1sLzIwMTUvZHQvYzVkdDAxOTg1ayIsImlzc3VlZCI6eyJkYXRlLXBhcnRzIjpbWzIwMTUsOCwyNl1dfSwicGFnZSI6IjE1NDkxLTE1NDk4IiwiYWJzdHJhY3QiOiJXZSByZXBvcnQgdGhlIHN5bnRoZXNpcyBvZiBmZXctbGF5ZXJlZCBNb1NlMiBuYW5vc2hlZXRzIHVzaW5nIGEgZmFjaWxlIGh5ZHJvdGhlcm1hbCBtZXRob2QgYW5kIHRoZWlyIGVsZWN0cm9jaGVtaWNhbCBjaGFyZ2Ugc3RvcmFnZSBiZWhhdmlvci4gQSBzeXN0ZW1hdGljIHN0dWR5IG9mIHRoZSBzdHJ1Y3R1cmUgYW5kIG1vcnBob2xvZ3kgb2YgdGhlIGFzLXN5bnRoZXNpemVkIE1vU2UyIG5hbm9zaGVldHMgd2FzIHBlcmZvcm1lZC4gVGhlIGRvd253YXJkIHBlYWsgc2hpZnQgaW4gdGhlIFJhbWFuIHNwZWN0cnVtIGFuZCB0aGUgaGlnaC1yZXNvbHV0aW9uIHRyYW5zbWlzc2lvbiBlbGVjdHJvbiBtaWNyb3Njb3B5IGltYWdlcyBjb25maXJtZWQgdGhlIGZvcm1hdGlvbiBvZiBmZXctbGF5ZXJlZCBuYW5vc2hlZXRzLiBUaGUgZWxlY3Ryb2NoZW1pY2FsIGVuZXJneS1zdG9yYWdlIGJlaGF2aW9yIG9mIE1vU2UyIG5hbm9zaGVldHMgd2FzIGFsc28gaW52ZXN0aWdhdGVkIGZvciBzdXBlcmNhcGFjaXRvciBhcHBsaWNhdGlvbnMgaW4gYSBzeW1tZXRyaWMgY2VsbCBjb25maWd1cmF0aW9uLiBUaGUgTW9TZTIgbmFub3NoZWV0IGVsZWN0cm9kZSBleGhpYml0ZWQgYSBtYXhpbXVtIHNwZWNpZmljIGNhcGFjaXRhbmNlIG9mIDE5OC45IEYgZ+KIkjEgYW5kIHRoZSBzeW1tZXRyaWMgZGV2aWNlIHNob3dlZCA0OS43IEYgZ+KIkjEgYXQgYSBzY2FuIHJhdGUgb2YgMiBtViBz4oiSMS4gQSBjYXBhY2l0YW5jZSByZXRlbnRpb24gb2YgYXBwcm94aW1hdGVseSA3NSUgd2FzIG9ic2VydmVkIGV2ZW4gYWZ0ZXIgMTDigIYwMDAgY3ljbGVzIGF0IGEgaGlnaCBjaGFyZ2XigJNkaXNjaGFyZ2UgY3VycmVudCBkZW5zaXR5IG9mIDUgQSBn4oiSMS4gVGhlIHR3by1kaW1lbnNpb25hbCBNb1NlMiBuYW5vc2hlZXRzIGV4aGliaXRlZCBhIGhpZ2ggc3BlY2lmaWMgY2FwYWNpdGFuY2UgYW5kIGdvb2QgY3ljbGljIHN0YWJpbGl0eSwgd2hpY2ggbWFrZXMgaXQgYSBwcm9taXNpbmcgZWxlY3Ryb2RlIG1hdGVyaWFsIGZvciBzdXBlcmNhcGFjaXRvciBhcHBsaWNhdGlvbnMuIiwicHVibGlzaGVyIjoiVGhlIFJveWFsIFNvY2lldHkgb2YgQ2hlbWlzdHJ5IiwiaXNzdWUiOiIzNSIsInZvbHVtZSI6IjQ0IiwiY29udGFpbmVyLXRpdGxlLXNob3J0IjoiIn0sImlzVGVtcG9yYXJ5IjpmYWxzZX1dfQ==&quot;,&quot;citationItems&quot;:[{&quot;id&quot;:&quot;59c9ef0f-0ff4-3678-9318-94282cf1defe&quot;,&quot;itemData&quot;:{&quot;type&quot;:&quot;article-journal&quot;,&quot;id&quot;:&quot;59c9ef0f-0ff4-3678-9318-94282cf1defe&quot;,&quot;title&quot;:&quot;Unravelling the Origin of Enhanced Electrochemical Performance in CoSe2−MoSe2 Interfaces&quot;,&quot;author&quot;:[{&quot;family&quot;:&quot;Cogal&quot;,&quot;given&quot;:&quot;Sadik&quot;,&quot;parse-names&quot;:false,&quot;dropping-particle&quot;:&quot;&quot;,&quot;non-dropping-particle&quot;:&quot;&quot;},{&quot;family&quot;:&quot;Ramani&quot;,&quot;given&quot;:&quot;Swetha&quot;,&quot;parse-names&quot;:false,&quot;dropping-particle&quot;:&quot;&quot;,&quot;non-dropping-particle&quot;:&quot;&quot;},{&quot;family&quot;:&quot;Bhethanabotla&quot;,&quot;given&quot;:&quot;Venkat R.&quot;,&quot;parse-names&quot;:false,&quot;dropping-particle&quot;:&quot;&quot;,&quot;non-dropping-particle&quot;:&quot;&quot;},{&quot;family&quot;:&quot;Kuhn&quot;,&quot;given&quot;:&quot;John N.&quot;,&quot;parse-names&quot;:false,&quot;dropping-particle&quot;:&quot;&quot;,&quot;non-dropping-particle&quot;:&quot;&quot;}],&quot;container-title&quot;:&quot;ChemCatChem&quot;,&quot;container-title-short&quot;:&quot;ChemCatChem&quot;,&quot;accessed&quot;:{&quot;date-parts&quot;:[[2023,11,24]]},&quot;DOI&quot;:&quot;10.1002/CCTC.202001844&quot;,&quot;ISSN&quot;:&quot;1867-3899&quot;,&quot;URL&quot;:&quot;https://onlinelibrary.wiley.com/doi/full/10.1002/cctc.202001844&quot;,&quot;issued&quot;:{&quot;date-parts&quot;:[[2021,4,21]]},&quot;page&quot;:&quot;2017-2024&quot;,&quot;abstract&quot;:&quot;Defect and interface engineering have been shown as effective strategies towards sustainable hydrogen production, but detailed descriptions of the origin of performance enhancements is not established. Here, we synthesize a model heterostructure interface, CoSe2−MoSe2/PEDOT, to unravel its bifunctional capability. Low η10 of −0.20 V for HER and 1.53 V for OER verified the electrocatalytic performance of this catalyst. We systematically reveal intrinsic point defects and lattice dislocations in these heterostructures. Atomic scale electron microscopy studies disclose presence of VSe and Mo−Mo bond defects. Spectroscopic techniques are employed to show the altered electronic properties that promote surface oxidation due to the presence of defects. In contrast to MoSe2 or MoSe2/PEDOT, defect rich CoSe2−MoSe2/PEDOT showed accelerated reaction kinetics with much lower Tafel slopes. Essentially, generation of anion vacancies and metallic Mo−Mo bonds provide additional sites with improved adsorption properties of the reaction intermediates. This catalyst exhibits excellent electrocatalytic stability upon cycling for both half-cell reactions.&quot;,&quot;publisher&quot;:&quot;John Wiley &amp; Sons, Ltd&quot;,&quot;issue&quot;:&quot;8&quot;,&quot;volume&quot;:&quot;13&quot;},&quot;isTemporary&quot;:false},{&quot;id&quot;:&quot;dc81c35f-2fdc-3c36-95f1-015f85037e3b&quot;,&quot;itemData&quot;:{&quot;type&quot;:&quot;article-journal&quot;,&quot;id&quot;:&quot;dc81c35f-2fdc-3c36-95f1-015f85037e3b&quot;,&quot;title&quot;:&quot;Few-layered MoSe2 nanosheets as an advanced electrode material for supercapacitors&quot;,&quot;author&quot;:[{&quot;family&quot;:&quot;Balasingam&quot;,&quot;given&quot;:&quot;Suresh Kannan&quot;,&quot;parse-names&quot;:false,&quot;dropping-particle&quot;:&quot;&quot;,&quot;non-dropping-particle&quot;:&quot;&quot;},{&quot;family&quot;:&quot;Lee&quot;,&quot;given&quot;:&quot;Jae Sung&quot;,&quot;parse-names&quot;:false,&quot;dropping-particle&quot;:&quot;&quot;,&quot;non-dropping-particle&quot;:&quot;&quot;},{&quot;family&quot;:&quot;Jun&quot;,&quot;given&quot;:&quot;Yongseok&quot;,&quot;parse-names&quot;:false,&quot;dropping-particle&quot;:&quot;&quot;,&quot;non-dropping-particle&quot;:&quot;&quot;}],&quot;container-title&quot;:&quot;Dalton Transactions&quot;,&quot;accessed&quot;:{&quot;date-parts&quot;:[[2023,11,24]]},&quot;DOI&quot;:&quot;10.1039/C5DT01985K&quot;,&quot;ISSN&quot;:&quot;1477-9234&quot;,&quot;URL&quot;:&quot;https://pubs.rsc.org/en/content/articlehtml/2015/dt/c5dt01985k&quot;,&quot;issued&quot;:{&quot;date-parts&quot;:[[2015,8,26]]},&quot;page&quot;:&quot;15491-15498&quot;,&quot;abstract&quot;:&quot;We report the synthesis of few-layered MoSe2 nanosheets using a facile hydrothermal method and their electrochemical charge storage behavior. A systematic study of the structure and morphology of the as-synthesized MoSe2 nanosheets was performed. The downward peak shift in the Raman spectrum and the high-resolution transmission electron microscopy images confirmed the formation of few-layered nanosheets. The electrochemical energy-storage behavior of MoSe2 nanosheets was also investigated for supercapacitor applications in a symmetric cell configuration. The MoSe2 nanosheet electrode exhibited a maximum specific capacitance of 198.9 F g−1 and the symmetric device showed 49.7 F g−1 at a scan rate of 2 mV s−1. A capacitance retention of approximately 75% was observed even after 10 000 cycles at a high charge–discharge current density of 5 A g−1. The two-dimensional MoSe2 nanosheets exhibited a high specific capacitance and good cyclic stability, which makes it a promising electrode material for supercapacitor applications.&quot;,&quot;publisher&quot;:&quot;The Royal Society of Chemistry&quot;,&quot;issue&quot;:&quot;35&quot;,&quot;volume&quot;:&quot;4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1ph3llAHzLEYoJN7pd1tp3mBgw==">AMUW2mWtspurOdglUS1PH8Pfe/i4Sxa63Lg2LSB0scptNRXQOPhcLkt4re/wJyEs/gxc+TFCFg8AR5g414JxxQvtysHVEu/Pf25dGaTQvi6UhHoJyOp5F1jQUKelWYvWNBkbQYGMB5ZcB4oRfrX61xSYlx0BR3LcfiUvxQmpSmzJ/WjgaiF13CloXH7pKGhVM2picp1hHyjMqK1HcFf0mPQULDYmMIiS0BhrV9Kk7v3cg0znutTXRJCjKreA2XmNPmdQdBOgRlZp+jcfmP5LHbvpIcbvHHTCn63SJgERXlWtlfTWVf5+QoURf/xPZQfKd4q6bVjsk82TfEbbvGBL8MI4PpEKJF9xCZhXJuqIAnd9cp+oAET7Yj3LybAc0d+6/3AaQ1u/VJI92hTigyZsZPs8VKrIbL2wSXExfXfDpayBro22LKavSPYgRFBoIKSw8IvIX6FETgPeGjpqHIpH3SdfuSeg8ey9+nQ7xAuCB11a84aShmWSkJTeWdBavIe1WnU+s7d/g7PJ1VazRqpA/c/gpq8zlJr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41690F-0180-4487-BF11-4A997B8F4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5044</Words>
  <Characters>28753</Characters>
  <Application>Microsoft Office Word</Application>
  <DocSecurity>0</DocSecurity>
  <Lines>239</Lines>
  <Paragraphs>67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Ústav polymérov SAV</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sadık çoğal</dc:creator>
  <cp:lastModifiedBy>SADIK</cp:lastModifiedBy>
  <cp:revision>4</cp:revision>
  <dcterms:created xsi:type="dcterms:W3CDTF">2024-05-23T07:03:00Z</dcterms:created>
  <dcterms:modified xsi:type="dcterms:W3CDTF">2024-07-01T13:04:00Z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http://www.zotero.org/styles/electrochimica-acta</vt:lpwstr>
  </property>
  <property fmtid="{D5CDD505-2E9C-101B-9397-08002B2CF9AE}" pid="3" name="Mendeley Recent Style Name 0_1">
    <vt:lpwstr>Electrochimica Acta</vt:lpwstr>
  </property>
  <property fmtid="{D5CDD505-2E9C-101B-9397-08002B2CF9AE}" pid="4" name="Mendeley Recent Style Id 1_1">
    <vt:lpwstr>http://www.zotero.org/styles/journal-of-alloys-and-compounds</vt:lpwstr>
  </property>
  <property fmtid="{D5CDD505-2E9C-101B-9397-08002B2CF9AE}" pid="5" name="Mendeley Recent Style Name 1_1">
    <vt:lpwstr>Journal of Alloys and Compounds</vt:lpwstr>
  </property>
  <property fmtid="{D5CDD505-2E9C-101B-9397-08002B2CF9AE}" pid="6" name="Mendeley Recent Style Id 2_1">
    <vt:lpwstr>http://www.zotero.org/styles/journal-of-materials-science-materials-in-electronics</vt:lpwstr>
  </property>
  <property fmtid="{D5CDD505-2E9C-101B-9397-08002B2CF9AE}" pid="7" name="Mendeley Recent Style Name 2_1">
    <vt:lpwstr>Journal of Materials Science: Materials in Electronics</vt:lpwstr>
  </property>
  <property fmtid="{D5CDD505-2E9C-101B-9397-08002B2CF9AE}" pid="8" name="Mendeley Recent Style Id 3_1">
    <vt:lpwstr>http://www.zotero.org/styles/materials-chemistry-and-physics</vt:lpwstr>
  </property>
  <property fmtid="{D5CDD505-2E9C-101B-9397-08002B2CF9AE}" pid="9" name="Mendeley Recent Style Name 3_1">
    <vt:lpwstr>Materials Chemistry and Physics</vt:lpwstr>
  </property>
  <property fmtid="{D5CDD505-2E9C-101B-9397-08002B2CF9AE}" pid="10" name="Mendeley Recent Style Id 4_1">
    <vt:lpwstr>http://www.zotero.org/styles/materials-science-in-semiconductor-processing</vt:lpwstr>
  </property>
  <property fmtid="{D5CDD505-2E9C-101B-9397-08002B2CF9AE}" pid="11" name="Mendeley Recent Style Name 4_1">
    <vt:lpwstr>Materials Science in Semiconductor Processing</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http://www.zotero.org/styles/polymer-bulletin</vt:lpwstr>
  </property>
  <property fmtid="{D5CDD505-2E9C-101B-9397-08002B2CF9AE}" pid="17" name="Mendeley Recent Style Name 7_1">
    <vt:lpwstr>Polymer Bulletin</vt:lpwstr>
  </property>
  <property fmtid="{D5CDD505-2E9C-101B-9397-08002B2CF9AE}" pid="18" name="Mendeley Recent Style Id 8_1">
    <vt:lpwstr>http://www.zotero.org/styles/springer-basic-author-date</vt:lpwstr>
  </property>
  <property fmtid="{D5CDD505-2E9C-101B-9397-08002B2CF9AE}" pid="19" name="Mendeley Recent Style Name 8_1">
    <vt:lpwstr>Springer - Basic (author-date)</vt:lpwstr>
  </property>
  <property fmtid="{D5CDD505-2E9C-101B-9397-08002B2CF9AE}" pid="20" name="Mendeley Recent Style Id 9_1">
    <vt:lpwstr>http://www.zotero.org/styles/taylor-and-francis-chicago-f</vt:lpwstr>
  </property>
  <property fmtid="{D5CDD505-2E9C-101B-9397-08002B2CF9AE}" pid="21" name="Mendeley Recent Style Name 9_1">
    <vt:lpwstr>Taylor &amp; Francis - Chicago F</vt:lpwstr>
  </property>
  <property fmtid="{D5CDD505-2E9C-101B-9397-08002B2CF9AE}" pid="22" name="Mendeley Document_1">
    <vt:lpwstr>True</vt:lpwstr>
  </property>
  <property fmtid="{D5CDD505-2E9C-101B-9397-08002B2CF9AE}" pid="23" name="Mendeley Unique User Id_1">
    <vt:lpwstr>076fdc90-1a15-3b7d-94c2-563185eab54c</vt:lpwstr>
  </property>
  <property fmtid="{D5CDD505-2E9C-101B-9397-08002B2CF9AE}" pid="24" name="Mendeley Citation Style_1">
    <vt:lpwstr>http://www.zotero.org/styles/journal-of-materials-science-materials-in-electronics</vt:lpwstr>
  </property>
</Properties>
</file>