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8AE85">
      <w:pPr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cs="Times New Roman Regular"/>
          <w:sz w:val="21"/>
          <w:szCs w:val="21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drawing>
          <wp:inline distT="0" distB="0" distL="114300" distR="114300">
            <wp:extent cx="2748280" cy="357060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BF6BD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sz w:val="21"/>
          <w:szCs w:val="21"/>
          <w:lang w:val="en-US" w:eastAsia="zh-CN"/>
        </w:rPr>
        <w:t>Figure S1.</w:t>
      </w:r>
      <w:r>
        <w:rPr>
          <w:rFonts w:hint="default" w:ascii="Times New Roman Regular" w:hAnsi="Times New Roman Regular" w:cs="Times New Roman Regular"/>
          <w:b w:val="0"/>
          <w:bCs w:val="0"/>
          <w:sz w:val="21"/>
          <w:szCs w:val="21"/>
          <w:lang w:val="en-US" w:eastAsia="zh-CN"/>
        </w:rPr>
        <w:t xml:space="preserve"> The optimal concentration for osteogenesis of </w:t>
      </w:r>
      <w:r>
        <w:rPr>
          <w:rFonts w:hint="default" w:ascii="Times New Roman Regular" w:hAnsi="Times New Roman Regular" w:eastAsia="宋体" w:cs="Times New Roman Regular"/>
          <w:b w:val="0"/>
          <w:bCs w:val="0"/>
          <w:color w:val="000000"/>
          <w:kern w:val="0"/>
          <w:sz w:val="21"/>
          <w:szCs w:val="21"/>
          <w:lang w:val="en-US" w:eastAsia="zh-CN" w:bidi="ar"/>
          <w14:ligatures w14:val="none"/>
        </w:rPr>
        <w:t xml:space="preserve">RGO@PDA. </w:t>
      </w:r>
      <w:r>
        <w:rPr>
          <w:rFonts w:hint="default" w:ascii="Times New Roman Regular" w:hAnsi="Times New Roman Regular" w:cs="Times New Roman Regular"/>
          <w:iCs/>
          <w:sz w:val="21"/>
          <w:szCs w:val="21"/>
        </w:rPr>
        <w:t>ALP activity quantitative analyses of rBMSCs after 7 d</w:t>
      </w:r>
      <w:r>
        <w:rPr>
          <w:rFonts w:hint="default" w:ascii="Times New Roman Regular" w:hAnsi="Times New Roman Regular" w:cs="Times New Roman Regular"/>
          <w:iCs/>
          <w:sz w:val="21"/>
          <w:szCs w:val="21"/>
          <w:lang w:val="en-US" w:eastAsia="zh-CN"/>
        </w:rPr>
        <w:t>ays</w:t>
      </w:r>
      <w:r>
        <w:rPr>
          <w:rFonts w:hint="default" w:ascii="Times New Roman Regular" w:hAnsi="Times New Roman Regular" w:cs="Times New Roman Regular"/>
          <w:iCs/>
          <w:sz w:val="21"/>
          <w:szCs w:val="21"/>
        </w:rPr>
        <w:t xml:space="preserve"> cultured with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iCs/>
          <w:sz w:val="21"/>
          <w:szCs w:val="21"/>
        </w:rPr>
        <w:t xml:space="preserve"> RGO@PDA. All data are presented as mean ± SD (n = 3). Statistical analysis: NS, non-significant; *</w:t>
      </w:r>
      <w:r>
        <w:rPr>
          <w:rFonts w:hint="default" w:ascii="Times New Roman Italic" w:hAnsi="Times New Roman Italic" w:cs="Times New Roman Italic"/>
          <w:i/>
          <w:iCs w:val="0"/>
          <w:sz w:val="21"/>
          <w:szCs w:val="21"/>
        </w:rPr>
        <w:t>P</w:t>
      </w:r>
      <w:r>
        <w:rPr>
          <w:rFonts w:hint="default" w:ascii="Times New Roman Regular" w:hAnsi="Times New Roman Regular" w:cs="Times New Roman Regular"/>
          <w:iCs/>
          <w:sz w:val="21"/>
          <w:szCs w:val="21"/>
        </w:rPr>
        <w:t xml:space="preserve"> &lt; 0.05; **</w:t>
      </w:r>
      <w:r>
        <w:rPr>
          <w:rFonts w:hint="default" w:ascii="Times New Roman Italic" w:hAnsi="Times New Roman Italic" w:cs="Times New Roman Italic"/>
          <w:i/>
          <w:iCs w:val="0"/>
          <w:sz w:val="21"/>
          <w:szCs w:val="21"/>
        </w:rPr>
        <w:t>P</w:t>
      </w:r>
      <w:r>
        <w:rPr>
          <w:rFonts w:hint="default" w:ascii="Times New Roman Regular" w:hAnsi="Times New Roman Regular" w:cs="Times New Roman Regular"/>
          <w:iCs/>
          <w:sz w:val="21"/>
          <w:szCs w:val="21"/>
        </w:rPr>
        <w:t xml:space="preserve"> &lt; 0.01; ***</w:t>
      </w:r>
      <w:r>
        <w:rPr>
          <w:rFonts w:hint="default" w:ascii="Times New Roman Italic" w:hAnsi="Times New Roman Italic" w:cs="Times New Roman Italic"/>
          <w:i/>
          <w:iCs w:val="0"/>
          <w:sz w:val="21"/>
          <w:szCs w:val="21"/>
        </w:rPr>
        <w:t>P</w:t>
      </w:r>
      <w:r>
        <w:rPr>
          <w:rFonts w:hint="default" w:ascii="Times New Roman Regular" w:hAnsi="Times New Roman Regular" w:cs="Times New Roman Regular"/>
          <w:iCs/>
          <w:sz w:val="21"/>
          <w:szCs w:val="21"/>
        </w:rPr>
        <w:t xml:space="preserve"> &lt; 0.001. </w:t>
      </w:r>
    </w:p>
    <w:p w14:paraId="25A919B3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2A337669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679E18BD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3B0871AF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228BD4BC">
      <w:pPr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cs="Times New Roman Regular"/>
          <w:sz w:val="21"/>
          <w:szCs w:val="21"/>
          <w:lang w:val="en-US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val="en-US"/>
        </w:rPr>
        <w:drawing>
          <wp:inline distT="0" distB="0" distL="114300" distR="114300">
            <wp:extent cx="4732020" cy="4374515"/>
            <wp:effectExtent l="0" t="0" r="0" b="0"/>
            <wp:docPr id="1" name="图片 1" descr="/private/var/folders/t5/97z1j7xj5dq3ld6nvxylkrdr0000gn/T/com.kingsoft.wpsoffice.mac/picturecompress_20241126163412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folders/t5/97z1j7xj5dq3ld6nvxylkrdr0000gn/T/com.kingsoft.wpsoffice.mac/picturecompress_20241126163412/output_1.pn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54FB1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1"/>
          <w:szCs w:val="21"/>
          <w:lang w:val="en-US"/>
        </w:rPr>
      </w:pPr>
      <w:r>
        <w:rPr>
          <w:rFonts w:hint="default" w:ascii="Times New Roman Regular" w:hAnsi="Times New Roman Regular" w:cs="Times New Roman Regular"/>
          <w:b/>
          <w:bCs/>
          <w:sz w:val="21"/>
          <w:szCs w:val="21"/>
          <w:lang w:val="en-US" w:eastAsia="zh-CN"/>
        </w:rPr>
        <w:t xml:space="preserve">Figure S2. 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 w:val="21"/>
          <w:szCs w:val="21"/>
          <w:lang w:val="en-US" w:eastAsia="zh-CN" w:bidi="ar"/>
          <w14:ligatures w14:val="none"/>
        </w:rPr>
        <w:t xml:space="preserve">In vivo biosafety assessment of RGO@PDA. The H&amp;E staining results of the major internal organs of rats (heart, liver, spleen, lungs and kidneys). 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</w:rPr>
        <w:t xml:space="preserve">Scale bar: 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/>
        </w:rPr>
        <w:t>2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</w:rPr>
        <w:t>00 μm.</w:t>
      </w:r>
    </w:p>
    <w:p w14:paraId="594C700C">
      <w:pPr>
        <w:rPr>
          <w:rFonts w:hint="default" w:ascii="Times New Roman Regular" w:hAnsi="Times New Roman Regular" w:cs="Times New Roman Regular"/>
          <w:sz w:val="21"/>
          <w:szCs w:val="21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DNlYTUwZjliYjlmMzUyZWM5NGZjMWYwODk2OWUifQ=="/>
  </w:docVars>
  <w:rsids>
    <w:rsidRoot w:val="E7F25DC3"/>
    <w:rsid w:val="E7F25DC3"/>
    <w:rsid w:val="E7F63628"/>
    <w:rsid w:val="F6FB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2025-01-31T01:54:00Z</dcterms:created>
  <dc:creator></dc:creator>
  <cp:lastModifiedBy>jiangxiaoge</cp:lastModifiedBy>
  <dcterms:modified xsi:type="dcterms:W3CDTF">2025-01-31T14:28:25Z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6475C2249CE0164A594C9B67FAD0C11C_41</vt:lpwstr>
  </property>
</Properties>
</file>