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spacing w:after="120" w:line="360" w:lineRule="auto"/>
        <w:jc w:val="both"/>
        <w:rPr>
          <w:rFonts w:ascii="Times" w:cs="Times" w:eastAsia="Times" w:hAnsi="Times"/>
          <w:b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sz w:val="28"/>
          <w:szCs w:val="28"/>
          <w:rtl w:val="0"/>
        </w:rPr>
        <w:t xml:space="preserve">Supplementary Materials</w:t>
      </w:r>
    </w:p>
    <w:p w:rsidR="00000000" w:rsidDel="00000000" w:rsidP="00000000" w:rsidRDefault="00000000" w:rsidRPr="00000000" w14:paraId="00000001">
      <w:pPr>
        <w:widowControl w:val="0"/>
        <w:spacing w:after="120" w:line="276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Dynamics of a type 2 secretion system pseudopilus unraveled by complementary approaches </w:t>
      </w:r>
    </w:p>
    <w:p w:rsidR="00000000" w:rsidDel="00000000" w:rsidP="00000000" w:rsidRDefault="00000000" w:rsidRPr="00000000" w14:paraId="00000002">
      <w:pPr>
        <w:widowControl w:val="0"/>
        <w:spacing w:after="120" w:line="360" w:lineRule="auto"/>
        <w:jc w:val="both"/>
        <w:rPr>
          <w:rFonts w:ascii="Times" w:cs="Times" w:eastAsia="Times" w:hAnsi="Time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</w:rPr>
      </w:pPr>
      <w:bookmarkStart w:colFirst="0" w:colLast="0" w:name="_9w6buwh77gv5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Benjamin Bardiaux,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Florence Cordier,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Sébastien Brier,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Aracelys López-Castilla,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Nadia Izadi-Pruneyre,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1*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Michael Nilges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1*</w:t>
      </w:r>
    </w:p>
    <w:p w:rsidR="00000000" w:rsidDel="00000000" w:rsidP="00000000" w:rsidRDefault="00000000" w:rsidRPr="00000000" w14:paraId="00000004">
      <w:pPr>
        <w:widowControl w:val="0"/>
        <w:spacing w:after="12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</w:rPr>
      </w:pPr>
      <w:bookmarkStart w:colFirst="0" w:colLast="0" w:name="_3l1j64lkgig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ffa1mg1m3yl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1: Structural Bioinformatics Unit, Department of Structural Biology and Chemistry, C3BI, Institut Pasteur; CNRS UMR3528; CNRS USR3756; Paris, France</w:t>
      </w:r>
    </w:p>
    <w:p w:rsidR="00000000" w:rsidDel="00000000" w:rsidP="00000000" w:rsidRDefault="00000000" w:rsidRPr="00000000" w14:paraId="00000006">
      <w:pPr>
        <w:widowControl w:val="0"/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9pfhsomopsda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2: Biological NMR Technological Platform, Center for Technological Resources and Research, Department of Structural Biology and Chemistry, Institut Pasteur; CNRS UMR3528; Paris, France</w:t>
      </w:r>
    </w:p>
    <w:p w:rsidR="00000000" w:rsidDel="00000000" w:rsidP="00000000" w:rsidRDefault="00000000" w:rsidRPr="00000000" w14:paraId="00000007">
      <w:pPr>
        <w:widowControl w:val="0"/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np9ez48hu4r0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correspondance to: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nadia.izadi@pasteur.fr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michael.nilges@pasteur.fr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20" w:line="360" w:lineRule="auto"/>
        <w:jc w:val="both"/>
        <w:rPr>
          <w:rFonts w:ascii="Times" w:cs="Times" w:eastAsia="Times" w:hAnsi="Time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20" w:line="360" w:lineRule="auto"/>
        <w:jc w:val="both"/>
        <w:rPr>
          <w:rFonts w:ascii="Times" w:cs="Times" w:eastAsia="Times" w:hAnsi="Time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2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114300" distT="114300" distL="114300" distR="114300">
            <wp:extent cx="5734050" cy="3136900"/>
            <wp:effectExtent b="0" l="0" r="0" t="0"/>
            <wp:docPr id="12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3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Figure S1: Superimposed structures of soluble PulG</w:t>
      </w:r>
      <w:r w:rsidDel="00000000" w:rsidR="00000000" w:rsidRPr="00000000">
        <w:rPr>
          <w:rFonts w:ascii="Times" w:cs="Times" w:eastAsia="Times" w:hAnsi="Times"/>
          <w:b w:val="1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and refined PulG</w:t>
      </w:r>
      <w:r w:rsidDel="00000000" w:rsidR="00000000" w:rsidRPr="00000000">
        <w:rPr>
          <w:rFonts w:ascii="Times" w:cs="Times" w:eastAsia="Times" w:hAnsi="Times"/>
          <w:b w:val="1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and PulG</w:t>
      </w:r>
      <w:r w:rsidDel="00000000" w:rsidR="00000000" w:rsidRPr="00000000">
        <w:rPr>
          <w:rFonts w:ascii="Times" w:cs="Times" w:eastAsia="Times" w:hAnsi="Times"/>
          <w:b w:val="1"/>
          <w:vertAlign w:val="subscript"/>
          <w:rtl w:val="0"/>
        </w:rPr>
        <w:t xml:space="preserve">CC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pili.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(a) Cross-section of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CC</w:t>
      </w:r>
      <w:r w:rsidDel="00000000" w:rsidR="00000000" w:rsidRPr="00000000">
        <w:rPr>
          <w:rFonts w:ascii="Times" w:cs="Times" w:eastAsia="Times" w:hAnsi="Times"/>
          <w:rtl w:val="0"/>
        </w:rPr>
        <w:t xml:space="preserve"> cryo-EM reconstruction at 5 Å, with a single PulG subunit from the refined ensembles. (b) Superimposition of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rtl w:val="0"/>
        </w:rPr>
        <w:t xml:space="preserve"> (pink) and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CC</w:t>
      </w:r>
      <w:r w:rsidDel="00000000" w:rsidR="00000000" w:rsidRPr="00000000">
        <w:rPr>
          <w:rFonts w:ascii="Times" w:cs="Times" w:eastAsia="Times" w:hAnsi="Times"/>
          <w:rtl w:val="0"/>
        </w:rPr>
        <w:t xml:space="preserve"> (blue) refined models. (c)  Superimposition of solution NMR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rtl w:val="0"/>
        </w:rPr>
        <w:t xml:space="preserve"> structure (beige),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rtl w:val="0"/>
        </w:rPr>
        <w:t xml:space="preserve"> pili (pink) and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CC</w:t>
      </w:r>
      <w:r w:rsidDel="00000000" w:rsidR="00000000" w:rsidRPr="00000000">
        <w:rPr>
          <w:rFonts w:ascii="Times" w:cs="Times" w:eastAsia="Times" w:hAnsi="Times"/>
          <w:rtl w:val="0"/>
        </w:rPr>
        <w:t xml:space="preserve"> pili (blue) models.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12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4050" cy="4152900"/>
            <wp:effectExtent b="0" l="0" r="0" t="0"/>
            <wp:docPr id="19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15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S2: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Local effect of the H106C-W129C mutation on PulG monomer structure.</w:t>
      </w:r>
      <w:r w:rsidDel="00000000" w:rsidR="00000000" w:rsidRPr="00000000">
        <w:rPr>
          <w:rFonts w:ascii="Times" w:cs="Times" w:eastAsia="Times" w:hAnsi="Times"/>
          <w:rtl w:val="0"/>
        </w:rPr>
        <w:t xml:space="preserve"> (A) Superimposed </w:t>
      </w:r>
      <w:r w:rsidDel="00000000" w:rsidR="00000000" w:rsidRPr="00000000">
        <w:rPr>
          <w:rFonts w:ascii="Times" w:cs="Times" w:eastAsia="Times" w:hAnsi="Times"/>
          <w:vertAlign w:val="superscript"/>
          <w:rtl w:val="0"/>
        </w:rPr>
        <w:t xml:space="preserve">1</w:t>
      </w:r>
      <w:r w:rsidDel="00000000" w:rsidR="00000000" w:rsidRPr="00000000">
        <w:rPr>
          <w:rFonts w:ascii="Times" w:cs="Times" w:eastAsia="Times" w:hAnsi="Times"/>
          <w:rtl w:val="0"/>
        </w:rPr>
        <w:t xml:space="preserve">H-</w:t>
      </w:r>
      <w:r w:rsidDel="00000000" w:rsidR="00000000" w:rsidRPr="00000000">
        <w:rPr>
          <w:rFonts w:ascii="Times" w:cs="Times" w:eastAsia="Times" w:hAnsi="Times"/>
          <w:vertAlign w:val="superscript"/>
          <w:rtl w:val="0"/>
        </w:rPr>
        <w:t xml:space="preserve">15</w:t>
      </w:r>
      <w:r w:rsidDel="00000000" w:rsidR="00000000" w:rsidRPr="00000000">
        <w:rPr>
          <w:rFonts w:ascii="Times" w:cs="Times" w:eastAsia="Times" w:hAnsi="Times"/>
          <w:rtl w:val="0"/>
        </w:rPr>
        <w:t xml:space="preserve">N HSQC spectra of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color w:val="008000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(black) and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CC</w:t>
      </w:r>
      <w:r w:rsidDel="00000000" w:rsidR="00000000" w:rsidRPr="00000000">
        <w:rPr>
          <w:rFonts w:ascii="Times" w:cs="Times" w:eastAsia="Times" w:hAnsi="Times"/>
          <w:rtl w:val="0"/>
        </w:rPr>
        <w:t xml:space="preserve"> (red). The largest chemical shift differences are highlighted in red. (B) Weighted average </w:t>
      </w:r>
      <w:r w:rsidDel="00000000" w:rsidR="00000000" w:rsidRPr="00000000">
        <w:rPr>
          <w:rFonts w:ascii="Times" w:cs="Times" w:eastAsia="Times" w:hAnsi="Times"/>
          <w:vertAlign w:val="superscript"/>
          <w:rtl w:val="0"/>
        </w:rPr>
        <w:t xml:space="preserve">1</w:t>
      </w:r>
      <w:r w:rsidDel="00000000" w:rsidR="00000000" w:rsidRPr="00000000">
        <w:rPr>
          <w:rFonts w:ascii="Times" w:cs="Times" w:eastAsia="Times" w:hAnsi="Times"/>
          <w:rtl w:val="0"/>
        </w:rPr>
        <w:t xml:space="preserve">H-</w:t>
      </w:r>
      <w:r w:rsidDel="00000000" w:rsidR="00000000" w:rsidRPr="00000000">
        <w:rPr>
          <w:rFonts w:ascii="Times" w:cs="Times" w:eastAsia="Times" w:hAnsi="Times"/>
          <w:vertAlign w:val="superscript"/>
          <w:rtl w:val="0"/>
        </w:rPr>
        <w:t xml:space="preserve">15</w:t>
      </w:r>
      <w:r w:rsidDel="00000000" w:rsidR="00000000" w:rsidRPr="00000000">
        <w:rPr>
          <w:rFonts w:ascii="Times" w:cs="Times" w:eastAsia="Times" w:hAnsi="Times"/>
          <w:rtl w:val="0"/>
        </w:rPr>
        <w:t xml:space="preserve">N chemical shift differences (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Δδ</w:t>
      </w:r>
      <w:r w:rsidDel="00000000" w:rsidR="00000000" w:rsidRPr="00000000">
        <w:rPr>
          <w:rFonts w:ascii="Times" w:cs="Times" w:eastAsia="Times" w:hAnsi="Times"/>
          <w:vertAlign w:val="superscript"/>
          <w:rtl w:val="0"/>
        </w:rPr>
        <w:t xml:space="preserve">avge</w:t>
      </w:r>
      <w:r w:rsidDel="00000000" w:rsidR="00000000" w:rsidRPr="00000000">
        <w:rPr>
          <w:rFonts w:ascii="Times" w:cs="Times" w:eastAsia="Times" w:hAnsi="Times"/>
          <w:rtl w:val="0"/>
        </w:rPr>
        <w:t xml:space="preserve">) between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WT </w:t>
      </w:r>
      <w:r w:rsidDel="00000000" w:rsidR="00000000" w:rsidRPr="00000000">
        <w:rPr>
          <w:rFonts w:ascii="Times" w:cs="Times" w:eastAsia="Times" w:hAnsi="Times"/>
          <w:rtl w:val="0"/>
        </w:rPr>
        <w:t xml:space="preserve">and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CC</w:t>
      </w:r>
      <w:r w:rsidDel="00000000" w:rsidR="00000000" w:rsidRPr="00000000">
        <w:rPr>
          <w:rFonts w:ascii="Times" w:cs="Times" w:eastAsia="Times" w:hAnsi="Times"/>
          <w:rtl w:val="0"/>
        </w:rPr>
        <w:t xml:space="preserve">. The mutation positions H106C and W129C are indicated by gray stars. Secondary structure elements are indicated on the top. (C) Mapping of mutation-induced chemical shift perturbations on PulG monomer structure, from blue to red with increasing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Δδ</w:t>
      </w:r>
      <w:r w:rsidDel="00000000" w:rsidR="00000000" w:rsidRPr="00000000">
        <w:rPr>
          <w:rFonts w:ascii="Times" w:cs="Times" w:eastAsia="Times" w:hAnsi="Times"/>
          <w:vertAlign w:val="superscript"/>
          <w:rtl w:val="0"/>
        </w:rPr>
        <w:t xml:space="preserve">avge</w:t>
      </w:r>
      <w:r w:rsidDel="00000000" w:rsidR="00000000" w:rsidRPr="00000000">
        <w:rPr>
          <w:rFonts w:ascii="Times" w:cs="Times" w:eastAsia="Times" w:hAnsi="Times"/>
          <w:rtl w:val="0"/>
        </w:rPr>
        <w:t xml:space="preserve">. The calcium atom is displayed in yellow. </w:t>
      </w:r>
    </w:p>
    <w:p w:rsidR="00000000" w:rsidDel="00000000" w:rsidP="00000000" w:rsidRDefault="00000000" w:rsidRPr="00000000" w14:paraId="00000011">
      <w:pPr>
        <w:widowControl w:val="0"/>
        <w:spacing w:after="120" w:line="36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</w:rPr>
        <w:drawing>
          <wp:inline distB="114300" distT="114300" distL="114300" distR="114300">
            <wp:extent cx="5734050" cy="3187700"/>
            <wp:effectExtent b="0" l="0" r="0" t="0"/>
            <wp:docPr id="14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120" w:line="36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Figure S3</w:t>
      </w:r>
      <w:r w:rsidDel="00000000" w:rsidR="00000000" w:rsidRPr="00000000">
        <w:rPr>
          <w:rFonts w:ascii="Times" w:cs="Times" w:eastAsia="Times" w:hAnsi="Times"/>
          <w:rtl w:val="0"/>
        </w:rPr>
        <w:t xml:space="preserve">: 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Peptide maps of PulG</w:t>
      </w:r>
      <w:r w:rsidDel="00000000" w:rsidR="00000000" w:rsidRPr="00000000">
        <w:rPr>
          <w:rFonts w:ascii="Times" w:cs="Times" w:eastAsia="Times" w:hAnsi="Times"/>
          <w:b w:val="1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monomer (a) and PulG</w:t>
      </w:r>
      <w:r w:rsidDel="00000000" w:rsidR="00000000" w:rsidRPr="00000000">
        <w:rPr>
          <w:rFonts w:ascii="Times" w:cs="Times" w:eastAsia="Times" w:hAnsi="Times"/>
          <w:b w:val="1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pilus (b) generated after 2 min pepsin digestion at 20ºC and pH 2.5</w:t>
      </w:r>
      <w:r w:rsidDel="00000000" w:rsidR="00000000" w:rsidRPr="00000000">
        <w:rPr>
          <w:rFonts w:ascii="Times" w:cs="Times" w:eastAsia="Times" w:hAnsi="Times"/>
          <w:rtl w:val="0"/>
        </w:rPr>
        <w:t xml:space="preserve">. Each blue bar corresponds to a unique peptide. A 100% sequence coverage was achieved for both proteins. Missing residues in the N-terminal region of  the PulG</w:t>
      </w:r>
      <w:r w:rsidDel="00000000" w:rsidR="00000000" w:rsidRPr="00000000">
        <w:rPr>
          <w:rFonts w:ascii="Times" w:cs="Times" w:eastAsia="Times" w:hAnsi="Times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rtl w:val="0"/>
        </w:rPr>
        <w:t xml:space="preserve"> monomer have been replaced by “X”.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1" cy="1005840"/>
            <wp:effectExtent b="0" l="0" r="0" t="0"/>
            <wp:docPr id="33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1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1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9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11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6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1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76413" cy="989030"/>
            <wp:effectExtent b="0" l="0" r="0" t="0"/>
            <wp:docPr id="37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6413" cy="989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1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1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0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2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7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4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4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S4: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Deuterium uptake curves for all peptides of PulG</w:t>
      </w:r>
      <w:r w:rsidDel="00000000" w:rsidR="00000000" w:rsidRPr="00000000">
        <w:rPr>
          <w:rFonts w:ascii="Times" w:cs="Times" w:eastAsia="Times" w:hAnsi="Times"/>
          <w:b w:val="1"/>
          <w:vertAlign w:val="subscript"/>
          <w:rtl w:val="0"/>
        </w:rPr>
        <w:t xml:space="preserve">WT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analyzed in the monomer (red dots) and in the pilus (blue squares).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" w:cs="Times" w:eastAsia="Times" w:hAnsi="Times"/>
        </w:rPr>
      </w:pPr>
      <w:bookmarkStart w:colFirst="0" w:colLast="0" w:name="_gjdgxs" w:id="0"/>
      <w:bookmarkEnd w:id="0"/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1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6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41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4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42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8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9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7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2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31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</w:rPr>
        <w:drawing>
          <wp:inline distB="0" distT="0" distL="0" distR="0">
            <wp:extent cx="1788160" cy="1005840"/>
            <wp:effectExtent b="0" l="0" r="0" t="0"/>
            <wp:docPr id="2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12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Fig. S4: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continued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12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12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12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120"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S1: Summary of the Hydrogen/Deuterium eXchange – Mass Spectrometry (HDX-MS) experiments</w:t>
      </w:r>
    </w:p>
    <w:p w:rsidR="00000000" w:rsidDel="00000000" w:rsidP="00000000" w:rsidRDefault="00000000" w:rsidRPr="00000000" w14:paraId="0000002A">
      <w:pPr>
        <w:widowControl w:val="0"/>
        <w:spacing w:after="120" w:line="36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92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0"/>
        <w:gridCol w:w="2460"/>
        <w:gridCol w:w="2460"/>
        <w:tblGridChange w:id="0">
          <w:tblGrid>
            <w:gridCol w:w="3000"/>
            <w:gridCol w:w="2460"/>
            <w:gridCol w:w="2460"/>
          </w:tblGrid>
        </w:tblGridChange>
      </w:tblGrid>
      <w:tr>
        <w:trPr>
          <w:trHeight w:val="740" w:hRule="atLeast"/>
        </w:trPr>
        <w:tc>
          <w:tcPr>
            <w:tcBorders>
              <w:top w:color="538135" w:space="0" w:sz="12" w:val="single"/>
              <w:bottom w:color="538135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jc w:val="both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EXPERIMENT</w:t>
            </w:r>
          </w:p>
          <w:p w:rsidR="00000000" w:rsidDel="00000000" w:rsidP="00000000" w:rsidRDefault="00000000" w:rsidRPr="00000000" w14:paraId="0000002C">
            <w:pPr>
              <w:widowControl w:val="0"/>
              <w:jc w:val="both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538135" w:space="0" w:sz="12" w:val="single"/>
              <w:bottom w:color="538135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jc w:val="both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PulG</w:t>
            </w:r>
            <w:r w:rsidDel="00000000" w:rsidR="00000000" w:rsidRPr="00000000">
              <w:rPr>
                <w:rFonts w:ascii="Times" w:cs="Times" w:eastAsia="Times" w:hAnsi="Times"/>
                <w:b w:val="1"/>
                <w:vertAlign w:val="subscript"/>
                <w:rtl w:val="0"/>
              </w:rPr>
              <w:t xml:space="preserve">WT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monomer</w:t>
            </w:r>
          </w:p>
          <w:p w:rsidR="00000000" w:rsidDel="00000000" w:rsidP="00000000" w:rsidRDefault="00000000" w:rsidRPr="00000000" w14:paraId="0000002E">
            <w:pPr>
              <w:widowControl w:val="0"/>
              <w:jc w:val="both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538135" w:space="0" w:sz="12" w:val="single"/>
              <w:bottom w:color="538135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jc w:val="both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PulG</w:t>
            </w:r>
            <w:r w:rsidDel="00000000" w:rsidR="00000000" w:rsidRPr="00000000">
              <w:rPr>
                <w:rFonts w:ascii="Times" w:cs="Times" w:eastAsia="Times" w:hAnsi="Times"/>
                <w:b w:val="1"/>
                <w:vertAlign w:val="subscript"/>
                <w:rtl w:val="0"/>
              </w:rPr>
              <w:t xml:space="preserve">WT</w:t>
            </w: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 pili</w:t>
            </w:r>
          </w:p>
          <w:p w:rsidR="00000000" w:rsidDel="00000000" w:rsidP="00000000" w:rsidRDefault="00000000" w:rsidRPr="00000000" w14:paraId="00000030">
            <w:pPr>
              <w:widowControl w:val="0"/>
              <w:jc w:val="both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 </w:t>
            </w:r>
          </w:p>
        </w:tc>
      </w:tr>
      <w:tr>
        <w:trPr>
          <w:trHeight w:val="124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HDX reaction details</w:t>
            </w:r>
          </w:p>
          <w:p w:rsidR="00000000" w:rsidDel="00000000" w:rsidP="00000000" w:rsidRDefault="00000000" w:rsidRPr="00000000" w14:paraId="00000032">
            <w:pPr>
              <w:widowControl w:val="0"/>
              <w:jc w:val="both"/>
              <w:rPr>
                <w:rFonts w:ascii="Times" w:cs="Times" w:eastAsia="Times" w:hAnsi="Time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sz w:val="20"/>
                <w:szCs w:val="20"/>
                <w:rtl w:val="0"/>
              </w:rPr>
              <w:t xml:space="preserve">         pD:</w:t>
            </w:r>
          </w:p>
          <w:p w:rsidR="00000000" w:rsidDel="00000000" w:rsidP="00000000" w:rsidRDefault="00000000" w:rsidRPr="00000000" w14:paraId="00000033">
            <w:pPr>
              <w:widowControl w:val="0"/>
              <w:jc w:val="both"/>
              <w:rPr>
                <w:rFonts w:ascii="Times" w:cs="Times" w:eastAsia="Times" w:hAnsi="Time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sz w:val="20"/>
                <w:szCs w:val="20"/>
                <w:rtl w:val="0"/>
              </w:rPr>
              <w:t xml:space="preserve">        T°C:</w:t>
            </w:r>
          </w:p>
          <w:p w:rsidR="00000000" w:rsidDel="00000000" w:rsidP="00000000" w:rsidRDefault="00000000" w:rsidRPr="00000000" w14:paraId="00000034">
            <w:pPr>
              <w:widowControl w:val="0"/>
              <w:jc w:val="both"/>
              <w:rPr>
                <w:rFonts w:ascii="Times" w:cs="Times" w:eastAsia="Times" w:hAnsi="Time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sz w:val="20"/>
                <w:szCs w:val="20"/>
                <w:rtl w:val="0"/>
              </w:rPr>
              <w:t xml:space="preserve">        Excess deuterium:</w:t>
            </w:r>
          </w:p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7.4</w:t>
            </w:r>
          </w:p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20°C</w:t>
            </w:r>
          </w:p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78.6%</w:t>
            </w:r>
          </w:p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7.4</w:t>
            </w:r>
          </w:p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20°C</w:t>
            </w:r>
          </w:p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78.6%</w:t>
            </w:r>
          </w:p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6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HDX time course analyzed (min)</w:t>
            </w:r>
          </w:p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0.16, 1, 10, 30, 60, 120, 180</w:t>
            </w:r>
          </w:p>
          <w:p w:rsidR="00000000" w:rsidDel="00000000" w:rsidP="00000000" w:rsidRDefault="00000000" w:rsidRPr="00000000" w14:paraId="00000043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0.16, 1, 10, 30, 60, 120, 180</w:t>
            </w:r>
          </w:p>
        </w:tc>
      </w:tr>
      <w:tr>
        <w:trPr>
          <w:trHeight w:val="6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HDX control samples</w:t>
            </w:r>
          </w:p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Fully-labeled control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Fully-labeled control</w:t>
            </w:r>
          </w:p>
        </w:tc>
      </w:tr>
      <w:tr>
        <w:trPr>
          <w:trHeight w:val="8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Number of peptides analyzed after labeling</w:t>
            </w:r>
          </w:p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38</w:t>
            </w:r>
          </w:p>
        </w:tc>
      </w:tr>
      <w:tr>
        <w:trPr>
          <w:trHeight w:val="8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Final sequence coverage after labeling</w:t>
            </w:r>
          </w:p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100%</w:t>
            </w:r>
          </w:p>
        </w:tc>
      </w:tr>
      <w:tr>
        <w:trPr>
          <w:trHeight w:val="6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Average peptide length</w:t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15.3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17.1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Redundancy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4.00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4.84</w:t>
            </w:r>
          </w:p>
        </w:tc>
      </w:tr>
      <w:tr>
        <w:trPr>
          <w:trHeight w:val="6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Replicates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3 (Technical)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3 (Technical)</w:t>
            </w:r>
          </w:p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7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Times New Roman" w:cs="Times New Roman" w:eastAsia="Times New Roman" w:hAnsi="Times New Roman"/>
                <w:vertAlign w:val="superscript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Repeatability (pooled standard deviation)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 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0.052 Da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0.046 Da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740" w:hRule="atLeast"/>
        </w:trPr>
        <w:tc>
          <w:tcPr>
            <w:tcBorders>
              <w:bottom w:color="53813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34"/>
                <w:szCs w:val="34"/>
                <w:vertAlign w:val="superscript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Significant difference between state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4"/>
                <w:szCs w:val="34"/>
                <w:vertAlign w:val="superscript"/>
                <w:rtl w:val="0"/>
              </w:rPr>
              <w:t xml:space="preserve">$</w:t>
            </w:r>
          </w:p>
        </w:tc>
        <w:tc>
          <w:tcPr>
            <w:gridSpan w:val="2"/>
            <w:tcBorders>
              <w:bottom w:color="53813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Wald test, </w:t>
            </w:r>
            <w:r w:rsidDel="00000000" w:rsidR="00000000" w:rsidRPr="00000000">
              <w:rPr>
                <w:rFonts w:ascii="Times" w:cs="Times" w:eastAsia="Times" w:hAnsi="Times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&lt; 0.01</w:t>
            </w:r>
          </w:p>
        </w:tc>
      </w:tr>
    </w:tbl>
    <w:p w:rsidR="00000000" w:rsidDel="00000000" w:rsidP="00000000" w:rsidRDefault="00000000" w:rsidRPr="00000000" w14:paraId="00000068">
      <w:pPr>
        <w:widowControl w:val="0"/>
        <w:jc w:val="both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69">
      <w:pPr>
        <w:widowControl w:val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One unique charge state was used per peptide</w:t>
      </w:r>
    </w:p>
    <w:p w:rsidR="00000000" w:rsidDel="00000000" w:rsidP="00000000" w:rsidRDefault="00000000" w:rsidRPr="00000000" w14:paraId="0000006A">
      <w:pPr>
        <w:widowControl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vertAlign w:val="superscript"/>
          <w:rtl w:val="0"/>
        </w:rPr>
        <w:t xml:space="preserve">$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MEMHDX (www. memhdx.c3bi.pasteur.fr)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after="120" w:line="36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after="120" w:line="36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Table S2: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Cross-correlation coefficients for PulG pili models before and after real-space refinement</w:t>
      </w:r>
    </w:p>
    <w:tbl>
      <w:tblPr>
        <w:tblStyle w:val="Table2"/>
        <w:tblW w:w="6075.0" w:type="dxa"/>
        <w:jc w:val="left"/>
        <w:tblInd w:w="100.0" w:type="pct"/>
        <w:tblLayout w:type="fixed"/>
        <w:tblLook w:val="0600"/>
      </w:tblPr>
      <w:tblGrid>
        <w:gridCol w:w="2205"/>
        <w:gridCol w:w="1935"/>
        <w:gridCol w:w="1935"/>
        <w:tblGridChange w:id="0">
          <w:tblGrid>
            <w:gridCol w:w="2205"/>
            <w:gridCol w:w="1935"/>
            <w:gridCol w:w="1935"/>
          </w:tblGrid>
        </w:tblGridChange>
      </w:tblGrid>
      <w:tr>
        <w:trPr>
          <w:trHeight w:val="480" w:hRule="atLeast"/>
        </w:trPr>
        <w:tc>
          <w:tcPr>
            <w:tcBorders>
              <w:top w:color="538135" w:space="0" w:sz="12" w:val="single"/>
              <w:left w:color="000000" w:space="0" w:sz="0" w:val="nil"/>
              <w:bottom w:color="538135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3D density/model</w:t>
            </w:r>
          </w:p>
        </w:tc>
        <w:tc>
          <w:tcPr>
            <w:tcBorders>
              <w:top w:color="538135" w:space="0" w:sz="12" w:val="single"/>
              <w:bottom w:color="538135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initial</w:t>
            </w:r>
          </w:p>
        </w:tc>
        <w:tc>
          <w:tcPr>
            <w:tcBorders>
              <w:top w:color="538135" w:space="0" w:sz="12" w:val="single"/>
              <w:bottom w:color="538135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refined</w:t>
            </w:r>
          </w:p>
        </w:tc>
      </w:tr>
      <w:tr>
        <w:trPr>
          <w:trHeight w:val="480" w:hRule="atLeast"/>
        </w:trPr>
        <w:tc>
          <w:tcPr>
            <w:tcBorders>
              <w:top w:color="538135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  <w:vertAlign w:val="subscript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PulG</w:t>
            </w:r>
            <w:r w:rsidDel="00000000" w:rsidR="00000000" w:rsidRPr="00000000">
              <w:rPr>
                <w:rFonts w:ascii="Times" w:cs="Times" w:eastAsia="Times" w:hAnsi="Times"/>
                <w:vertAlign w:val="subscript"/>
                <w:rtl w:val="0"/>
              </w:rPr>
              <w:t xml:space="preserve">WT</w:t>
            </w:r>
          </w:p>
        </w:tc>
        <w:tc>
          <w:tcPr>
            <w:tcBorders>
              <w:top w:color="538135" w:space="0" w:sz="8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0.765 ± 0.017</w:t>
            </w:r>
          </w:p>
        </w:tc>
        <w:tc>
          <w:tcPr>
            <w:tcBorders>
              <w:top w:color="538135" w:space="0" w:sz="8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0.781 ± 0.004</w:t>
            </w:r>
          </w:p>
        </w:tc>
      </w:tr>
      <w:tr>
        <w:trPr>
          <w:trHeight w:val="480" w:hRule="atLeast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  <w:vertAlign w:val="subscript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PulG</w:t>
            </w:r>
            <w:r w:rsidDel="00000000" w:rsidR="00000000" w:rsidRPr="00000000">
              <w:rPr>
                <w:rFonts w:ascii="Times" w:cs="Times" w:eastAsia="Times" w:hAnsi="Times"/>
                <w:vertAlign w:val="subscript"/>
                <w:rtl w:val="0"/>
              </w:rPr>
              <w:t xml:space="preserve">CC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0.737 ± 0.009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0.738 ± 0.005</w:t>
            </w:r>
          </w:p>
        </w:tc>
      </w:tr>
      <w:tr>
        <w:trPr>
          <w:trHeight w:val="480" w:hRule="atLeast"/>
        </w:trPr>
        <w:tc>
          <w:tcPr>
            <w:tcBorders>
              <w:left w:color="000000" w:space="0" w:sz="0" w:val="nil"/>
              <w:bottom w:color="538135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PulG</w:t>
            </w:r>
            <w:r w:rsidDel="00000000" w:rsidR="00000000" w:rsidRPr="00000000">
              <w:rPr>
                <w:rFonts w:ascii="Times" w:cs="Times" w:eastAsia="Times" w:hAnsi="Times"/>
                <w:vertAlign w:val="subscript"/>
                <w:rtl w:val="0"/>
              </w:rPr>
              <w:t xml:space="preserve">CC</w:t>
            </w: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*</w:t>
            </w:r>
          </w:p>
        </w:tc>
        <w:tc>
          <w:tcPr>
            <w:tcBorders>
              <w:bottom w:color="538135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0.781 ± 0.014</w:t>
            </w:r>
          </w:p>
        </w:tc>
        <w:tc>
          <w:tcPr>
            <w:tcBorders>
              <w:bottom w:color="538135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120" w:line="240" w:lineRule="auto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0.785 ± 0.005</w:t>
            </w:r>
          </w:p>
        </w:tc>
      </w:tr>
    </w:tbl>
    <w:p w:rsidR="00000000" w:rsidDel="00000000" w:rsidP="00000000" w:rsidRDefault="00000000" w:rsidRPr="00000000" w14:paraId="00000079">
      <w:pPr>
        <w:widowControl w:val="0"/>
        <w:spacing w:after="120" w:before="200" w:line="276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* in low-pass filtered density at 7.5Å</w:t>
      </w:r>
    </w:p>
    <w:p w:rsidR="00000000" w:rsidDel="00000000" w:rsidP="00000000" w:rsidRDefault="00000000" w:rsidRPr="00000000" w14:paraId="0000007A">
      <w:pPr>
        <w:widowControl w:val="0"/>
        <w:spacing w:after="120" w:line="276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after="12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50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Time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1.png"/><Relationship Id="rId42" Type="http://schemas.openxmlformats.org/officeDocument/2006/relationships/image" Target="media/image26.png"/><Relationship Id="rId41" Type="http://schemas.openxmlformats.org/officeDocument/2006/relationships/image" Target="media/image14.png"/><Relationship Id="rId44" Type="http://schemas.openxmlformats.org/officeDocument/2006/relationships/image" Target="media/image5.png"/><Relationship Id="rId43" Type="http://schemas.openxmlformats.org/officeDocument/2006/relationships/image" Target="media/image2.png"/><Relationship Id="rId46" Type="http://schemas.openxmlformats.org/officeDocument/2006/relationships/image" Target="media/image3.png"/><Relationship Id="rId45" Type="http://schemas.openxmlformats.org/officeDocument/2006/relationships/image" Target="media/image3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2.png"/><Relationship Id="rId48" Type="http://schemas.openxmlformats.org/officeDocument/2006/relationships/image" Target="media/image7.png"/><Relationship Id="rId47" Type="http://schemas.openxmlformats.org/officeDocument/2006/relationships/image" Target="media/image38.png"/><Relationship Id="rId49" Type="http://schemas.openxmlformats.org/officeDocument/2006/relationships/image" Target="media/image24.png"/><Relationship Id="rId5" Type="http://schemas.openxmlformats.org/officeDocument/2006/relationships/styles" Target="styles.xml"/><Relationship Id="rId6" Type="http://schemas.openxmlformats.org/officeDocument/2006/relationships/hyperlink" Target="mailto:nadia.izadi@pasteur.fr" TargetMode="External"/><Relationship Id="rId7" Type="http://schemas.openxmlformats.org/officeDocument/2006/relationships/hyperlink" Target="mailto:michael.nilges@pasteur.fr" TargetMode="External"/><Relationship Id="rId8" Type="http://schemas.openxmlformats.org/officeDocument/2006/relationships/image" Target="media/image41.png"/><Relationship Id="rId31" Type="http://schemas.openxmlformats.org/officeDocument/2006/relationships/image" Target="media/image21.png"/><Relationship Id="rId30" Type="http://schemas.openxmlformats.org/officeDocument/2006/relationships/image" Target="media/image8.png"/><Relationship Id="rId33" Type="http://schemas.openxmlformats.org/officeDocument/2006/relationships/image" Target="media/image1.png"/><Relationship Id="rId32" Type="http://schemas.openxmlformats.org/officeDocument/2006/relationships/image" Target="media/image15.png"/><Relationship Id="rId35" Type="http://schemas.openxmlformats.org/officeDocument/2006/relationships/image" Target="media/image34.png"/><Relationship Id="rId34" Type="http://schemas.openxmlformats.org/officeDocument/2006/relationships/image" Target="media/image18.png"/><Relationship Id="rId37" Type="http://schemas.openxmlformats.org/officeDocument/2006/relationships/image" Target="media/image36.png"/><Relationship Id="rId36" Type="http://schemas.openxmlformats.org/officeDocument/2006/relationships/image" Target="media/image39.png"/><Relationship Id="rId39" Type="http://schemas.openxmlformats.org/officeDocument/2006/relationships/image" Target="media/image10.png"/><Relationship Id="rId38" Type="http://schemas.openxmlformats.org/officeDocument/2006/relationships/image" Target="media/image35.png"/><Relationship Id="rId20" Type="http://schemas.openxmlformats.org/officeDocument/2006/relationships/image" Target="media/image16.png"/><Relationship Id="rId22" Type="http://schemas.openxmlformats.org/officeDocument/2006/relationships/image" Target="media/image23.png"/><Relationship Id="rId21" Type="http://schemas.openxmlformats.org/officeDocument/2006/relationships/image" Target="media/image32.png"/><Relationship Id="rId24" Type="http://schemas.openxmlformats.org/officeDocument/2006/relationships/image" Target="media/image6.png"/><Relationship Id="rId23" Type="http://schemas.openxmlformats.org/officeDocument/2006/relationships/image" Target="media/image19.png"/><Relationship Id="rId26" Type="http://schemas.openxmlformats.org/officeDocument/2006/relationships/image" Target="media/image27.png"/><Relationship Id="rId25" Type="http://schemas.openxmlformats.org/officeDocument/2006/relationships/image" Target="media/image9.png"/><Relationship Id="rId28" Type="http://schemas.openxmlformats.org/officeDocument/2006/relationships/image" Target="media/image20.png"/><Relationship Id="rId27" Type="http://schemas.openxmlformats.org/officeDocument/2006/relationships/image" Target="media/image17.png"/><Relationship Id="rId29" Type="http://schemas.openxmlformats.org/officeDocument/2006/relationships/image" Target="media/image28.png"/><Relationship Id="rId50" Type="http://schemas.openxmlformats.org/officeDocument/2006/relationships/footer" Target="footer1.xml"/><Relationship Id="rId11" Type="http://schemas.openxmlformats.org/officeDocument/2006/relationships/image" Target="media/image29.png"/><Relationship Id="rId10" Type="http://schemas.openxmlformats.org/officeDocument/2006/relationships/image" Target="media/image40.png"/><Relationship Id="rId13" Type="http://schemas.openxmlformats.org/officeDocument/2006/relationships/image" Target="media/image4.png"/><Relationship Id="rId12" Type="http://schemas.openxmlformats.org/officeDocument/2006/relationships/image" Target="media/image13.png"/><Relationship Id="rId15" Type="http://schemas.openxmlformats.org/officeDocument/2006/relationships/image" Target="media/image22.png"/><Relationship Id="rId14" Type="http://schemas.openxmlformats.org/officeDocument/2006/relationships/image" Target="media/image37.png"/><Relationship Id="rId17" Type="http://schemas.openxmlformats.org/officeDocument/2006/relationships/image" Target="media/image12.png"/><Relationship Id="rId16" Type="http://schemas.openxmlformats.org/officeDocument/2006/relationships/image" Target="media/image30.png"/><Relationship Id="rId19" Type="http://schemas.openxmlformats.org/officeDocument/2006/relationships/image" Target="media/image25.png"/><Relationship Id="rId1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