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D0CC6" w:rsidRDefault="00DD0CC6">
      <w:bookmarkStart w:id="0" w:name="_heading=h.rjtngv7693ei" w:colFirst="0" w:colLast="0"/>
      <w:bookmarkEnd w:id="0"/>
    </w:p>
    <w:p w14:paraId="00000002" w14:textId="77777777" w:rsidR="00DD0CC6" w:rsidRDefault="00DD0CC6"/>
    <w:p w14:paraId="00000003" w14:textId="77777777" w:rsidR="00DD0CC6" w:rsidRDefault="00DD0CC6"/>
    <w:p w14:paraId="00000004" w14:textId="77777777" w:rsidR="00DD0CC6" w:rsidRDefault="00DD0CC6"/>
    <w:p w14:paraId="00000005" w14:textId="77777777" w:rsidR="00DD0CC6" w:rsidRDefault="00DD0CC6"/>
    <w:p w14:paraId="412FD302" w14:textId="77777777" w:rsidR="00686BC0" w:rsidRPr="00957CD5" w:rsidRDefault="00686BC0" w:rsidP="00686BC0">
      <w:pPr>
        <w:pStyle w:val="Titel"/>
        <w:rPr>
          <w:b/>
          <w:sz w:val="48"/>
          <w:szCs w:val="48"/>
        </w:rPr>
      </w:pPr>
      <w:bookmarkStart w:id="1" w:name="_heading=h.ypfajpwzwii8" w:colFirst="0" w:colLast="0"/>
      <w:bookmarkEnd w:id="1"/>
      <w:r w:rsidRPr="00957CD5">
        <w:rPr>
          <w:b/>
          <w:sz w:val="48"/>
          <w:szCs w:val="48"/>
        </w:rPr>
        <w:t xml:space="preserve">AMIGO - Guided Assignment of </w:t>
      </w:r>
      <w:r w:rsidRPr="00957CD5">
        <w:rPr>
          <w:b/>
          <w:sz w:val="48"/>
          <w:szCs w:val="48"/>
          <w:vertAlign w:val="superscript"/>
        </w:rPr>
        <w:t>13</w:t>
      </w:r>
      <w:r w:rsidRPr="00957CD5">
        <w:rPr>
          <w:b/>
          <w:sz w:val="48"/>
          <w:szCs w:val="48"/>
        </w:rPr>
        <w:t xml:space="preserve">C-Methyl Labelled Proteins </w:t>
      </w:r>
    </w:p>
    <w:p w14:paraId="00000007" w14:textId="77777777" w:rsidR="00DD0CC6" w:rsidRPr="00957CD5" w:rsidRDefault="00DD0CC6">
      <w:pPr>
        <w:rPr>
          <w:rFonts w:ascii="Calibri" w:eastAsia="Calibri" w:hAnsi="Calibri" w:cs="Calibri"/>
        </w:rPr>
      </w:pPr>
    </w:p>
    <w:p w14:paraId="00000008" w14:textId="77777777" w:rsidR="00DD0CC6" w:rsidRPr="00957CD5" w:rsidRDefault="003771BF">
      <w:pPr>
        <w:rPr>
          <w:rFonts w:ascii="Calibri" w:eastAsia="Calibri" w:hAnsi="Calibri" w:cs="Calibri"/>
        </w:rPr>
      </w:pPr>
      <w:bookmarkStart w:id="2" w:name="_heading=h.j62smz2do9dy" w:colFirst="0" w:colLast="0"/>
      <w:bookmarkEnd w:id="2"/>
      <w:r w:rsidRPr="00957CD5">
        <w:rPr>
          <w:rFonts w:ascii="Calibri" w:eastAsia="Calibri" w:hAnsi="Calibri" w:cs="Calibri"/>
        </w:rPr>
        <w:t>Thorben Maass</w:t>
      </w:r>
      <w:r w:rsidRPr="00957CD5">
        <w:rPr>
          <w:rFonts w:ascii="Calibri" w:eastAsia="Calibri" w:hAnsi="Calibri" w:cs="Calibri"/>
          <w:vertAlign w:val="superscript"/>
        </w:rPr>
        <w:t>1</w:t>
      </w:r>
      <w:r w:rsidRPr="00957CD5">
        <w:rPr>
          <w:rFonts w:ascii="Calibri" w:eastAsia="Calibri" w:hAnsi="Calibri" w:cs="Calibri"/>
        </w:rPr>
        <w:t>, Lorena Rudolph</w:t>
      </w:r>
      <w:r w:rsidRPr="00957CD5">
        <w:rPr>
          <w:rFonts w:ascii="Calibri" w:eastAsia="Calibri" w:hAnsi="Calibri" w:cs="Calibri"/>
          <w:vertAlign w:val="superscript"/>
        </w:rPr>
        <w:t>1</w:t>
      </w:r>
      <w:r w:rsidRPr="00957CD5">
        <w:rPr>
          <w:rFonts w:ascii="Calibri" w:eastAsia="Calibri" w:hAnsi="Calibri" w:cs="Calibri"/>
        </w:rPr>
        <w:t>, Thomas Peters,</w:t>
      </w:r>
      <w:r w:rsidRPr="00957CD5">
        <w:rPr>
          <w:rFonts w:ascii="Calibri" w:eastAsia="Calibri" w:hAnsi="Calibri" w:cs="Calibri"/>
          <w:vertAlign w:val="superscript"/>
        </w:rPr>
        <w:t>2</w:t>
      </w:r>
      <w:r w:rsidRPr="00957CD5">
        <w:rPr>
          <w:rFonts w:ascii="Calibri" w:eastAsia="Calibri" w:hAnsi="Calibri" w:cs="Calibri"/>
        </w:rPr>
        <w:t xml:space="preserve"> and Alvaro Mallagaray</w:t>
      </w:r>
      <w:r w:rsidRPr="00957CD5">
        <w:rPr>
          <w:rFonts w:ascii="Calibri" w:eastAsia="Calibri" w:hAnsi="Calibri" w:cs="Calibri"/>
          <w:vertAlign w:val="superscript"/>
        </w:rPr>
        <w:t>1</w:t>
      </w:r>
      <w:r w:rsidRPr="00957CD5">
        <w:rPr>
          <w:rFonts w:ascii="Calibri" w:eastAsia="Calibri" w:hAnsi="Calibri" w:cs="Calibri"/>
        </w:rPr>
        <w:t>*</w:t>
      </w:r>
    </w:p>
    <w:p w14:paraId="00000009" w14:textId="77777777" w:rsidR="00DD0CC6" w:rsidRPr="00957CD5" w:rsidRDefault="00DD0CC6">
      <w:pPr>
        <w:rPr>
          <w:rFonts w:ascii="Calibri" w:eastAsia="Calibri" w:hAnsi="Calibri" w:cs="Calibri"/>
        </w:rPr>
      </w:pPr>
    </w:p>
    <w:p w14:paraId="0000000A" w14:textId="77777777" w:rsidR="00DD0CC6" w:rsidRPr="00957CD5" w:rsidRDefault="003771BF">
      <w:pPr>
        <w:rPr>
          <w:rFonts w:ascii="Calibri" w:eastAsia="Calibri" w:hAnsi="Calibri" w:cs="Calibri"/>
        </w:rPr>
      </w:pPr>
      <w:r w:rsidRPr="00957CD5">
        <w:rPr>
          <w:rFonts w:ascii="Calibri" w:eastAsia="Calibri" w:hAnsi="Calibri" w:cs="Calibri"/>
          <w:vertAlign w:val="superscript"/>
        </w:rPr>
        <w:t>1</w:t>
      </w:r>
      <w:r w:rsidRPr="00957CD5">
        <w:rPr>
          <w:rFonts w:ascii="Calibri" w:eastAsia="Calibri" w:hAnsi="Calibri" w:cs="Calibri"/>
        </w:rPr>
        <w:t>Institute for Chemistry and Metabolomics, Centre for Structural and Cell Biology in Medicine, University of Lübeck, 23562 Lübeck, Germany</w:t>
      </w:r>
    </w:p>
    <w:p w14:paraId="0000000B" w14:textId="77777777" w:rsidR="00DD0CC6" w:rsidRPr="00957CD5" w:rsidRDefault="003771BF">
      <w:pPr>
        <w:rPr>
          <w:rFonts w:ascii="Calibri" w:eastAsia="Calibri" w:hAnsi="Calibri" w:cs="Calibri"/>
        </w:rPr>
      </w:pPr>
      <w:r w:rsidRPr="00957CD5">
        <w:rPr>
          <w:rFonts w:ascii="Calibri" w:eastAsia="Calibri" w:hAnsi="Calibri" w:cs="Calibri"/>
          <w:vertAlign w:val="superscript"/>
        </w:rPr>
        <w:t>2</w:t>
      </w:r>
      <w:r w:rsidRPr="00957CD5">
        <w:rPr>
          <w:rFonts w:ascii="Calibri" w:eastAsia="Calibri" w:hAnsi="Calibri" w:cs="Calibri"/>
        </w:rPr>
        <w:t>Institute of Biochemistry, Centre for Structural and Cell Biology in Medicine, University of Lübeck, 23562 Lübeck, Germany</w:t>
      </w:r>
    </w:p>
    <w:p w14:paraId="0000000C" w14:textId="77777777" w:rsidR="00DD0CC6" w:rsidRPr="00957CD5" w:rsidRDefault="00DD0CC6">
      <w:pPr>
        <w:rPr>
          <w:rFonts w:ascii="Calibri" w:eastAsia="Calibri" w:hAnsi="Calibri" w:cs="Calibri"/>
        </w:rPr>
      </w:pPr>
    </w:p>
    <w:p w14:paraId="0000000D" w14:textId="77777777" w:rsidR="00DD0CC6" w:rsidRPr="00957CD5" w:rsidRDefault="003771BF">
      <w:pPr>
        <w:jc w:val="both"/>
        <w:rPr>
          <w:rFonts w:ascii="Calibri" w:eastAsia="Calibri" w:hAnsi="Calibri" w:cs="Calibri"/>
        </w:rPr>
      </w:pPr>
      <w:r w:rsidRPr="00957CD5">
        <w:rPr>
          <w:rFonts w:ascii="Calibri" w:eastAsia="Calibri" w:hAnsi="Calibri" w:cs="Calibri"/>
        </w:rPr>
        <w:t>Corresponding author: Alvaro Mallagaray. Email: alvaro.mallagaraydebenito@uni-luebeck.de</w:t>
      </w:r>
    </w:p>
    <w:p w14:paraId="0000000E" w14:textId="77777777" w:rsidR="00DD0CC6" w:rsidRPr="00957CD5" w:rsidRDefault="003771BF">
      <w:pPr>
        <w:rPr>
          <w:rFonts w:ascii="Calibri" w:eastAsia="Calibri" w:hAnsi="Calibri" w:cs="Calibri"/>
        </w:rPr>
      </w:pPr>
      <w:r w:rsidRPr="00957CD5">
        <w:rPr>
          <w:rFonts w:ascii="Calibri" w:eastAsia="Calibri" w:hAnsi="Calibri" w:cs="Calibri"/>
        </w:rPr>
        <w:t>ORCID numbers:</w:t>
      </w:r>
    </w:p>
    <w:p w14:paraId="0000000F" w14:textId="77777777" w:rsidR="00DD0CC6" w:rsidRPr="00957CD5" w:rsidRDefault="003771BF">
      <w:pPr>
        <w:rPr>
          <w:rFonts w:ascii="Calibri" w:eastAsia="Calibri" w:hAnsi="Calibri" w:cs="Calibri"/>
        </w:rPr>
      </w:pPr>
      <w:r w:rsidRPr="00957CD5">
        <w:rPr>
          <w:rFonts w:ascii="Calibri" w:eastAsia="Calibri" w:hAnsi="Calibri" w:cs="Calibri"/>
        </w:rPr>
        <w:t>Alvaro Mallagaray: 0000-0001-5825-4407</w:t>
      </w:r>
    </w:p>
    <w:p w14:paraId="00000010" w14:textId="77777777" w:rsidR="00DD0CC6" w:rsidRPr="00957CD5" w:rsidRDefault="003771BF">
      <w:pPr>
        <w:rPr>
          <w:rFonts w:ascii="Calibri" w:eastAsia="Calibri" w:hAnsi="Calibri" w:cs="Calibri"/>
        </w:rPr>
      </w:pPr>
      <w:r w:rsidRPr="00957CD5">
        <w:rPr>
          <w:rFonts w:ascii="Calibri" w:eastAsia="Calibri" w:hAnsi="Calibri" w:cs="Calibri"/>
        </w:rPr>
        <w:t>Thorben Maass: 0000-0003-4764-2740</w:t>
      </w:r>
    </w:p>
    <w:p w14:paraId="00000011" w14:textId="77777777" w:rsidR="00DD0CC6" w:rsidRPr="00957CD5" w:rsidRDefault="003771BF">
      <w:pPr>
        <w:rPr>
          <w:rFonts w:ascii="Calibri" w:eastAsia="Calibri" w:hAnsi="Calibri" w:cs="Calibri"/>
        </w:rPr>
      </w:pPr>
      <w:r w:rsidRPr="00957CD5">
        <w:rPr>
          <w:rFonts w:ascii="Calibri" w:eastAsia="Calibri" w:hAnsi="Calibri" w:cs="Calibri"/>
        </w:rPr>
        <w:t>Thomas Peters: 0000-0002-7570-8260</w:t>
      </w:r>
    </w:p>
    <w:p w14:paraId="00000012" w14:textId="77777777" w:rsidR="00DD0CC6" w:rsidRPr="00957CD5" w:rsidRDefault="003771BF">
      <w:pPr>
        <w:rPr>
          <w:rFonts w:ascii="Calibri" w:eastAsia="Calibri" w:hAnsi="Calibri" w:cs="Calibri"/>
        </w:rPr>
      </w:pPr>
      <w:r w:rsidRPr="00957CD5">
        <w:rPr>
          <w:rFonts w:ascii="Calibri" w:eastAsia="Calibri" w:hAnsi="Calibri" w:cs="Calibri"/>
        </w:rPr>
        <w:t xml:space="preserve">Lorena Rudolph: </w:t>
      </w:r>
      <w:hyperlink r:id="rId8">
        <w:r w:rsidR="00DD0CC6" w:rsidRPr="00957CD5">
          <w:rPr>
            <w:rFonts w:ascii="Calibri" w:eastAsia="Calibri" w:hAnsi="Calibri" w:cs="Calibri"/>
          </w:rPr>
          <w:t>0000-0002-0218-2747</w:t>
        </w:r>
      </w:hyperlink>
    </w:p>
    <w:p w14:paraId="00000013" w14:textId="77777777" w:rsidR="00DD0CC6" w:rsidRPr="00957CD5" w:rsidRDefault="00DD0CC6"/>
    <w:p w14:paraId="00000014" w14:textId="77777777" w:rsidR="00DD0CC6" w:rsidRPr="00957CD5" w:rsidRDefault="00DD0CC6"/>
    <w:p w14:paraId="00000015" w14:textId="77777777" w:rsidR="00DD0CC6" w:rsidRPr="00957CD5" w:rsidRDefault="00DD0CC6"/>
    <w:p w14:paraId="00000016" w14:textId="77777777" w:rsidR="00DD0CC6" w:rsidRPr="00957CD5" w:rsidRDefault="00DD0CC6"/>
    <w:p w14:paraId="00000017" w14:textId="77777777" w:rsidR="00DD0CC6" w:rsidRPr="00957CD5" w:rsidRDefault="00DD0CC6"/>
    <w:p w14:paraId="00000018" w14:textId="77777777" w:rsidR="00DD0CC6" w:rsidRPr="00957CD5" w:rsidRDefault="00DD0CC6"/>
    <w:p w14:paraId="00000019" w14:textId="77777777" w:rsidR="00DD0CC6" w:rsidRPr="00957CD5" w:rsidRDefault="00DD0CC6"/>
    <w:p w14:paraId="0000001A" w14:textId="77777777" w:rsidR="00DD0CC6" w:rsidRPr="00957CD5" w:rsidRDefault="00DD0CC6"/>
    <w:p w14:paraId="0000001B" w14:textId="77777777" w:rsidR="00DD0CC6" w:rsidRPr="00957CD5" w:rsidRDefault="00DD0CC6"/>
    <w:p w14:paraId="0000001C" w14:textId="77777777" w:rsidR="00DD0CC6" w:rsidRPr="00957CD5" w:rsidRDefault="00DD0CC6"/>
    <w:p w14:paraId="0000001D" w14:textId="77777777" w:rsidR="00DD0CC6" w:rsidRPr="00957CD5" w:rsidRDefault="00DD0CC6"/>
    <w:p w14:paraId="0000001E" w14:textId="77777777" w:rsidR="00DD0CC6" w:rsidRPr="00957CD5" w:rsidRDefault="00DD0CC6"/>
    <w:p w14:paraId="0000001F" w14:textId="77777777" w:rsidR="00DD0CC6" w:rsidRPr="00957CD5" w:rsidRDefault="00DD0CC6"/>
    <w:p w14:paraId="00000020" w14:textId="77777777" w:rsidR="00DD0CC6" w:rsidRPr="00957CD5" w:rsidRDefault="00DD0CC6"/>
    <w:p w14:paraId="00000021" w14:textId="77777777" w:rsidR="00DD0CC6" w:rsidRPr="00957CD5" w:rsidRDefault="00DD0CC6"/>
    <w:p w14:paraId="00000022" w14:textId="77777777" w:rsidR="00DD0CC6" w:rsidRPr="00957CD5" w:rsidRDefault="00DD0CC6"/>
    <w:p w14:paraId="00000023" w14:textId="77777777" w:rsidR="00DD0CC6" w:rsidRPr="00957CD5" w:rsidRDefault="00DD0CC6"/>
    <w:p w14:paraId="00000024" w14:textId="77777777" w:rsidR="00DD0CC6" w:rsidRPr="00957CD5" w:rsidRDefault="00DD0CC6"/>
    <w:p w14:paraId="00000025" w14:textId="77777777" w:rsidR="00DD0CC6" w:rsidRPr="00957CD5" w:rsidRDefault="00DD0CC6"/>
    <w:p w14:paraId="00000026" w14:textId="77777777" w:rsidR="00DD0CC6" w:rsidRPr="00957CD5" w:rsidRDefault="00DD0CC6"/>
    <w:p w14:paraId="00000027" w14:textId="77777777" w:rsidR="00DD0CC6" w:rsidRPr="00957CD5" w:rsidRDefault="00DD0CC6"/>
    <w:p w14:paraId="00000028" w14:textId="77777777" w:rsidR="00DD0CC6" w:rsidRPr="00957CD5" w:rsidRDefault="00DD0CC6"/>
    <w:p w14:paraId="00000029" w14:textId="77777777" w:rsidR="00DD0CC6" w:rsidRPr="00957CD5" w:rsidRDefault="00DD0CC6"/>
    <w:p w14:paraId="0000002A" w14:textId="77777777" w:rsidR="00DD0CC6" w:rsidRPr="00957CD5" w:rsidRDefault="00DD0CC6"/>
    <w:p w14:paraId="0000002B" w14:textId="77777777" w:rsidR="00DD0CC6" w:rsidRPr="00957CD5" w:rsidRDefault="00DD0CC6"/>
    <w:p w14:paraId="0000002C" w14:textId="77777777" w:rsidR="00DD0CC6" w:rsidRPr="00957CD5" w:rsidRDefault="00DD0CC6"/>
    <w:p w14:paraId="0000002D" w14:textId="77777777" w:rsidR="00DD0CC6" w:rsidRPr="00957CD5" w:rsidRDefault="00DD0CC6"/>
    <w:p w14:paraId="0000002E" w14:textId="77777777" w:rsidR="00DD0CC6" w:rsidRPr="00957CD5" w:rsidRDefault="003771BF">
      <w:pPr>
        <w:spacing w:after="60"/>
        <w:rPr>
          <w:b/>
        </w:rPr>
      </w:pPr>
      <w:r w:rsidRPr="00957CD5">
        <w:rPr>
          <w:b/>
        </w:rPr>
        <w:lastRenderedPageBreak/>
        <w:t>Table of Contents:</w:t>
      </w:r>
    </w:p>
    <w:p w14:paraId="0000002F" w14:textId="77777777" w:rsidR="00DD0CC6" w:rsidRPr="00957CD5" w:rsidRDefault="00DD0CC6">
      <w:pPr>
        <w:spacing w:after="60"/>
        <w:rPr>
          <w:b/>
        </w:rPr>
      </w:pPr>
    </w:p>
    <w:p w14:paraId="00000030" w14:textId="77777777" w:rsidR="00DD0CC6" w:rsidRPr="00957CD5" w:rsidRDefault="003771BF">
      <w:pPr>
        <w:tabs>
          <w:tab w:val="left" w:pos="0"/>
          <w:tab w:val="right" w:pos="8959"/>
        </w:tabs>
        <w:spacing w:after="60"/>
      </w:pPr>
      <w:r w:rsidRPr="00957CD5">
        <w:t>1. Input files required by AMIGO</w:t>
      </w:r>
      <w:r w:rsidRPr="00957CD5">
        <w:tab/>
        <w:t>3</w:t>
      </w:r>
    </w:p>
    <w:p w14:paraId="00000031" w14:textId="77777777" w:rsidR="00DD0CC6" w:rsidRPr="00957CD5" w:rsidRDefault="003771BF">
      <w:pPr>
        <w:tabs>
          <w:tab w:val="left" w:pos="0"/>
          <w:tab w:val="right" w:pos="8959"/>
        </w:tabs>
        <w:spacing w:after="60"/>
      </w:pPr>
      <w:r w:rsidRPr="00957CD5">
        <w:t>2. How to adjust parameters and run AMIGO</w:t>
      </w:r>
      <w:r w:rsidRPr="00957CD5">
        <w:tab/>
        <w:t>6</w:t>
      </w:r>
    </w:p>
    <w:p w14:paraId="00000032" w14:textId="77777777" w:rsidR="00DD0CC6" w:rsidRPr="00957CD5" w:rsidRDefault="003771BF">
      <w:pPr>
        <w:tabs>
          <w:tab w:val="left" w:pos="426"/>
          <w:tab w:val="right" w:pos="8959"/>
        </w:tabs>
        <w:spacing w:after="60"/>
      </w:pPr>
      <w:r w:rsidRPr="00957CD5">
        <w:t>2.1 Running the interactive version of AMIGO</w:t>
      </w:r>
      <w:r w:rsidRPr="00957CD5">
        <w:tab/>
        <w:t>6</w:t>
      </w:r>
    </w:p>
    <w:p w14:paraId="00000034" w14:textId="5730D61D" w:rsidR="00DD0CC6" w:rsidRPr="00957CD5" w:rsidRDefault="003771BF" w:rsidP="55362DC3">
      <w:pPr>
        <w:tabs>
          <w:tab w:val="right" w:pos="8959"/>
        </w:tabs>
        <w:spacing w:after="60"/>
      </w:pPr>
      <w:r w:rsidRPr="00957CD5">
        <w:t>3. Outputs generated by AMIGO to guide the assignment process</w:t>
      </w:r>
      <w:r w:rsidRPr="00957CD5">
        <w:tab/>
      </w:r>
      <w:r w:rsidR="7B1CC263" w:rsidRPr="00957CD5">
        <w:t>7</w:t>
      </w:r>
    </w:p>
    <w:p w14:paraId="00000035" w14:textId="1215D037" w:rsidR="00DD0CC6" w:rsidRPr="00957CD5" w:rsidRDefault="003771BF">
      <w:pPr>
        <w:tabs>
          <w:tab w:val="left" w:pos="567"/>
          <w:tab w:val="right" w:pos="8959"/>
        </w:tabs>
        <w:spacing w:after="60"/>
      </w:pPr>
      <w:r w:rsidRPr="00957CD5">
        <w:t>3.1 Text file results.txt</w:t>
      </w:r>
      <w:r w:rsidRPr="00957CD5">
        <w:tab/>
      </w:r>
      <w:r w:rsidR="443A34C7" w:rsidRPr="00957CD5">
        <w:t>7</w:t>
      </w:r>
    </w:p>
    <w:p w14:paraId="00000036" w14:textId="0305BF42" w:rsidR="00DD0CC6" w:rsidRPr="00957CD5" w:rsidRDefault="003771BF">
      <w:pPr>
        <w:tabs>
          <w:tab w:val="left" w:pos="567"/>
          <w:tab w:val="right" w:pos="8959"/>
        </w:tabs>
        <w:spacing w:after="60"/>
      </w:pPr>
      <w:r w:rsidRPr="00957CD5">
        <w:t>3.2 Methyl walk graphs on the NOE spectrum and on the structural model(s)</w:t>
      </w:r>
      <w:r w:rsidRPr="00957CD5">
        <w:tab/>
      </w:r>
      <w:r w:rsidR="6FC13E35" w:rsidRPr="00957CD5">
        <w:t>8</w:t>
      </w:r>
    </w:p>
    <w:p w14:paraId="00000037" w14:textId="67859EC6" w:rsidR="00DD0CC6" w:rsidRPr="00957CD5" w:rsidRDefault="003771BF" w:rsidP="55362DC3">
      <w:pPr>
        <w:tabs>
          <w:tab w:val="right" w:pos="8959"/>
        </w:tabs>
        <w:spacing w:after="60"/>
      </w:pPr>
      <w:r w:rsidRPr="00957CD5">
        <w:t xml:space="preserve">Fig. S1 Complete NOE-based graph observed for the protein </w:t>
      </w:r>
      <w:proofErr w:type="spellStart"/>
      <w:r w:rsidRPr="00957CD5">
        <w:t>Lm</w:t>
      </w:r>
      <w:proofErr w:type="spellEnd"/>
      <w:r w:rsidRPr="00957CD5">
        <w:t>-UGP showing the methyl walks</w:t>
      </w:r>
      <w:r w:rsidRPr="00957CD5">
        <w:tab/>
      </w:r>
      <w:r w:rsidR="2097018B" w:rsidRPr="00957CD5">
        <w:t>9</w:t>
      </w:r>
    </w:p>
    <w:p w14:paraId="00000038" w14:textId="23971FC9" w:rsidR="00DD0CC6" w:rsidRPr="00957CD5" w:rsidRDefault="003771BF" w:rsidP="55362DC3">
      <w:pPr>
        <w:tabs>
          <w:tab w:val="right" w:pos="8959"/>
        </w:tabs>
        <w:spacing w:after="60"/>
      </w:pPr>
      <w:r w:rsidRPr="00957CD5">
        <w:t xml:space="preserve">Fig. S2 Structure-based graph created for the protein </w:t>
      </w:r>
      <w:proofErr w:type="spellStart"/>
      <w:r w:rsidRPr="00957CD5">
        <w:t>Lm</w:t>
      </w:r>
      <w:proofErr w:type="spellEnd"/>
      <w:r w:rsidRPr="00957CD5">
        <w:t>-UGP showing the methyl walks</w:t>
      </w:r>
      <w:r w:rsidRPr="00957CD5">
        <w:tab/>
        <w:t>1</w:t>
      </w:r>
      <w:r w:rsidR="5D851BCD" w:rsidRPr="00957CD5">
        <w:t>0</w:t>
      </w:r>
    </w:p>
    <w:p w14:paraId="00000039" w14:textId="50AF5544" w:rsidR="00DD0CC6" w:rsidRPr="00957CD5" w:rsidRDefault="003771BF">
      <w:pPr>
        <w:tabs>
          <w:tab w:val="left" w:pos="567"/>
          <w:tab w:val="right" w:pos="8959"/>
        </w:tabs>
        <w:spacing w:after="60"/>
      </w:pPr>
      <w:r w:rsidRPr="00957CD5">
        <w:t>3.3 Validation of assignment using experimentally and theoretically determined additional restraints</w:t>
      </w:r>
      <w:r w:rsidRPr="00957CD5">
        <w:tab/>
        <w:t>1</w:t>
      </w:r>
      <w:r w:rsidR="75A8B159" w:rsidRPr="00957CD5">
        <w:t>1</w:t>
      </w:r>
    </w:p>
    <w:p w14:paraId="0000003A" w14:textId="39A591EA" w:rsidR="00DD0CC6" w:rsidRPr="00957CD5" w:rsidRDefault="003771BF" w:rsidP="55362DC3">
      <w:pPr>
        <w:tabs>
          <w:tab w:val="right" w:pos="8959"/>
        </w:tabs>
        <w:spacing w:after="60"/>
      </w:pPr>
      <w:r w:rsidRPr="00957CD5">
        <w:t xml:space="preserve">Fig. S3 Example for assignment validation using experimentally and theoretically determined additional restraints (PCSs) for the </w:t>
      </w:r>
      <w:proofErr w:type="spellStart"/>
      <w:r w:rsidRPr="00957CD5">
        <w:t>LmUGP</w:t>
      </w:r>
      <w:proofErr w:type="spellEnd"/>
      <w:r w:rsidRPr="00957CD5">
        <w:t xml:space="preserve"> data set.</w:t>
      </w:r>
      <w:r w:rsidRPr="00957CD5">
        <w:tab/>
        <w:t>1</w:t>
      </w:r>
      <w:r w:rsidR="5EA41F47" w:rsidRPr="00957CD5">
        <w:t>1</w:t>
      </w:r>
    </w:p>
    <w:p w14:paraId="0000003B" w14:textId="07F1B6A8" w:rsidR="00DD0CC6" w:rsidRPr="00957CD5" w:rsidRDefault="003771BF" w:rsidP="55362DC3">
      <w:pPr>
        <w:tabs>
          <w:tab w:val="right" w:pos="8959"/>
        </w:tabs>
        <w:spacing w:after="60"/>
      </w:pPr>
      <w:r w:rsidRPr="00957CD5">
        <w:t>Parameter o</w:t>
      </w:r>
      <w:r w:rsidR="00DB582A" w:rsidRPr="00957CD5">
        <w:t>ptimis</w:t>
      </w:r>
      <w:r w:rsidRPr="00957CD5">
        <w:t>ation</w:t>
      </w:r>
      <w:r w:rsidRPr="00957CD5">
        <w:tab/>
        <w:t>1</w:t>
      </w:r>
      <w:r w:rsidR="478C35E8" w:rsidRPr="00957CD5">
        <w:t>2</w:t>
      </w:r>
    </w:p>
    <w:p w14:paraId="3CB84283" w14:textId="002ADD3D" w:rsidR="0076620D" w:rsidRPr="00957CD5" w:rsidRDefault="00FD17B5" w:rsidP="55362DC3">
      <w:pPr>
        <w:tabs>
          <w:tab w:val="right" w:pos="8959"/>
        </w:tabs>
        <w:spacing w:after="60"/>
      </w:pPr>
      <w:r w:rsidRPr="00957CD5">
        <w:t>Structural ensembles</w:t>
      </w:r>
      <w:r w:rsidRPr="00957CD5">
        <w:tab/>
        <w:t>12</w:t>
      </w:r>
    </w:p>
    <w:p w14:paraId="0000003C" w14:textId="40339A3B" w:rsidR="00DD0CC6" w:rsidRPr="00957CD5" w:rsidRDefault="003771BF" w:rsidP="55362DC3">
      <w:pPr>
        <w:tabs>
          <w:tab w:val="right" w:pos="8959"/>
        </w:tabs>
        <w:spacing w:after="60"/>
      </w:pPr>
      <w:r w:rsidRPr="00957CD5">
        <w:t>How SGGBs can be combined to reconstruct any structure-based graph</w:t>
      </w:r>
      <w:r w:rsidRPr="00957CD5">
        <w:tab/>
        <w:t>1</w:t>
      </w:r>
      <w:r w:rsidR="092F1FF8" w:rsidRPr="00957CD5">
        <w:t>3</w:t>
      </w:r>
    </w:p>
    <w:p w14:paraId="0000003D" w14:textId="15DD1825" w:rsidR="00DD0CC6" w:rsidRPr="00957CD5" w:rsidRDefault="003771BF" w:rsidP="55362DC3">
      <w:pPr>
        <w:tabs>
          <w:tab w:val="right" w:pos="8959"/>
        </w:tabs>
        <w:spacing w:after="60"/>
      </w:pPr>
      <w:r w:rsidRPr="00957CD5">
        <w:t>Fig S4 Any possible structure graph can be created from a linear combination of structure graph building blocks (SGBB)</w:t>
      </w:r>
      <w:r w:rsidRPr="00957CD5">
        <w:tab/>
        <w:t>1</w:t>
      </w:r>
      <w:r w:rsidR="64168429" w:rsidRPr="00957CD5">
        <w:t>3</w:t>
      </w:r>
    </w:p>
    <w:p w14:paraId="0000003E" w14:textId="3C0CF7BE" w:rsidR="00DD0CC6" w:rsidRPr="00957CD5" w:rsidRDefault="003771BF" w:rsidP="55362DC3">
      <w:pPr>
        <w:tabs>
          <w:tab w:val="right" w:pos="8959"/>
        </w:tabs>
        <w:spacing w:after="60"/>
      </w:pPr>
      <w:r w:rsidRPr="00957CD5">
        <w:t>Constructing methyl walks from graph building blocks (GBBs) – a detailed explanation</w:t>
      </w:r>
      <w:r w:rsidRPr="00957CD5">
        <w:tab/>
        <w:t>1</w:t>
      </w:r>
      <w:r w:rsidR="688439DA" w:rsidRPr="00957CD5">
        <w:t>3</w:t>
      </w:r>
    </w:p>
    <w:p w14:paraId="0000003F" w14:textId="4ECC8722" w:rsidR="00DD0CC6" w:rsidRPr="00957CD5" w:rsidRDefault="003771BF" w:rsidP="55362DC3">
      <w:pPr>
        <w:tabs>
          <w:tab w:val="right" w:pos="8959"/>
        </w:tabs>
        <w:spacing w:after="60"/>
      </w:pPr>
      <w:r w:rsidRPr="00957CD5">
        <w:t>Fig S5 Step 1 of the identification of methyl walks from graph building blocks</w:t>
      </w:r>
      <w:r w:rsidRPr="00957CD5">
        <w:tab/>
        <w:t>1</w:t>
      </w:r>
      <w:r w:rsidR="2C2C5430" w:rsidRPr="00957CD5">
        <w:t>4</w:t>
      </w:r>
    </w:p>
    <w:p w14:paraId="00000040" w14:textId="06549461" w:rsidR="00DD0CC6" w:rsidRPr="00957CD5" w:rsidRDefault="003771BF" w:rsidP="55362DC3">
      <w:pPr>
        <w:tabs>
          <w:tab w:val="right" w:pos="8959"/>
        </w:tabs>
        <w:spacing w:after="60"/>
      </w:pPr>
      <w:r w:rsidRPr="00957CD5">
        <w:t>Fig S6 Step 2 - assignment of the first resonance</w:t>
      </w:r>
      <w:r w:rsidRPr="00957CD5">
        <w:tab/>
        <w:t>1</w:t>
      </w:r>
      <w:r w:rsidR="02378D6B" w:rsidRPr="00957CD5">
        <w:t>4</w:t>
      </w:r>
    </w:p>
    <w:p w14:paraId="00000041" w14:textId="2D31F74A" w:rsidR="00DD0CC6" w:rsidRPr="00957CD5" w:rsidRDefault="003771BF" w:rsidP="55362DC3">
      <w:pPr>
        <w:tabs>
          <w:tab w:val="right" w:pos="8959"/>
        </w:tabs>
        <w:spacing w:after="60"/>
      </w:pPr>
      <w:r w:rsidRPr="00957CD5">
        <w:t>Fig S7 Step 3 of the identification of methyl walks from graph building blocks</w:t>
      </w:r>
      <w:r w:rsidRPr="00957CD5">
        <w:tab/>
        <w:t>1</w:t>
      </w:r>
      <w:r w:rsidR="73A5AFE5" w:rsidRPr="00957CD5">
        <w:t>5</w:t>
      </w:r>
    </w:p>
    <w:p w14:paraId="00000042" w14:textId="3AD3DCDC" w:rsidR="00DD0CC6" w:rsidRPr="00957CD5" w:rsidRDefault="003771BF" w:rsidP="55362DC3">
      <w:pPr>
        <w:tabs>
          <w:tab w:val="right" w:pos="8959"/>
        </w:tabs>
        <w:spacing w:after="60"/>
      </w:pPr>
      <w:r w:rsidRPr="00957CD5">
        <w:t>Fig S8 Step 4 of the identification of methyl walks from graph building blocks</w:t>
      </w:r>
      <w:r w:rsidRPr="00957CD5">
        <w:tab/>
        <w:t>1</w:t>
      </w:r>
      <w:r w:rsidR="4752F313" w:rsidRPr="00957CD5">
        <w:t>6</w:t>
      </w:r>
    </w:p>
    <w:p w14:paraId="00000043" w14:textId="5EC96127" w:rsidR="00DD0CC6" w:rsidRPr="00957CD5" w:rsidRDefault="003771BF" w:rsidP="55362DC3">
      <w:pPr>
        <w:tabs>
          <w:tab w:val="right" w:pos="8959"/>
        </w:tabs>
        <w:spacing w:after="60"/>
      </w:pPr>
      <w:r w:rsidRPr="00957CD5">
        <w:t xml:space="preserve">Fig S9 The methyl </w:t>
      </w:r>
      <w:proofErr w:type="gramStart"/>
      <w:r w:rsidRPr="00957CD5">
        <w:t>walk</w:t>
      </w:r>
      <w:proofErr w:type="gramEnd"/>
      <w:r w:rsidRPr="00957CD5">
        <w:t xml:space="preserve"> advances by iteration from Step 2</w:t>
      </w:r>
      <w:r w:rsidRPr="00957CD5">
        <w:tab/>
        <w:t>1</w:t>
      </w:r>
      <w:r w:rsidR="3430A6DB" w:rsidRPr="00957CD5">
        <w:t>6</w:t>
      </w:r>
    </w:p>
    <w:p w14:paraId="00000044" w14:textId="13FD4654" w:rsidR="00DD0CC6" w:rsidRPr="00957CD5" w:rsidRDefault="003771BF" w:rsidP="55362DC3">
      <w:pPr>
        <w:tabs>
          <w:tab w:val="right" w:pos="8959"/>
        </w:tabs>
        <w:spacing w:after="60"/>
      </w:pPr>
      <w:r w:rsidRPr="00957CD5">
        <w:t xml:space="preserve">Examples illustrating the calculation of </w:t>
      </w:r>
      <w:r w:rsidRPr="00957CD5">
        <w:rPr>
          <w:i/>
          <w:iCs/>
        </w:rPr>
        <w:t>similarity</w:t>
      </w:r>
      <w:r w:rsidRPr="00957CD5">
        <w:t xml:space="preserve"> and </w:t>
      </w:r>
      <w:r w:rsidR="002C1ED2" w:rsidRPr="00957CD5">
        <w:rPr>
          <w:i/>
          <w:iCs/>
        </w:rPr>
        <w:t>rarity</w:t>
      </w:r>
      <w:r w:rsidRPr="00957CD5">
        <w:rPr>
          <w:i/>
          <w:iCs/>
        </w:rPr>
        <w:t xml:space="preserve"> scores</w:t>
      </w:r>
      <w:r w:rsidRPr="00957CD5">
        <w:tab/>
        <w:t>1</w:t>
      </w:r>
      <w:r w:rsidR="64905898" w:rsidRPr="00957CD5">
        <w:t>7</w:t>
      </w:r>
    </w:p>
    <w:p w14:paraId="00000045" w14:textId="5FD1140C" w:rsidR="00DD0CC6" w:rsidRPr="00957CD5" w:rsidRDefault="003771BF" w:rsidP="55362DC3">
      <w:pPr>
        <w:tabs>
          <w:tab w:val="right" w:pos="8959"/>
        </w:tabs>
        <w:spacing w:after="60"/>
      </w:pPr>
      <w:r w:rsidRPr="00957CD5">
        <w:t xml:space="preserve">Fig S10 Example of calculation of the </w:t>
      </w:r>
      <w:r w:rsidR="002C1ED2" w:rsidRPr="00957CD5">
        <w:rPr>
          <w:i/>
          <w:iCs/>
        </w:rPr>
        <w:t>rarity</w:t>
      </w:r>
      <w:r w:rsidRPr="00957CD5">
        <w:rPr>
          <w:i/>
          <w:iCs/>
        </w:rPr>
        <w:t xml:space="preserve"> score</w:t>
      </w:r>
      <w:r w:rsidRPr="00957CD5">
        <w:tab/>
        <w:t>1</w:t>
      </w:r>
      <w:r w:rsidR="3B33FCF6" w:rsidRPr="00957CD5">
        <w:t>7</w:t>
      </w:r>
    </w:p>
    <w:p w14:paraId="00000046" w14:textId="0B8078C1" w:rsidR="00DD0CC6" w:rsidRPr="00957CD5" w:rsidRDefault="003771BF" w:rsidP="55362DC3">
      <w:pPr>
        <w:tabs>
          <w:tab w:val="right" w:pos="8959"/>
        </w:tabs>
        <w:spacing w:after="60"/>
        <w:rPr>
          <w:color w:val="000000"/>
        </w:rPr>
      </w:pPr>
      <w:r w:rsidRPr="00957CD5">
        <w:t xml:space="preserve">Fig S11 </w:t>
      </w:r>
      <w:r w:rsidRPr="00957CD5">
        <w:rPr>
          <w:color w:val="000000" w:themeColor="text1"/>
        </w:rPr>
        <w:t xml:space="preserve">Exemplary calculation of the </w:t>
      </w:r>
      <w:r w:rsidRPr="00957CD5">
        <w:rPr>
          <w:i/>
          <w:iCs/>
          <w:color w:val="000000" w:themeColor="text1"/>
        </w:rPr>
        <w:t xml:space="preserve">similarity </w:t>
      </w:r>
      <w:proofErr w:type="spellStart"/>
      <w:r w:rsidRPr="00957CD5">
        <w:rPr>
          <w:i/>
          <w:iCs/>
          <w:color w:val="000000" w:themeColor="text1"/>
        </w:rPr>
        <w:t>score</w:t>
      </w:r>
      <w:r w:rsidRPr="00957CD5">
        <w:rPr>
          <w:i/>
          <w:iCs/>
          <w:color w:val="000000" w:themeColor="text1"/>
          <w:vertAlign w:val="subscript"/>
        </w:rPr>
        <w:t>NOE</w:t>
      </w:r>
      <w:proofErr w:type="spellEnd"/>
      <w:r w:rsidRPr="00957CD5">
        <w:rPr>
          <w:color w:val="000000" w:themeColor="text1"/>
        </w:rPr>
        <w:t>.</w:t>
      </w:r>
      <w:r w:rsidRPr="00957CD5">
        <w:tab/>
      </w:r>
      <w:r w:rsidRPr="00957CD5">
        <w:rPr>
          <w:color w:val="000000" w:themeColor="text1"/>
        </w:rPr>
        <w:t>1</w:t>
      </w:r>
      <w:r w:rsidR="396E2090" w:rsidRPr="00957CD5">
        <w:rPr>
          <w:color w:val="000000" w:themeColor="text1"/>
        </w:rPr>
        <w:t>7</w:t>
      </w:r>
    </w:p>
    <w:p w14:paraId="00000047" w14:textId="51CD4EEC" w:rsidR="00DD0CC6" w:rsidRPr="00957CD5" w:rsidRDefault="003771BF" w:rsidP="55362DC3">
      <w:pPr>
        <w:tabs>
          <w:tab w:val="right" w:pos="8959"/>
        </w:tabs>
        <w:spacing w:after="60"/>
        <w:rPr>
          <w:color w:val="000000"/>
        </w:rPr>
      </w:pPr>
      <w:r w:rsidRPr="00957CD5">
        <w:rPr>
          <w:color w:val="000000" w:themeColor="text1"/>
        </w:rPr>
        <w:t xml:space="preserve">About the assignment of methyl groups </w:t>
      </w:r>
      <w:proofErr w:type="gramStart"/>
      <w:r w:rsidRPr="00957CD5">
        <w:rPr>
          <w:color w:val="000000" w:themeColor="text1"/>
        </w:rPr>
        <w:t>in close proximity to</w:t>
      </w:r>
      <w:proofErr w:type="gramEnd"/>
      <w:r w:rsidRPr="00957CD5">
        <w:rPr>
          <w:color w:val="000000" w:themeColor="text1"/>
        </w:rPr>
        <w:t xml:space="preserve"> paramagnetic metals</w:t>
      </w:r>
      <w:r w:rsidRPr="00957CD5">
        <w:tab/>
      </w:r>
      <w:r w:rsidRPr="00957CD5">
        <w:rPr>
          <w:color w:val="000000" w:themeColor="text1"/>
        </w:rPr>
        <w:t>1</w:t>
      </w:r>
      <w:r w:rsidR="67C9D2A3" w:rsidRPr="00957CD5">
        <w:rPr>
          <w:color w:val="000000" w:themeColor="text1"/>
        </w:rPr>
        <w:t>8</w:t>
      </w:r>
    </w:p>
    <w:p w14:paraId="00000048" w14:textId="3AC64183" w:rsidR="00DD0CC6" w:rsidRPr="00957CD5" w:rsidRDefault="003771BF" w:rsidP="55362DC3">
      <w:pPr>
        <w:tabs>
          <w:tab w:val="right" w:pos="8959"/>
        </w:tabs>
        <w:spacing w:after="60"/>
        <w:rPr>
          <w:color w:val="000000"/>
        </w:rPr>
      </w:pPr>
      <w:r w:rsidRPr="00957CD5">
        <w:rPr>
          <w:color w:val="000000" w:themeColor="text1"/>
        </w:rPr>
        <w:t>Fig S12 Test runs for the determination of optimal range cut-off distances for the benchmark set in the absence of additional restrain</w:t>
      </w:r>
      <w:r w:rsidR="29FD737D" w:rsidRPr="00957CD5">
        <w:rPr>
          <w:color w:val="000000" w:themeColor="text1"/>
        </w:rPr>
        <w:t>t</w:t>
      </w:r>
      <w:r w:rsidRPr="00957CD5">
        <w:rPr>
          <w:color w:val="000000" w:themeColor="text1"/>
        </w:rPr>
        <w:t>s</w:t>
      </w:r>
      <w:r w:rsidRPr="00957CD5">
        <w:tab/>
      </w:r>
      <w:r w:rsidRPr="00957CD5">
        <w:rPr>
          <w:color w:val="000000" w:themeColor="text1"/>
        </w:rPr>
        <w:t>2</w:t>
      </w:r>
      <w:r w:rsidR="72CA4772" w:rsidRPr="00957CD5">
        <w:rPr>
          <w:color w:val="000000" w:themeColor="text1"/>
        </w:rPr>
        <w:t>0</w:t>
      </w:r>
    </w:p>
    <w:p w14:paraId="00000049" w14:textId="657B6A94" w:rsidR="00DD0CC6" w:rsidRPr="00957CD5" w:rsidRDefault="003771BF" w:rsidP="55362DC3">
      <w:pPr>
        <w:tabs>
          <w:tab w:val="right" w:pos="8959"/>
        </w:tabs>
        <w:spacing w:after="60"/>
      </w:pPr>
      <w:r w:rsidRPr="00957CD5">
        <w:t>Table S1 Reference assignments for the tested experimental data sets</w:t>
      </w:r>
      <w:r w:rsidRPr="00957CD5">
        <w:tab/>
        <w:t>2</w:t>
      </w:r>
      <w:r w:rsidR="2804F4A7" w:rsidRPr="00957CD5">
        <w:t>1</w:t>
      </w:r>
    </w:p>
    <w:p w14:paraId="0000004A" w14:textId="69E9A335" w:rsidR="00DD0CC6" w:rsidRPr="00957CD5" w:rsidRDefault="003771BF" w:rsidP="55362DC3">
      <w:pPr>
        <w:tabs>
          <w:tab w:val="right" w:pos="8959"/>
        </w:tabs>
        <w:spacing w:after="60"/>
      </w:pPr>
      <w:r w:rsidRPr="00957CD5">
        <w:t>Table S2 Proteins used to create PDB-based synthetic NOE networks</w:t>
      </w:r>
      <w:r w:rsidRPr="00957CD5">
        <w:tab/>
        <w:t>2</w:t>
      </w:r>
      <w:r w:rsidR="72FABD07" w:rsidRPr="00957CD5">
        <w:t>1</w:t>
      </w:r>
    </w:p>
    <w:p w14:paraId="0000004B" w14:textId="67EC1D2A" w:rsidR="00DD0CC6" w:rsidRPr="00957CD5" w:rsidRDefault="003771BF" w:rsidP="55362DC3">
      <w:pPr>
        <w:tabs>
          <w:tab w:val="right" w:pos="8959"/>
        </w:tabs>
        <w:spacing w:after="60"/>
      </w:pPr>
      <w:r w:rsidRPr="00957CD5">
        <w:t>Bibliography</w:t>
      </w:r>
      <w:r w:rsidRPr="00957CD5">
        <w:tab/>
        <w:t>2</w:t>
      </w:r>
      <w:r w:rsidR="533D6534" w:rsidRPr="00957CD5">
        <w:t>2</w:t>
      </w:r>
    </w:p>
    <w:p w14:paraId="0000004C" w14:textId="77777777" w:rsidR="00DD0CC6" w:rsidRPr="00957CD5" w:rsidRDefault="00DD0CC6">
      <w:pPr>
        <w:tabs>
          <w:tab w:val="left" w:pos="0"/>
          <w:tab w:val="right" w:pos="8959"/>
        </w:tabs>
        <w:spacing w:after="60"/>
      </w:pPr>
    </w:p>
    <w:p w14:paraId="0000004D" w14:textId="77777777" w:rsidR="00DD0CC6" w:rsidRPr="00957CD5" w:rsidRDefault="00DD0CC6">
      <w:pPr>
        <w:tabs>
          <w:tab w:val="left" w:pos="0"/>
          <w:tab w:val="right" w:pos="8959"/>
        </w:tabs>
      </w:pPr>
    </w:p>
    <w:p w14:paraId="0000004E" w14:textId="77777777" w:rsidR="00DD0CC6" w:rsidRPr="00957CD5" w:rsidRDefault="00DD0CC6">
      <w:pPr>
        <w:tabs>
          <w:tab w:val="left" w:pos="0"/>
          <w:tab w:val="right" w:pos="8959"/>
        </w:tabs>
      </w:pPr>
    </w:p>
    <w:p w14:paraId="0000004F" w14:textId="77777777" w:rsidR="00DD0CC6" w:rsidRPr="00957CD5" w:rsidRDefault="00DD0CC6">
      <w:pPr>
        <w:tabs>
          <w:tab w:val="left" w:pos="0"/>
          <w:tab w:val="right" w:pos="8959"/>
        </w:tabs>
      </w:pPr>
    </w:p>
    <w:p w14:paraId="00000050" w14:textId="77777777" w:rsidR="00DD0CC6" w:rsidRPr="00957CD5" w:rsidRDefault="00DD0CC6">
      <w:pPr>
        <w:tabs>
          <w:tab w:val="left" w:pos="0"/>
          <w:tab w:val="right" w:pos="8959"/>
        </w:tabs>
      </w:pPr>
    </w:p>
    <w:p w14:paraId="00000051" w14:textId="77777777" w:rsidR="00DD0CC6" w:rsidRPr="00957CD5" w:rsidRDefault="00DD0CC6">
      <w:pPr>
        <w:tabs>
          <w:tab w:val="left" w:pos="0"/>
          <w:tab w:val="right" w:pos="8959"/>
        </w:tabs>
      </w:pPr>
    </w:p>
    <w:p w14:paraId="00000052" w14:textId="77777777" w:rsidR="00DD0CC6" w:rsidRPr="00957CD5" w:rsidRDefault="00DD0CC6">
      <w:pPr>
        <w:tabs>
          <w:tab w:val="left" w:pos="0"/>
          <w:tab w:val="right" w:pos="8959"/>
        </w:tabs>
      </w:pPr>
    </w:p>
    <w:p w14:paraId="00000053" w14:textId="77777777" w:rsidR="00DD0CC6" w:rsidRPr="00957CD5" w:rsidRDefault="00DD0CC6">
      <w:pPr>
        <w:tabs>
          <w:tab w:val="left" w:pos="0"/>
          <w:tab w:val="right" w:pos="8959"/>
        </w:tabs>
      </w:pPr>
    </w:p>
    <w:p w14:paraId="5B09103F" w14:textId="1467304B" w:rsidR="32B048B6" w:rsidRPr="00957CD5" w:rsidRDefault="32B048B6">
      <w:r w:rsidRPr="00957CD5">
        <w:br w:type="page"/>
      </w:r>
    </w:p>
    <w:p w14:paraId="00000054" w14:textId="77777777" w:rsidR="00DD0CC6" w:rsidRPr="00957CD5" w:rsidRDefault="003771BF">
      <w:pPr>
        <w:pStyle w:val="berschrift2"/>
      </w:pPr>
      <w:r w:rsidRPr="00957CD5">
        <w:lastRenderedPageBreak/>
        <w:t>1.   Input files required by AMIGO</w:t>
      </w:r>
    </w:p>
    <w:p w14:paraId="00000055" w14:textId="77777777" w:rsidR="00DD0CC6" w:rsidRPr="00957CD5" w:rsidRDefault="00DD0CC6"/>
    <w:p w14:paraId="00000056" w14:textId="77777777" w:rsidR="00DD0CC6" w:rsidRPr="00957CD5" w:rsidRDefault="003771BF">
      <w:pPr>
        <w:jc w:val="both"/>
      </w:pPr>
      <w:r w:rsidRPr="00957CD5">
        <w:t xml:space="preserve">All files described in this manuscript are freely available and can be downloaded from the </w:t>
      </w:r>
      <w:proofErr w:type="spellStart"/>
      <w:r w:rsidRPr="00957CD5">
        <w:rPr>
          <w:i/>
        </w:rPr>
        <w:t>github</w:t>
      </w:r>
      <w:proofErr w:type="spellEnd"/>
      <w:r w:rsidRPr="00957CD5">
        <w:rPr>
          <w:i/>
        </w:rPr>
        <w:t xml:space="preserve"> </w:t>
      </w:r>
      <w:r w:rsidRPr="00957CD5">
        <w:t xml:space="preserve">repository following the link: </w:t>
      </w:r>
      <w:hyperlink r:id="rId9">
        <w:r w:rsidR="00DD0CC6" w:rsidRPr="00957CD5">
          <w:rPr>
            <w:color w:val="0563C1"/>
            <w:u w:val="single"/>
          </w:rPr>
          <w:t>https://github.com/ThorbenMaa/AMIGO</w:t>
        </w:r>
      </w:hyperlink>
      <w:r w:rsidRPr="00957CD5">
        <w:t>.</w:t>
      </w:r>
    </w:p>
    <w:p w14:paraId="00000057" w14:textId="77777777" w:rsidR="00DD0CC6" w:rsidRPr="00957CD5" w:rsidRDefault="00DD0CC6">
      <w:pPr>
        <w:jc w:val="both"/>
      </w:pPr>
    </w:p>
    <w:p w14:paraId="00000058" w14:textId="56FDD099" w:rsidR="00DD0CC6" w:rsidRPr="00957CD5" w:rsidRDefault="003771BF">
      <w:pPr>
        <w:jc w:val="both"/>
      </w:pPr>
      <w:r w:rsidRPr="00957CD5">
        <w:t xml:space="preserve">AMIGO is implemented in </w:t>
      </w:r>
      <w:r w:rsidRPr="00957CD5">
        <w:rPr>
          <w:i/>
        </w:rPr>
        <w:t>python3</w:t>
      </w:r>
      <w:r w:rsidRPr="00957CD5">
        <w:t xml:space="preserve"> and has been successfully tested under Linux and Mac (Sonoma 14.1.1) environments. The use of AMIGO is illustrated in this guide with the assignment of two proteins, GTB </w:t>
      </w:r>
      <w:r w:rsidRPr="00957CD5">
        <w:rPr>
          <w:rFonts w:ascii="Calibri" w:eastAsia="Calibri" w:hAnsi="Calibri" w:cs="Calibri"/>
        </w:rPr>
        <w:t>(Flügge and Peters 2018)</w:t>
      </w:r>
      <w:r w:rsidRPr="00957CD5">
        <w:t xml:space="preserve"> and </w:t>
      </w:r>
      <w:proofErr w:type="spellStart"/>
      <w:r w:rsidRPr="00957CD5">
        <w:t>LmUGP</w:t>
      </w:r>
      <w:proofErr w:type="spellEnd"/>
      <w:r w:rsidRPr="00957CD5">
        <w:t xml:space="preserve"> </w:t>
      </w:r>
      <w:r w:rsidRPr="00957CD5">
        <w:rPr>
          <w:rFonts w:ascii="Calibri" w:eastAsia="Calibri" w:hAnsi="Calibri" w:cs="Calibri"/>
        </w:rPr>
        <w:t>(Mühlberg et al. 2022)</w:t>
      </w:r>
      <w:r w:rsidRPr="00957CD5">
        <w:t xml:space="preserve">. The protein GTB has been used to illustrate chapters 1 &amp; 2, and the corresponding files can be found in </w:t>
      </w:r>
      <w:proofErr w:type="spellStart"/>
      <w:r w:rsidRPr="00957CD5">
        <w:rPr>
          <w:i/>
        </w:rPr>
        <w:t>github</w:t>
      </w:r>
      <w:proofErr w:type="spellEnd"/>
      <w:r w:rsidRPr="00957CD5">
        <w:t xml:space="preserve"> under </w:t>
      </w:r>
      <w:proofErr w:type="spellStart"/>
      <w:r w:rsidRPr="00957CD5">
        <w:rPr>
          <w:i/>
        </w:rPr>
        <w:t>InputFilesExample_GTB</w:t>
      </w:r>
      <w:proofErr w:type="spellEnd"/>
      <w:r w:rsidRPr="00957CD5">
        <w:t xml:space="preserve">. Chapter 3 is illustrated with the outcome produced during the assignment of the protein </w:t>
      </w:r>
      <w:proofErr w:type="spellStart"/>
      <w:r w:rsidRPr="00957CD5">
        <w:t>LmUGP</w:t>
      </w:r>
      <w:proofErr w:type="spellEnd"/>
      <w:r w:rsidRPr="00957CD5">
        <w:t xml:space="preserve">. Corresponding files can be found in </w:t>
      </w:r>
      <w:proofErr w:type="spellStart"/>
      <w:r w:rsidRPr="00957CD5">
        <w:rPr>
          <w:i/>
        </w:rPr>
        <w:t>github</w:t>
      </w:r>
      <w:proofErr w:type="spellEnd"/>
      <w:r w:rsidRPr="00957CD5">
        <w:t xml:space="preserve"> under </w:t>
      </w:r>
      <w:proofErr w:type="spellStart"/>
      <w:r w:rsidRPr="00957CD5">
        <w:rPr>
          <w:i/>
        </w:rPr>
        <w:t>InputFilesExample_LmUGP</w:t>
      </w:r>
      <w:proofErr w:type="spellEnd"/>
      <w:r w:rsidRPr="00957CD5">
        <w:t xml:space="preserve">. These examples have been selected to best illustrate AMIGO’s capabilities. Additionally, all </w:t>
      </w:r>
      <w:sdt>
        <w:sdtPr>
          <w:tag w:val="goog_rdk_0"/>
          <w:id w:val="-241390944"/>
        </w:sdtPr>
        <w:sdtContent/>
      </w:sdt>
      <w:r w:rsidR="009E0C14" w:rsidRPr="00957CD5">
        <w:t>input</w:t>
      </w:r>
      <w:r w:rsidRPr="00957CD5">
        <w:t xml:space="preserve"> and output files from the assignment of the Benchmark proteins can be found under </w:t>
      </w:r>
      <w:r w:rsidRPr="00957CD5">
        <w:rPr>
          <w:i/>
        </w:rPr>
        <w:t>Benchmark</w:t>
      </w:r>
      <w:r w:rsidRPr="00957CD5">
        <w:t xml:space="preserve">. </w:t>
      </w:r>
    </w:p>
    <w:p w14:paraId="00000059" w14:textId="77777777" w:rsidR="00DD0CC6" w:rsidRPr="00957CD5" w:rsidRDefault="00DD0CC6">
      <w:pPr>
        <w:jc w:val="both"/>
      </w:pPr>
    </w:p>
    <w:p w14:paraId="0000005A" w14:textId="77777777" w:rsidR="00DD0CC6" w:rsidRPr="00957CD5" w:rsidRDefault="003771BF">
      <w:pPr>
        <w:jc w:val="both"/>
      </w:pPr>
      <w:r w:rsidRPr="00957CD5">
        <w:t xml:space="preserve">After setting up the environment necessary for AMIGO as described in our </w:t>
      </w:r>
      <w:proofErr w:type="spellStart"/>
      <w:r w:rsidRPr="00957CD5">
        <w:rPr>
          <w:i/>
        </w:rPr>
        <w:t>github</w:t>
      </w:r>
      <w:proofErr w:type="spellEnd"/>
      <w:r w:rsidRPr="00957CD5">
        <w:rPr>
          <w:i/>
        </w:rPr>
        <w:t xml:space="preserve"> </w:t>
      </w:r>
      <w:r w:rsidRPr="00957CD5">
        <w:t>repository, place all necessary files in a single folder.</w:t>
      </w:r>
    </w:p>
    <w:p w14:paraId="0000005B" w14:textId="77777777" w:rsidR="00DD0CC6" w:rsidRPr="00957CD5" w:rsidRDefault="00DD0CC6">
      <w:pPr>
        <w:jc w:val="both"/>
        <w:rPr>
          <w:b/>
        </w:rPr>
      </w:pPr>
    </w:p>
    <w:p w14:paraId="0000005C" w14:textId="77777777" w:rsidR="00DD0CC6" w:rsidRPr="00957CD5" w:rsidRDefault="003771BF">
      <w:pPr>
        <w:jc w:val="center"/>
      </w:pPr>
      <w:r w:rsidRPr="00957CD5">
        <w:rPr>
          <w:noProof/>
        </w:rPr>
        <w:drawing>
          <wp:inline distT="0" distB="0" distL="0" distR="0" wp14:anchorId="161492B4" wp14:editId="2E4CB8E4">
            <wp:extent cx="3447800" cy="1967495"/>
            <wp:effectExtent l="0" t="0" r="0" b="0"/>
            <wp:docPr id="2014371539" name="image3.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Description automatically generated"/>
                    <pic:cNvPicPr preferRelativeResize="0"/>
                  </pic:nvPicPr>
                  <pic:blipFill>
                    <a:blip r:embed="rId10"/>
                    <a:srcRect/>
                    <a:stretch>
                      <a:fillRect/>
                    </a:stretch>
                  </pic:blipFill>
                  <pic:spPr>
                    <a:xfrm>
                      <a:off x="0" y="0"/>
                      <a:ext cx="3447800" cy="1967495"/>
                    </a:xfrm>
                    <a:prstGeom prst="rect">
                      <a:avLst/>
                    </a:prstGeom>
                    <a:ln/>
                  </pic:spPr>
                </pic:pic>
              </a:graphicData>
            </a:graphic>
          </wp:inline>
        </w:drawing>
      </w:r>
    </w:p>
    <w:p w14:paraId="0000005D" w14:textId="77777777" w:rsidR="00DD0CC6" w:rsidRPr="00957CD5" w:rsidRDefault="00DD0CC6">
      <w:pPr>
        <w:jc w:val="center"/>
      </w:pPr>
    </w:p>
    <w:p w14:paraId="0000005E" w14:textId="77777777" w:rsidR="00DD0CC6" w:rsidRPr="00957CD5" w:rsidRDefault="003771BF">
      <w:pPr>
        <w:jc w:val="both"/>
      </w:pPr>
      <w:r w:rsidRPr="00957CD5">
        <w:t xml:space="preserve">The file </w:t>
      </w:r>
      <w:r w:rsidRPr="00957CD5">
        <w:rPr>
          <w:color w:val="843C0B"/>
        </w:rPr>
        <w:t xml:space="preserve">noe.txt </w:t>
      </w:r>
      <w:r w:rsidRPr="00957CD5">
        <w:t xml:space="preserve">is a text file organized as follows: The first column contains the amnio acid type of the auto peak in a multidimensional NOESY experiment (e.g. 4d-HMQC-NOESY-HMQC), while the second column corresponds to an arbitrary peak ID, which is typically an integer. Each methyl group receives </w:t>
      </w:r>
      <w:proofErr w:type="gramStart"/>
      <w:r w:rsidRPr="00957CD5">
        <w:t>an</w:t>
      </w:r>
      <w:proofErr w:type="gramEnd"/>
      <w:r w:rsidRPr="00957CD5">
        <w:t xml:space="preserve"> unique ID number. The third and fourth columns contain the amino acid type and peak ID of the NOESY cross-peaks observed in the NOESY plane corresponding to the frequencies of the selected auto peak. The list must be sorted using the second column to allow AMIGO to create “NOE graph-based building blocks” (see results). E.g., sorting can be easily done using Excel. Columns are tab separated. AMIGO gives an error message if the last line of this file is empty, so there must not be a line break at the end of the list. See figure below for an example:</w:t>
      </w:r>
    </w:p>
    <w:p w14:paraId="0000005F" w14:textId="77777777" w:rsidR="00DD0CC6" w:rsidRPr="00957CD5" w:rsidRDefault="003771BF">
      <w:pPr>
        <w:jc w:val="center"/>
      </w:pPr>
      <w:r w:rsidRPr="00957CD5">
        <w:rPr>
          <w:noProof/>
        </w:rPr>
        <w:lastRenderedPageBreak/>
        <w:drawing>
          <wp:inline distT="0" distB="0" distL="0" distR="0" wp14:anchorId="505DD0D4" wp14:editId="353906C7">
            <wp:extent cx="2775397" cy="2021983"/>
            <wp:effectExtent l="0" t="0" r="6350" b="0"/>
            <wp:docPr id="2014371541" name="image14.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png" descr="A screenshot of a computer&#10;&#10;Description automatically generated"/>
                    <pic:cNvPicPr preferRelativeResize="0"/>
                  </pic:nvPicPr>
                  <pic:blipFill>
                    <a:blip r:embed="rId11"/>
                    <a:srcRect t="2125" b="2899"/>
                    <a:stretch>
                      <a:fillRect/>
                    </a:stretch>
                  </pic:blipFill>
                  <pic:spPr>
                    <a:xfrm>
                      <a:off x="0" y="0"/>
                      <a:ext cx="2790745" cy="2033165"/>
                    </a:xfrm>
                    <a:prstGeom prst="rect">
                      <a:avLst/>
                    </a:prstGeom>
                    <a:ln/>
                  </pic:spPr>
                </pic:pic>
              </a:graphicData>
            </a:graphic>
          </wp:inline>
        </w:drawing>
      </w:r>
    </w:p>
    <w:p w14:paraId="00000060" w14:textId="77777777" w:rsidR="00DD0CC6" w:rsidRPr="00957CD5" w:rsidRDefault="00DD0CC6">
      <w:pPr>
        <w:jc w:val="center"/>
      </w:pPr>
    </w:p>
    <w:p w14:paraId="00000061" w14:textId="623857CB" w:rsidR="00DD0CC6" w:rsidRPr="00957CD5" w:rsidRDefault="003771BF">
      <w:pPr>
        <w:jc w:val="both"/>
      </w:pPr>
      <w:r w:rsidRPr="00957CD5">
        <w:t xml:space="preserve">The file </w:t>
      </w:r>
      <w:r w:rsidRPr="00957CD5">
        <w:rPr>
          <w:color w:val="843C0B"/>
        </w:rPr>
        <w:t xml:space="preserve">additional_measure.txt </w:t>
      </w:r>
      <w:r w:rsidRPr="00957CD5">
        <w:t>is a text file containing additional experimental restraints (e.g. measured PCSs). The first column contains the amino acid type of a certain methyl group resonance. The second column contains the peak ID, which needs to match with that form the noe.txt list. The third, fourth, fifth and sixth columns contain the respective additional experimental restraint</w:t>
      </w:r>
      <w:r w:rsidR="00E17479" w:rsidRPr="00957CD5">
        <w:t>s</w:t>
      </w:r>
      <w:r w:rsidRPr="00957CD5">
        <w:t>. In the example below, column three contains PCSs induced by Ce</w:t>
      </w:r>
      <w:r w:rsidRPr="00957CD5">
        <w:rPr>
          <w:vertAlign w:val="superscript"/>
        </w:rPr>
        <w:t>3+</w:t>
      </w:r>
      <w:r w:rsidRPr="00957CD5">
        <w:t>, column four PCSs induced by Eu</w:t>
      </w:r>
      <w:r w:rsidRPr="00957CD5">
        <w:rPr>
          <w:vertAlign w:val="superscript"/>
        </w:rPr>
        <w:t>3+</w:t>
      </w:r>
      <w:r w:rsidRPr="00957CD5">
        <w:t>, column five PCSs induced by Tb</w:t>
      </w:r>
      <w:r w:rsidRPr="00957CD5">
        <w:rPr>
          <w:vertAlign w:val="superscript"/>
        </w:rPr>
        <w:t>3+</w:t>
      </w:r>
      <w:r w:rsidRPr="00957CD5">
        <w:t xml:space="preserve"> and column six corresponds to no data, therefore containing the number 999. Use also 999 within a list of additional restraints if a specific methyl group lacks the information (e.g. the peaks in the spectrum were not visible or superimposed). If no additional restraints are available at all, simply use a single line containing: “0</w:t>
      </w:r>
      <w:r w:rsidRPr="00957CD5">
        <w:tab/>
        <w:t>0</w:t>
      </w:r>
      <w:r w:rsidRPr="00957CD5">
        <w:tab/>
        <w:t>0</w:t>
      </w:r>
      <w:r w:rsidRPr="00957CD5">
        <w:tab/>
        <w:t>0</w:t>
      </w:r>
      <w:r w:rsidRPr="00957CD5">
        <w:tab/>
        <w:t>0</w:t>
      </w:r>
      <w:r w:rsidRPr="00957CD5">
        <w:tab/>
        <w:t>0” as the only file content. Columns are tab separated.</w:t>
      </w:r>
    </w:p>
    <w:p w14:paraId="00000062" w14:textId="77777777" w:rsidR="00DD0CC6" w:rsidRPr="00957CD5" w:rsidRDefault="00DD0CC6">
      <w:pPr>
        <w:jc w:val="both"/>
      </w:pPr>
    </w:p>
    <w:p w14:paraId="00000063" w14:textId="77777777" w:rsidR="00DD0CC6" w:rsidRPr="00957CD5" w:rsidRDefault="003771BF">
      <w:pPr>
        <w:jc w:val="center"/>
      </w:pPr>
      <w:r w:rsidRPr="00957CD5">
        <w:rPr>
          <w:noProof/>
        </w:rPr>
        <w:drawing>
          <wp:inline distT="0" distB="0" distL="0" distR="0" wp14:anchorId="2690B36A" wp14:editId="4A2C543A">
            <wp:extent cx="2846231" cy="1951149"/>
            <wp:effectExtent l="0" t="0" r="0" b="5080"/>
            <wp:docPr id="2014371540" name="image12.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screenshot of a computer&#10;&#10;Description automatically generated"/>
                    <pic:cNvPicPr preferRelativeResize="0"/>
                  </pic:nvPicPr>
                  <pic:blipFill>
                    <a:blip r:embed="rId12"/>
                    <a:srcRect t="3982" b="4998"/>
                    <a:stretch>
                      <a:fillRect/>
                    </a:stretch>
                  </pic:blipFill>
                  <pic:spPr>
                    <a:xfrm>
                      <a:off x="0" y="0"/>
                      <a:ext cx="2858467" cy="1959537"/>
                    </a:xfrm>
                    <a:prstGeom prst="rect">
                      <a:avLst/>
                    </a:prstGeom>
                    <a:ln/>
                  </pic:spPr>
                </pic:pic>
              </a:graphicData>
            </a:graphic>
          </wp:inline>
        </w:drawing>
      </w:r>
    </w:p>
    <w:p w14:paraId="00000064" w14:textId="77777777" w:rsidR="00DD0CC6" w:rsidRPr="00957CD5" w:rsidRDefault="00DD0CC6">
      <w:pPr>
        <w:jc w:val="center"/>
      </w:pPr>
    </w:p>
    <w:p w14:paraId="00000065" w14:textId="77777777" w:rsidR="00DD0CC6" w:rsidRPr="00957CD5" w:rsidRDefault="003771BF">
      <w:pPr>
        <w:jc w:val="both"/>
      </w:pPr>
      <w:r w:rsidRPr="00957CD5">
        <w:t xml:space="preserve">The file </w:t>
      </w:r>
      <w:r w:rsidRPr="00957CD5">
        <w:rPr>
          <w:color w:val="843C0B"/>
        </w:rPr>
        <w:t xml:space="preserve">additional_xtal.txt </w:t>
      </w:r>
      <w:r w:rsidRPr="00957CD5">
        <w:t>is a text file containing theoretically determined additional restraints according to the structural model (crystal structure) provided. The first and second columns contain the amino acid type and the residue number in the protein sequence, respectively. Columns three, four, five, and six contain theoretically calculated additional restraints (</w:t>
      </w:r>
      <w:proofErr w:type="spellStart"/>
      <w:r w:rsidRPr="00957CD5">
        <w:t>eg.</w:t>
      </w:r>
      <w:proofErr w:type="spellEnd"/>
      <w:r w:rsidRPr="00957CD5">
        <w:t xml:space="preserve"> PCS). The order of the additional restraints must match the order in additional_measure.txt. Use 999 like in additional_measure.txt file. Likewise, if no theoretically determined additional restraints are available at all, simply use a single line containing: “0</w:t>
      </w:r>
      <w:r w:rsidRPr="00957CD5">
        <w:tab/>
        <w:t>0</w:t>
      </w:r>
      <w:r w:rsidRPr="00957CD5">
        <w:tab/>
        <w:t>0</w:t>
      </w:r>
      <w:r w:rsidRPr="00957CD5">
        <w:tab/>
        <w:t>0</w:t>
      </w:r>
      <w:r w:rsidRPr="00957CD5">
        <w:tab/>
        <w:t>0</w:t>
      </w:r>
      <w:r w:rsidRPr="00957CD5">
        <w:tab/>
        <w:t>0” as the only file content. Columns are tab separated.</w:t>
      </w:r>
    </w:p>
    <w:p w14:paraId="00000066" w14:textId="77777777" w:rsidR="00DD0CC6" w:rsidRPr="00957CD5" w:rsidRDefault="003771BF">
      <w:pPr>
        <w:jc w:val="center"/>
      </w:pPr>
      <w:r w:rsidRPr="00957CD5">
        <w:rPr>
          <w:noProof/>
        </w:rPr>
        <w:lastRenderedPageBreak/>
        <w:drawing>
          <wp:inline distT="0" distB="0" distL="0" distR="0" wp14:anchorId="5C595700" wp14:editId="59495B18">
            <wp:extent cx="3277673" cy="2311758"/>
            <wp:effectExtent l="0" t="0" r="0" b="0"/>
            <wp:docPr id="2014371543" name="image9.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screenshot of a computer&#10;&#10;Description automatically generated"/>
                    <pic:cNvPicPr preferRelativeResize="0"/>
                  </pic:nvPicPr>
                  <pic:blipFill>
                    <a:blip r:embed="rId13"/>
                    <a:srcRect t="3170" b="4205"/>
                    <a:stretch>
                      <a:fillRect/>
                    </a:stretch>
                  </pic:blipFill>
                  <pic:spPr>
                    <a:xfrm>
                      <a:off x="0" y="0"/>
                      <a:ext cx="3287523" cy="2318705"/>
                    </a:xfrm>
                    <a:prstGeom prst="rect">
                      <a:avLst/>
                    </a:prstGeom>
                    <a:ln/>
                  </pic:spPr>
                </pic:pic>
              </a:graphicData>
            </a:graphic>
          </wp:inline>
        </w:drawing>
      </w:r>
    </w:p>
    <w:p w14:paraId="00000067" w14:textId="77777777" w:rsidR="00DD0CC6" w:rsidRPr="00957CD5" w:rsidRDefault="00DD0CC6">
      <w:pPr>
        <w:jc w:val="center"/>
      </w:pPr>
    </w:p>
    <w:p w14:paraId="00000068" w14:textId="77777777" w:rsidR="00DD0CC6" w:rsidRPr="00957CD5" w:rsidRDefault="003771BF">
      <w:pPr>
        <w:jc w:val="both"/>
      </w:pPr>
      <w:r w:rsidRPr="00957CD5">
        <w:t xml:space="preserve">The file </w:t>
      </w:r>
      <w:r w:rsidRPr="00957CD5">
        <w:rPr>
          <w:color w:val="843C0B"/>
        </w:rPr>
        <w:t xml:space="preserve">preassignments.txt </w:t>
      </w:r>
      <w:r w:rsidRPr="00957CD5">
        <w:t xml:space="preserve">is a text file where the first and second columns contain the amino acid type and peak ID of a certain methyl group resonance, respectively. The peak ID must match with those in previous files. The third and fourth columns contain the amino acid type and residue number of the methyl group from the protein sequence in the crystal structure the resonance is assigned to. For an example see the figure below. If no pre-assignments are available, just leave this text file empty. </w:t>
      </w:r>
    </w:p>
    <w:p w14:paraId="00000069" w14:textId="77777777" w:rsidR="00DD0CC6" w:rsidRPr="00957CD5" w:rsidRDefault="003771BF">
      <w:pPr>
        <w:jc w:val="both"/>
      </w:pPr>
      <w:r w:rsidRPr="00957CD5">
        <w:t>When pre-assignments are included in the calculations, AMIGO will in a first step consider only the pre-assigned resonances as starting points to create the methyl walks. Afterwards, all remaining methyl group resonances are considered.</w:t>
      </w:r>
    </w:p>
    <w:p w14:paraId="0000006A" w14:textId="77777777" w:rsidR="00DD0CC6" w:rsidRPr="00957CD5" w:rsidRDefault="00DD0CC6">
      <w:pPr>
        <w:rPr>
          <w:b/>
        </w:rPr>
      </w:pPr>
    </w:p>
    <w:p w14:paraId="0000006B" w14:textId="77777777" w:rsidR="00DD0CC6" w:rsidRPr="00957CD5" w:rsidRDefault="003771BF">
      <w:pPr>
        <w:jc w:val="center"/>
      </w:pPr>
      <w:r w:rsidRPr="00957CD5">
        <w:rPr>
          <w:noProof/>
        </w:rPr>
        <w:drawing>
          <wp:inline distT="0" distB="0" distL="0" distR="0" wp14:anchorId="3A50EC8B" wp14:editId="61F54F02">
            <wp:extent cx="3374265" cy="2376152"/>
            <wp:effectExtent l="0" t="0" r="0" b="0"/>
            <wp:docPr id="2014371542" name="image15.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screenshot of a computer&#10;&#10;Description automatically generated"/>
                    <pic:cNvPicPr preferRelativeResize="0"/>
                  </pic:nvPicPr>
                  <pic:blipFill>
                    <a:blip r:embed="rId14"/>
                    <a:srcRect/>
                    <a:stretch>
                      <a:fillRect/>
                    </a:stretch>
                  </pic:blipFill>
                  <pic:spPr>
                    <a:xfrm>
                      <a:off x="0" y="0"/>
                      <a:ext cx="3392955" cy="2389313"/>
                    </a:xfrm>
                    <a:prstGeom prst="rect">
                      <a:avLst/>
                    </a:prstGeom>
                    <a:ln/>
                  </pic:spPr>
                </pic:pic>
              </a:graphicData>
            </a:graphic>
          </wp:inline>
        </w:drawing>
      </w:r>
    </w:p>
    <w:p w14:paraId="1CE664FF" w14:textId="77777777" w:rsidR="00101887" w:rsidRPr="00957CD5" w:rsidRDefault="00101887">
      <w:pPr>
        <w:jc w:val="center"/>
      </w:pPr>
    </w:p>
    <w:p w14:paraId="16B0FB1E" w14:textId="70B1178D" w:rsidR="0022348D" w:rsidRPr="00957CD5" w:rsidRDefault="003771BF" w:rsidP="00D639CE">
      <w:pPr>
        <w:jc w:val="both"/>
      </w:pPr>
      <w:r w:rsidRPr="00957CD5">
        <w:t xml:space="preserve">Finally, the </w:t>
      </w:r>
      <w:r w:rsidRPr="00957CD5">
        <w:rPr>
          <w:color w:val="843C0B"/>
        </w:rPr>
        <w:t xml:space="preserve">structure.pdb </w:t>
      </w:r>
      <w:r w:rsidRPr="00957CD5">
        <w:t xml:space="preserve">file is just a text </w:t>
      </w:r>
      <w:proofErr w:type="spellStart"/>
      <w:r w:rsidRPr="00957CD5">
        <w:t>pdb</w:t>
      </w:r>
      <w:proofErr w:type="spellEnd"/>
      <w:r w:rsidRPr="00957CD5">
        <w:t xml:space="preserve"> file containing the atom coordinates of the protein to be assigned. To note, structural ensembles can also be provided to AMIGO. To do so, align the structures and provide the coordinates in a single .</w:t>
      </w:r>
      <w:proofErr w:type="spellStart"/>
      <w:r w:rsidRPr="00957CD5">
        <w:t>pdb</w:t>
      </w:r>
      <w:proofErr w:type="spellEnd"/>
      <w:r w:rsidRPr="00957CD5">
        <w:t xml:space="preserve"> file.</w:t>
      </w:r>
      <w:r w:rsidR="0022348D" w:rsidRPr="00957CD5">
        <w:t xml:space="preserve"> The NOEs of the two or more structures need </w:t>
      </w:r>
      <w:r w:rsidR="00A01BCD" w:rsidRPr="00957CD5">
        <w:t>to be submitted as</w:t>
      </w:r>
      <w:r w:rsidR="0022348D" w:rsidRPr="00957CD5">
        <w:t xml:space="preserve"> one </w:t>
      </w:r>
      <w:r w:rsidR="00101887" w:rsidRPr="00957CD5">
        <w:t xml:space="preserve">single </w:t>
      </w:r>
      <w:r w:rsidR="0022348D" w:rsidRPr="00957CD5">
        <w:t>N</w:t>
      </w:r>
      <w:r w:rsidR="00A01BCD" w:rsidRPr="00957CD5">
        <w:t>OE</w:t>
      </w:r>
      <w:r w:rsidR="0022348D" w:rsidRPr="00957CD5">
        <w:t xml:space="preserve"> list file.</w:t>
      </w:r>
    </w:p>
    <w:p w14:paraId="1E9E6FB0" w14:textId="4DED9923" w:rsidR="0022348D" w:rsidRPr="00957CD5" w:rsidRDefault="0022348D" w:rsidP="00D639CE">
      <w:pPr>
        <w:jc w:val="both"/>
      </w:pPr>
    </w:p>
    <w:p w14:paraId="0000006D" w14:textId="77777777" w:rsidR="00DD0CC6" w:rsidRPr="00957CD5" w:rsidRDefault="003771BF">
      <w:pPr>
        <w:jc w:val="both"/>
      </w:pPr>
      <w:r w:rsidRPr="00957CD5">
        <w:t>Upon completion of the assignments, AMIGO will produce a filed named</w:t>
      </w:r>
      <w:r w:rsidRPr="00957CD5">
        <w:rPr>
          <w:color w:val="843C0B"/>
        </w:rPr>
        <w:t xml:space="preserve"> results.txt </w:t>
      </w:r>
      <w:r w:rsidRPr="00957CD5">
        <w:t>within the same folder containing the assignments proposed and the methyl walks followed to obtain such assignments.</w:t>
      </w:r>
    </w:p>
    <w:p w14:paraId="0000006E" w14:textId="77777777" w:rsidR="00DD0CC6" w:rsidRPr="00957CD5" w:rsidRDefault="00DD0CC6">
      <w:pPr>
        <w:jc w:val="both"/>
      </w:pPr>
    </w:p>
    <w:p w14:paraId="0A40BDF1" w14:textId="77777777" w:rsidR="00101887" w:rsidRPr="00957CD5" w:rsidRDefault="00101887">
      <w:pPr>
        <w:jc w:val="both"/>
      </w:pPr>
    </w:p>
    <w:p w14:paraId="6E47A54E" w14:textId="77777777" w:rsidR="00101887" w:rsidRPr="00957CD5" w:rsidRDefault="00101887">
      <w:pPr>
        <w:jc w:val="both"/>
      </w:pPr>
    </w:p>
    <w:p w14:paraId="5336E55E" w14:textId="77777777" w:rsidR="00101887" w:rsidRPr="00957CD5" w:rsidRDefault="00101887">
      <w:pPr>
        <w:jc w:val="both"/>
      </w:pPr>
    </w:p>
    <w:p w14:paraId="0000006F" w14:textId="77777777" w:rsidR="00DD0CC6" w:rsidRPr="00957CD5" w:rsidRDefault="003771BF">
      <w:pPr>
        <w:pStyle w:val="berschrift2"/>
        <w:jc w:val="both"/>
      </w:pPr>
      <w:bookmarkStart w:id="3" w:name="_heading=h.yjlx91w21jtb" w:colFirst="0" w:colLast="0"/>
      <w:bookmarkEnd w:id="3"/>
      <w:r w:rsidRPr="00957CD5">
        <w:lastRenderedPageBreak/>
        <w:t>2.    How to adjust parameters and run AMIGO</w:t>
      </w:r>
    </w:p>
    <w:p w14:paraId="00000070" w14:textId="77777777" w:rsidR="00DD0CC6" w:rsidRPr="00957CD5" w:rsidRDefault="00DD0CC6">
      <w:pPr>
        <w:ind w:left="360"/>
        <w:jc w:val="both"/>
      </w:pPr>
    </w:p>
    <w:p w14:paraId="00000071" w14:textId="77777777" w:rsidR="00DD0CC6" w:rsidRPr="00957CD5" w:rsidRDefault="003771BF">
      <w:pPr>
        <w:jc w:val="both"/>
        <w:rPr>
          <w:color w:val="000000"/>
        </w:rPr>
      </w:pPr>
      <w:r w:rsidRPr="00957CD5">
        <w:t xml:space="preserve">AMIGO can be executed in using the file </w:t>
      </w:r>
      <w:r w:rsidRPr="00957CD5">
        <w:rPr>
          <w:i/>
          <w:color w:val="843C0B"/>
        </w:rPr>
        <w:t>run_AMIGO.sh</w:t>
      </w:r>
      <w:r w:rsidRPr="00957CD5">
        <w:t xml:space="preserve">. Typing </w:t>
      </w:r>
      <w:r w:rsidRPr="00957CD5">
        <w:rPr>
          <w:b/>
          <w:color w:val="843C0B"/>
        </w:rPr>
        <w:t>bash run_AMIGO.sh</w:t>
      </w:r>
      <w:r w:rsidRPr="00957CD5">
        <w:t xml:space="preserve"> will execute </w:t>
      </w:r>
      <w:r w:rsidRPr="00957CD5">
        <w:rPr>
          <w:i/>
          <w:color w:val="843C0B"/>
        </w:rPr>
        <w:t>AMIGO_non_interactive.py</w:t>
      </w:r>
      <w:r w:rsidRPr="00957CD5">
        <w:rPr>
          <w:color w:val="000000"/>
        </w:rPr>
        <w:t xml:space="preserve">, which reads the parameters from </w:t>
      </w:r>
      <w:r w:rsidRPr="00957CD5">
        <w:rPr>
          <w:i/>
          <w:color w:val="843C0B"/>
        </w:rPr>
        <w:t>run_AMIGO.sh</w:t>
      </w:r>
      <w:r w:rsidRPr="00957CD5">
        <w:rPr>
          <w:color w:val="000000"/>
        </w:rPr>
        <w:t xml:space="preserve"> and runs AMIGO.</w:t>
      </w:r>
      <w:r w:rsidRPr="00957CD5">
        <w:t xml:space="preserve"> The parameters are explained in the following.</w:t>
      </w:r>
    </w:p>
    <w:p w14:paraId="00000072" w14:textId="77777777" w:rsidR="00DD0CC6" w:rsidRPr="00957CD5" w:rsidRDefault="00DD0CC6">
      <w:pPr>
        <w:jc w:val="both"/>
        <w:rPr>
          <w:color w:val="000000"/>
        </w:rPr>
      </w:pPr>
    </w:p>
    <w:p w14:paraId="00000073" w14:textId="77777777" w:rsidR="00DD0CC6" w:rsidRPr="00957CD5" w:rsidRDefault="00000000" w:rsidP="5F5F2750">
      <w:pPr>
        <w:numPr>
          <w:ilvl w:val="1"/>
          <w:numId w:val="1"/>
        </w:numPr>
        <w:pBdr>
          <w:top w:val="nil"/>
          <w:left w:val="nil"/>
          <w:bottom w:val="nil"/>
          <w:right w:val="nil"/>
          <w:between w:val="nil"/>
        </w:pBdr>
        <w:jc w:val="both"/>
        <w:rPr>
          <w:b/>
          <w:bCs/>
          <w:color w:val="000000"/>
        </w:rPr>
      </w:pPr>
      <w:sdt>
        <w:sdtPr>
          <w:tag w:val="goog_rdk_1"/>
          <w:id w:val="-1885928644"/>
        </w:sdtPr>
        <w:sdtContent/>
      </w:sdt>
      <w:sdt>
        <w:sdtPr>
          <w:tag w:val="goog_rdk_2"/>
          <w:id w:val="-187977852"/>
        </w:sdtPr>
        <w:sdtContent/>
      </w:sdt>
      <w:r w:rsidR="5F5F2750" w:rsidRPr="00957CD5">
        <w:rPr>
          <w:b/>
          <w:bCs/>
          <w:color w:val="000000" w:themeColor="text1"/>
        </w:rPr>
        <w:t>Running the interactive version of AMIGO</w:t>
      </w:r>
    </w:p>
    <w:p w14:paraId="00000074" w14:textId="77777777" w:rsidR="00DD0CC6" w:rsidRPr="00957CD5" w:rsidRDefault="003771BF">
      <w:pPr>
        <w:jc w:val="both"/>
      </w:pPr>
      <w:r w:rsidRPr="00957CD5">
        <w:t xml:space="preserve">AMIGO needs several input parameters as explained in the corresponding tutorials provided on </w:t>
      </w:r>
      <w:proofErr w:type="spellStart"/>
      <w:r w:rsidRPr="00957CD5">
        <w:rPr>
          <w:i/>
        </w:rPr>
        <w:t>github</w:t>
      </w:r>
      <w:proofErr w:type="spellEnd"/>
      <w:r w:rsidRPr="00957CD5">
        <w:t xml:space="preserve">. One of them is the weighting factor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NOE</m:t>
            </m:r>
          </m:sub>
        </m:sSub>
      </m:oMath>
      <w:r w:rsidRPr="00957CD5">
        <w:rPr>
          <w:color w:val="000000"/>
        </w:rPr>
        <w:t xml:space="preserve"> in Eq. 2. The recommended value is 1.</w:t>
      </w:r>
    </w:p>
    <w:p w14:paraId="00000075" w14:textId="77777777" w:rsidR="00DD0CC6" w:rsidRPr="00957CD5" w:rsidRDefault="003771BF">
      <w:pPr>
        <w:jc w:val="both"/>
      </w:pPr>
      <w:r w:rsidRPr="00957CD5">
        <w:t xml:space="preserve">Additionally, AMIGO inquires the weight factors of the additional parameter restraints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i</m:t>
            </m:r>
          </m:sub>
        </m:sSub>
      </m:oMath>
      <w:r w:rsidRPr="00957CD5">
        <w:rPr>
          <w:color w:val="000000"/>
        </w:rPr>
        <w:t xml:space="preserve"> (Eq. 3), with </w:t>
      </w:r>
      <m:oMath>
        <m:r>
          <w:rPr>
            <w:rFonts w:ascii="Cambria Math" w:eastAsia="Cambria Math" w:hAnsi="Cambria Math" w:cs="Cambria Math"/>
            <w:color w:val="000000"/>
          </w:rPr>
          <m:t>i</m:t>
        </m:r>
      </m:oMath>
      <w:r w:rsidRPr="00957CD5">
        <w:rPr>
          <w:color w:val="000000"/>
        </w:rPr>
        <w:t xml:space="preserve"> being 1 to 4. A value of 0 indicates that for that specific</w:t>
      </w:r>
      <w:r w:rsidRPr="00957CD5">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i</m:t>
            </m:r>
          </m:sub>
        </m:sSub>
      </m:oMath>
      <w:r w:rsidRPr="00957CD5">
        <w:rPr>
          <w:color w:val="000000"/>
        </w:rPr>
        <w:t xml:space="preserve"> no data is available. Any other value indicates the presence of data. When pseudo contact shifts (PCS) are provided we recommend setting </w:t>
      </w:r>
      <w:r w:rsidRPr="00957CD5">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i</m:t>
            </m:r>
          </m:sub>
        </m:sSub>
      </m:oMath>
      <w:r w:rsidRPr="00957CD5">
        <w:rPr>
          <w:color w:val="000000"/>
        </w:rPr>
        <w:t xml:space="preserve"> to 100. Long range structural data corresponding to paramagnetic relaxation enhancements (PRE) have not been tested within the benchmark, but they can be used like PCS. </w:t>
      </w:r>
    </w:p>
    <w:p w14:paraId="00000076" w14:textId="77777777" w:rsidR="00DD0CC6" w:rsidRPr="00957CD5" w:rsidRDefault="00DD0CC6">
      <w:pPr>
        <w:jc w:val="center"/>
      </w:pPr>
    </w:p>
    <w:p w14:paraId="00000077" w14:textId="669091E3" w:rsidR="00DD0CC6" w:rsidRPr="00957CD5" w:rsidRDefault="003771BF">
      <w:pPr>
        <w:jc w:val="both"/>
      </w:pPr>
      <w:r w:rsidRPr="00957CD5">
        <w:t>Next, AMIGO allows to define an amino acid specific minimum and maximum distance cut-off between methyl groups to be explored when constructing the structural model building blocks. The size of each incremental step (</w:t>
      </w:r>
      <w:r w:rsidRPr="00957CD5">
        <w:rPr>
          <w:i/>
        </w:rPr>
        <w:t>distance step range</w:t>
      </w:r>
      <w:r w:rsidRPr="00957CD5">
        <w:t>) is also required. Typical values are 0.1 or 0.2 for optimal compromise between computational time and number of correct assignments. Higher confidence in the assignments can be obtained with values below 0.1, although at the cost of computation time. All distances are given in Å and with a single decimal. In case a certain amino acid type has not been isotopically l</w:t>
      </w:r>
      <w:r w:rsidR="00187526" w:rsidRPr="00957CD5">
        <w:t>abelled</w:t>
      </w:r>
      <w:r w:rsidRPr="00957CD5">
        <w:t xml:space="preserve">, the value 0 is to be used as minimum and maximum cut-off distances. In this case the distance step range = 1. </w:t>
      </w:r>
    </w:p>
    <w:p w14:paraId="00000078" w14:textId="77777777" w:rsidR="00DD0CC6" w:rsidRPr="00957CD5" w:rsidRDefault="00DD0CC6">
      <w:pPr>
        <w:jc w:val="both"/>
      </w:pPr>
    </w:p>
    <w:p w14:paraId="00000079" w14:textId="44602523" w:rsidR="00DD0CC6" w:rsidRPr="00957CD5" w:rsidRDefault="003771BF">
      <w:pPr>
        <w:jc w:val="both"/>
      </w:pPr>
      <w:r w:rsidRPr="00957CD5">
        <w:t xml:space="preserve">The last parameter required for running AMIGO is the number of potential starting points that should be considered. The value 1 would be corresponding to 100% of the methyl groups. Lower values can be used to save calculation time (e.g., 0.1 for only using the 10% most unique methyl groups), at the risk of a small increase in the number of unassigned methyl groups. </w:t>
      </w:r>
    </w:p>
    <w:p w14:paraId="0000007A" w14:textId="77777777" w:rsidR="00DD0CC6" w:rsidRPr="00957CD5" w:rsidRDefault="00DD0CC6">
      <w:pPr>
        <w:jc w:val="both"/>
      </w:pPr>
    </w:p>
    <w:p w14:paraId="0000007B" w14:textId="77777777" w:rsidR="00DD0CC6" w:rsidRPr="00957CD5" w:rsidRDefault="003771BF">
      <w:r w:rsidRPr="00957CD5">
        <w:t xml:space="preserve">AMIGO will show a progress count indicating the extent of the assignment completed after each iteration, allowing the user to estimate the time required until completion. </w:t>
      </w:r>
    </w:p>
    <w:p w14:paraId="0000007C" w14:textId="77777777" w:rsidR="00DD0CC6" w:rsidRPr="00957CD5" w:rsidRDefault="00DD0CC6">
      <w:pPr>
        <w:rPr>
          <w:b/>
          <w:color w:val="000000"/>
        </w:rPr>
      </w:pPr>
    </w:p>
    <w:p w14:paraId="0000007D" w14:textId="77777777" w:rsidR="00DD0CC6" w:rsidRPr="00957CD5" w:rsidRDefault="003771BF">
      <w:pPr>
        <w:jc w:val="both"/>
      </w:pPr>
      <w:r w:rsidRPr="00957CD5">
        <w:t>A full example including all parameters is given below:</w:t>
      </w:r>
    </w:p>
    <w:p w14:paraId="0000007E" w14:textId="77777777" w:rsidR="00DD0CC6" w:rsidRPr="00957CD5" w:rsidRDefault="00DD0CC6">
      <w:pPr>
        <w:jc w:val="both"/>
      </w:pPr>
    </w:p>
    <w:p w14:paraId="0000007F" w14:textId="77777777" w:rsidR="00DD0CC6" w:rsidRPr="00957CD5" w:rsidRDefault="003771BF">
      <w:pPr>
        <w:rPr>
          <w:color w:val="0070C0"/>
        </w:rPr>
      </w:pPr>
      <w:proofErr w:type="gramStart"/>
      <w:r w:rsidRPr="00957CD5">
        <w:rPr>
          <w:color w:val="0070C0"/>
        </w:rPr>
        <w:t>#!/</w:t>
      </w:r>
      <w:proofErr w:type="gramEnd"/>
      <w:r w:rsidRPr="00957CD5">
        <w:rPr>
          <w:color w:val="0070C0"/>
        </w:rPr>
        <w:t>bin/bash</w:t>
      </w:r>
    </w:p>
    <w:p w14:paraId="00000080" w14:textId="77777777" w:rsidR="00DD0CC6" w:rsidRPr="00957CD5" w:rsidRDefault="00DD0CC6">
      <w:pPr>
        <w:rPr>
          <w:color w:val="0070C0"/>
        </w:rPr>
      </w:pPr>
    </w:p>
    <w:p w14:paraId="00000081" w14:textId="77777777" w:rsidR="00DD0CC6" w:rsidRPr="00957CD5" w:rsidRDefault="003771BF">
      <w:pPr>
        <w:rPr>
          <w:color w:val="0070C0"/>
        </w:rPr>
      </w:pPr>
      <w:r w:rsidRPr="00957CD5">
        <w:rPr>
          <w:color w:val="0070C0"/>
        </w:rPr>
        <w:t>python AMIGO_non_interactive.py \</w:t>
      </w:r>
    </w:p>
    <w:p w14:paraId="00000082" w14:textId="77777777" w:rsidR="00DD0CC6" w:rsidRPr="00957CD5" w:rsidRDefault="003771BF">
      <w:pPr>
        <w:rPr>
          <w:color w:val="0070C0"/>
        </w:rPr>
      </w:pPr>
      <w:r w:rsidRPr="00957CD5">
        <w:rPr>
          <w:color w:val="0070C0"/>
        </w:rPr>
        <w:t>--</w:t>
      </w:r>
      <w:proofErr w:type="spellStart"/>
      <w:r w:rsidRPr="00957CD5">
        <w:rPr>
          <w:color w:val="0070C0"/>
        </w:rPr>
        <w:t>pdb_file</w:t>
      </w:r>
      <w:proofErr w:type="spellEnd"/>
      <w:r w:rsidRPr="00957CD5">
        <w:rPr>
          <w:color w:val="0070C0"/>
        </w:rPr>
        <w:t xml:space="preserve"> 4m2a_pro.pdb \</w:t>
      </w:r>
    </w:p>
    <w:p w14:paraId="00000083" w14:textId="77777777" w:rsidR="00DD0CC6" w:rsidRPr="00957CD5" w:rsidRDefault="003771BF">
      <w:pPr>
        <w:rPr>
          <w:color w:val="0070C0"/>
        </w:rPr>
      </w:pPr>
      <w:r w:rsidRPr="00957CD5">
        <w:rPr>
          <w:color w:val="0070C0"/>
        </w:rPr>
        <w:t>--</w:t>
      </w:r>
      <w:proofErr w:type="spellStart"/>
      <w:r w:rsidRPr="00957CD5">
        <w:rPr>
          <w:color w:val="0070C0"/>
        </w:rPr>
        <w:t>noe_file</w:t>
      </w:r>
      <w:proofErr w:type="spellEnd"/>
      <w:r w:rsidRPr="00957CD5">
        <w:rPr>
          <w:color w:val="0070C0"/>
        </w:rPr>
        <w:t xml:space="preserve"> noe.txt \</w:t>
      </w:r>
    </w:p>
    <w:p w14:paraId="00000084" w14:textId="77777777" w:rsidR="00DD0CC6" w:rsidRPr="00957CD5" w:rsidRDefault="003771BF">
      <w:pPr>
        <w:rPr>
          <w:color w:val="0070C0"/>
        </w:rPr>
      </w:pPr>
      <w:r w:rsidRPr="00957CD5">
        <w:rPr>
          <w:color w:val="0070C0"/>
        </w:rPr>
        <w:t>--</w:t>
      </w:r>
      <w:proofErr w:type="spellStart"/>
      <w:r w:rsidRPr="00957CD5">
        <w:rPr>
          <w:color w:val="0070C0"/>
        </w:rPr>
        <w:t>additional_measure_file</w:t>
      </w:r>
      <w:proofErr w:type="spellEnd"/>
      <w:r w:rsidRPr="00957CD5">
        <w:rPr>
          <w:color w:val="0070C0"/>
        </w:rPr>
        <w:t xml:space="preserve"> additional_measure.txt \</w:t>
      </w:r>
    </w:p>
    <w:p w14:paraId="00000085" w14:textId="77777777" w:rsidR="00DD0CC6" w:rsidRPr="00957CD5" w:rsidRDefault="003771BF">
      <w:pPr>
        <w:rPr>
          <w:color w:val="0070C0"/>
        </w:rPr>
      </w:pPr>
      <w:r w:rsidRPr="00957CD5">
        <w:rPr>
          <w:color w:val="0070C0"/>
        </w:rPr>
        <w:t>--</w:t>
      </w:r>
      <w:proofErr w:type="spellStart"/>
      <w:r w:rsidRPr="00957CD5">
        <w:rPr>
          <w:color w:val="0070C0"/>
        </w:rPr>
        <w:t>additional_xtal_file</w:t>
      </w:r>
      <w:proofErr w:type="spellEnd"/>
      <w:r w:rsidRPr="00957CD5">
        <w:rPr>
          <w:color w:val="0070C0"/>
        </w:rPr>
        <w:t xml:space="preserve"> additional_xtal.txt \</w:t>
      </w:r>
    </w:p>
    <w:p w14:paraId="00000086" w14:textId="77777777" w:rsidR="00DD0CC6" w:rsidRPr="00957CD5" w:rsidRDefault="003771BF">
      <w:pPr>
        <w:rPr>
          <w:color w:val="0070C0"/>
        </w:rPr>
      </w:pPr>
      <w:r w:rsidRPr="00957CD5">
        <w:rPr>
          <w:color w:val="0070C0"/>
        </w:rPr>
        <w:t>--</w:t>
      </w:r>
      <w:proofErr w:type="spellStart"/>
      <w:r w:rsidRPr="00957CD5">
        <w:rPr>
          <w:color w:val="0070C0"/>
        </w:rPr>
        <w:t>preassignments_file</w:t>
      </w:r>
      <w:proofErr w:type="spellEnd"/>
      <w:r w:rsidRPr="00957CD5">
        <w:rPr>
          <w:color w:val="0070C0"/>
        </w:rPr>
        <w:t xml:space="preserve"> preassignments.txt \</w:t>
      </w:r>
    </w:p>
    <w:p w14:paraId="00000087" w14:textId="77777777" w:rsidR="00DD0CC6" w:rsidRPr="00957CD5" w:rsidRDefault="003771BF">
      <w:pPr>
        <w:rPr>
          <w:color w:val="0070C0"/>
        </w:rPr>
      </w:pPr>
      <w:r w:rsidRPr="00957CD5">
        <w:rPr>
          <w:color w:val="0070C0"/>
        </w:rPr>
        <w:t>--</w:t>
      </w:r>
      <w:proofErr w:type="spellStart"/>
      <w:r w:rsidRPr="00957CD5">
        <w:rPr>
          <w:color w:val="0070C0"/>
        </w:rPr>
        <w:t>min_met</w:t>
      </w:r>
      <w:proofErr w:type="spellEnd"/>
      <w:r w:rsidRPr="00957CD5">
        <w:rPr>
          <w:color w:val="0070C0"/>
        </w:rPr>
        <w:t xml:space="preserve"> 3 \</w:t>
      </w:r>
    </w:p>
    <w:p w14:paraId="00000088" w14:textId="77777777" w:rsidR="00DD0CC6" w:rsidRPr="00957CD5" w:rsidRDefault="003771BF">
      <w:pPr>
        <w:rPr>
          <w:color w:val="0070C0"/>
        </w:rPr>
      </w:pPr>
      <w:r w:rsidRPr="00957CD5">
        <w:rPr>
          <w:color w:val="0070C0"/>
        </w:rPr>
        <w:t>--</w:t>
      </w:r>
      <w:proofErr w:type="spellStart"/>
      <w:r w:rsidRPr="00957CD5">
        <w:rPr>
          <w:color w:val="0070C0"/>
        </w:rPr>
        <w:t>max_met</w:t>
      </w:r>
      <w:proofErr w:type="spellEnd"/>
      <w:r w:rsidRPr="00957CD5">
        <w:rPr>
          <w:color w:val="0070C0"/>
        </w:rPr>
        <w:t xml:space="preserve"> 9 \</w:t>
      </w:r>
    </w:p>
    <w:p w14:paraId="00000089" w14:textId="77777777" w:rsidR="00DD0CC6" w:rsidRPr="00957CD5" w:rsidRDefault="003771BF">
      <w:pPr>
        <w:rPr>
          <w:color w:val="0070C0"/>
        </w:rPr>
      </w:pPr>
      <w:r w:rsidRPr="00957CD5">
        <w:rPr>
          <w:color w:val="0070C0"/>
        </w:rPr>
        <w:t>--</w:t>
      </w:r>
      <w:proofErr w:type="spellStart"/>
      <w:r w:rsidRPr="00957CD5">
        <w:rPr>
          <w:color w:val="0070C0"/>
        </w:rPr>
        <w:t>step_met</w:t>
      </w:r>
      <w:proofErr w:type="spellEnd"/>
      <w:r w:rsidRPr="00957CD5">
        <w:rPr>
          <w:color w:val="0070C0"/>
        </w:rPr>
        <w:t xml:space="preserve"> 0.2 \</w:t>
      </w:r>
    </w:p>
    <w:p w14:paraId="0000008A" w14:textId="77777777" w:rsidR="00DD0CC6" w:rsidRPr="00957CD5" w:rsidRDefault="003771BF">
      <w:pPr>
        <w:rPr>
          <w:color w:val="0070C0"/>
        </w:rPr>
      </w:pPr>
      <w:r w:rsidRPr="00957CD5">
        <w:rPr>
          <w:color w:val="0070C0"/>
        </w:rPr>
        <w:t>--</w:t>
      </w:r>
      <w:proofErr w:type="spellStart"/>
      <w:r w:rsidRPr="00957CD5">
        <w:rPr>
          <w:color w:val="0070C0"/>
        </w:rPr>
        <w:t>min_ile</w:t>
      </w:r>
      <w:proofErr w:type="spellEnd"/>
      <w:r w:rsidRPr="00957CD5">
        <w:rPr>
          <w:color w:val="0070C0"/>
        </w:rPr>
        <w:t xml:space="preserve"> 3 \</w:t>
      </w:r>
    </w:p>
    <w:p w14:paraId="0000008B" w14:textId="77777777" w:rsidR="00DD0CC6" w:rsidRPr="00957CD5" w:rsidRDefault="003771BF">
      <w:pPr>
        <w:rPr>
          <w:color w:val="0070C0"/>
          <w:lang w:val="de-DE"/>
        </w:rPr>
      </w:pPr>
      <w:r w:rsidRPr="00957CD5">
        <w:rPr>
          <w:color w:val="0070C0"/>
          <w:lang w:val="de-DE"/>
        </w:rPr>
        <w:t>--</w:t>
      </w:r>
      <w:proofErr w:type="spellStart"/>
      <w:r w:rsidRPr="00957CD5">
        <w:rPr>
          <w:color w:val="0070C0"/>
          <w:lang w:val="de-DE"/>
        </w:rPr>
        <w:t>max_ile</w:t>
      </w:r>
      <w:proofErr w:type="spellEnd"/>
      <w:r w:rsidRPr="00957CD5">
        <w:rPr>
          <w:color w:val="0070C0"/>
          <w:lang w:val="de-DE"/>
        </w:rPr>
        <w:t xml:space="preserve"> 9 \</w:t>
      </w:r>
    </w:p>
    <w:p w14:paraId="0000008C" w14:textId="77777777" w:rsidR="00DD0CC6" w:rsidRPr="00957CD5" w:rsidRDefault="003771BF">
      <w:pPr>
        <w:rPr>
          <w:color w:val="0070C0"/>
          <w:lang w:val="de-DE"/>
        </w:rPr>
      </w:pPr>
      <w:r w:rsidRPr="00957CD5">
        <w:rPr>
          <w:color w:val="0070C0"/>
          <w:lang w:val="de-DE"/>
        </w:rPr>
        <w:t>--</w:t>
      </w:r>
      <w:proofErr w:type="spellStart"/>
      <w:r w:rsidRPr="00957CD5">
        <w:rPr>
          <w:color w:val="0070C0"/>
          <w:lang w:val="de-DE"/>
        </w:rPr>
        <w:t>step_ile</w:t>
      </w:r>
      <w:proofErr w:type="spellEnd"/>
      <w:r w:rsidRPr="00957CD5">
        <w:rPr>
          <w:color w:val="0070C0"/>
          <w:lang w:val="de-DE"/>
        </w:rPr>
        <w:t xml:space="preserve"> 0.2 \</w:t>
      </w:r>
    </w:p>
    <w:p w14:paraId="0000008D" w14:textId="77777777" w:rsidR="00DD0CC6" w:rsidRPr="00957CD5" w:rsidRDefault="003771BF">
      <w:pPr>
        <w:rPr>
          <w:color w:val="0070C0"/>
          <w:lang w:val="de-DE"/>
        </w:rPr>
      </w:pPr>
      <w:r w:rsidRPr="00957CD5">
        <w:rPr>
          <w:color w:val="0070C0"/>
          <w:lang w:val="de-DE"/>
        </w:rPr>
        <w:t>--</w:t>
      </w:r>
      <w:proofErr w:type="spellStart"/>
      <w:r w:rsidRPr="00957CD5">
        <w:rPr>
          <w:color w:val="0070C0"/>
          <w:lang w:val="de-DE"/>
        </w:rPr>
        <w:t>min_leu</w:t>
      </w:r>
      <w:proofErr w:type="spellEnd"/>
      <w:r w:rsidRPr="00957CD5">
        <w:rPr>
          <w:color w:val="0070C0"/>
          <w:lang w:val="de-DE"/>
        </w:rPr>
        <w:t xml:space="preserve"> 3 \</w:t>
      </w:r>
    </w:p>
    <w:p w14:paraId="0000008E" w14:textId="77777777" w:rsidR="00DD0CC6" w:rsidRPr="00957CD5" w:rsidRDefault="003771BF">
      <w:pPr>
        <w:rPr>
          <w:color w:val="0070C0"/>
          <w:lang w:val="de-DE"/>
        </w:rPr>
      </w:pPr>
      <w:r w:rsidRPr="00957CD5">
        <w:rPr>
          <w:color w:val="0070C0"/>
          <w:lang w:val="de-DE"/>
        </w:rPr>
        <w:t>--</w:t>
      </w:r>
      <w:proofErr w:type="spellStart"/>
      <w:r w:rsidRPr="00957CD5">
        <w:rPr>
          <w:color w:val="0070C0"/>
          <w:lang w:val="de-DE"/>
        </w:rPr>
        <w:t>max_leu</w:t>
      </w:r>
      <w:proofErr w:type="spellEnd"/>
      <w:r w:rsidRPr="00957CD5">
        <w:rPr>
          <w:color w:val="0070C0"/>
          <w:lang w:val="de-DE"/>
        </w:rPr>
        <w:t xml:space="preserve"> 9 \</w:t>
      </w:r>
    </w:p>
    <w:p w14:paraId="0000008F" w14:textId="77777777" w:rsidR="00DD0CC6" w:rsidRPr="00957CD5" w:rsidRDefault="003771BF">
      <w:pPr>
        <w:rPr>
          <w:color w:val="0070C0"/>
        </w:rPr>
      </w:pPr>
      <w:r w:rsidRPr="00957CD5">
        <w:rPr>
          <w:color w:val="0070C0"/>
        </w:rPr>
        <w:lastRenderedPageBreak/>
        <w:t>--</w:t>
      </w:r>
      <w:proofErr w:type="spellStart"/>
      <w:r w:rsidRPr="00957CD5">
        <w:rPr>
          <w:color w:val="0070C0"/>
        </w:rPr>
        <w:t>step_leu</w:t>
      </w:r>
      <w:proofErr w:type="spellEnd"/>
      <w:r w:rsidRPr="00957CD5">
        <w:rPr>
          <w:color w:val="0070C0"/>
        </w:rPr>
        <w:t xml:space="preserve"> 0.2 \</w:t>
      </w:r>
    </w:p>
    <w:p w14:paraId="00000090" w14:textId="77777777" w:rsidR="00DD0CC6" w:rsidRPr="00957CD5" w:rsidRDefault="003771BF">
      <w:pPr>
        <w:rPr>
          <w:color w:val="0070C0"/>
        </w:rPr>
      </w:pPr>
      <w:r w:rsidRPr="00957CD5">
        <w:rPr>
          <w:color w:val="0070C0"/>
        </w:rPr>
        <w:t>--</w:t>
      </w:r>
      <w:proofErr w:type="spellStart"/>
      <w:r w:rsidRPr="00957CD5">
        <w:rPr>
          <w:color w:val="0070C0"/>
        </w:rPr>
        <w:t>min_val</w:t>
      </w:r>
      <w:proofErr w:type="spellEnd"/>
      <w:r w:rsidRPr="00957CD5">
        <w:rPr>
          <w:color w:val="0070C0"/>
        </w:rPr>
        <w:t xml:space="preserve"> 3 \</w:t>
      </w:r>
    </w:p>
    <w:p w14:paraId="00000091" w14:textId="77777777" w:rsidR="00DD0CC6" w:rsidRPr="00957CD5" w:rsidRDefault="003771BF">
      <w:pPr>
        <w:rPr>
          <w:color w:val="0070C0"/>
        </w:rPr>
      </w:pPr>
      <w:r w:rsidRPr="00957CD5">
        <w:rPr>
          <w:color w:val="0070C0"/>
        </w:rPr>
        <w:t>--</w:t>
      </w:r>
      <w:proofErr w:type="spellStart"/>
      <w:r w:rsidRPr="00957CD5">
        <w:rPr>
          <w:color w:val="0070C0"/>
        </w:rPr>
        <w:t>max_val</w:t>
      </w:r>
      <w:proofErr w:type="spellEnd"/>
      <w:r w:rsidRPr="00957CD5">
        <w:rPr>
          <w:color w:val="0070C0"/>
        </w:rPr>
        <w:t xml:space="preserve"> 9 \</w:t>
      </w:r>
    </w:p>
    <w:p w14:paraId="00000092" w14:textId="77777777" w:rsidR="00DD0CC6" w:rsidRPr="00957CD5" w:rsidRDefault="003771BF">
      <w:pPr>
        <w:rPr>
          <w:color w:val="0070C0"/>
        </w:rPr>
      </w:pPr>
      <w:r w:rsidRPr="00957CD5">
        <w:rPr>
          <w:color w:val="0070C0"/>
        </w:rPr>
        <w:t>--</w:t>
      </w:r>
      <w:proofErr w:type="spellStart"/>
      <w:r w:rsidRPr="00957CD5">
        <w:rPr>
          <w:color w:val="0070C0"/>
        </w:rPr>
        <w:t>step_val</w:t>
      </w:r>
      <w:proofErr w:type="spellEnd"/>
      <w:r w:rsidRPr="00957CD5">
        <w:rPr>
          <w:color w:val="0070C0"/>
        </w:rPr>
        <w:t xml:space="preserve"> 0.2 \</w:t>
      </w:r>
    </w:p>
    <w:p w14:paraId="00000093" w14:textId="77777777" w:rsidR="00DD0CC6" w:rsidRPr="00957CD5" w:rsidRDefault="003771BF">
      <w:pPr>
        <w:rPr>
          <w:color w:val="0070C0"/>
        </w:rPr>
      </w:pPr>
      <w:r w:rsidRPr="00957CD5">
        <w:rPr>
          <w:color w:val="0070C0"/>
        </w:rPr>
        <w:t>--</w:t>
      </w:r>
      <w:proofErr w:type="spellStart"/>
      <w:r w:rsidRPr="00957CD5">
        <w:rPr>
          <w:color w:val="0070C0"/>
        </w:rPr>
        <w:t>min_ala</w:t>
      </w:r>
      <w:proofErr w:type="spellEnd"/>
      <w:r w:rsidRPr="00957CD5">
        <w:rPr>
          <w:color w:val="0070C0"/>
        </w:rPr>
        <w:t xml:space="preserve"> 3 \</w:t>
      </w:r>
    </w:p>
    <w:p w14:paraId="00000094" w14:textId="77777777" w:rsidR="00DD0CC6" w:rsidRPr="00957CD5" w:rsidRDefault="003771BF">
      <w:pPr>
        <w:rPr>
          <w:color w:val="0070C0"/>
        </w:rPr>
      </w:pPr>
      <w:r w:rsidRPr="00957CD5">
        <w:rPr>
          <w:color w:val="0070C0"/>
        </w:rPr>
        <w:t>--</w:t>
      </w:r>
      <w:proofErr w:type="spellStart"/>
      <w:r w:rsidRPr="00957CD5">
        <w:rPr>
          <w:color w:val="0070C0"/>
        </w:rPr>
        <w:t>max_ala</w:t>
      </w:r>
      <w:proofErr w:type="spellEnd"/>
      <w:r w:rsidRPr="00957CD5">
        <w:rPr>
          <w:color w:val="0070C0"/>
        </w:rPr>
        <w:t xml:space="preserve"> 9 \</w:t>
      </w:r>
    </w:p>
    <w:p w14:paraId="00000095" w14:textId="77777777" w:rsidR="00DD0CC6" w:rsidRPr="00957CD5" w:rsidRDefault="003771BF">
      <w:pPr>
        <w:rPr>
          <w:color w:val="0070C0"/>
        </w:rPr>
      </w:pPr>
      <w:r w:rsidRPr="00957CD5">
        <w:rPr>
          <w:color w:val="0070C0"/>
        </w:rPr>
        <w:t>--</w:t>
      </w:r>
      <w:proofErr w:type="spellStart"/>
      <w:r w:rsidRPr="00957CD5">
        <w:rPr>
          <w:color w:val="0070C0"/>
        </w:rPr>
        <w:t>step_ala</w:t>
      </w:r>
      <w:proofErr w:type="spellEnd"/>
      <w:r w:rsidRPr="00957CD5">
        <w:rPr>
          <w:color w:val="0070C0"/>
        </w:rPr>
        <w:t xml:space="preserve"> 0.2 \</w:t>
      </w:r>
    </w:p>
    <w:p w14:paraId="00000096" w14:textId="77777777" w:rsidR="00DD0CC6" w:rsidRPr="00957CD5" w:rsidRDefault="003771BF">
      <w:pPr>
        <w:rPr>
          <w:color w:val="0070C0"/>
        </w:rPr>
      </w:pPr>
      <w:r w:rsidRPr="00957CD5">
        <w:rPr>
          <w:color w:val="0070C0"/>
        </w:rPr>
        <w:t>--</w:t>
      </w:r>
      <w:proofErr w:type="spellStart"/>
      <w:r w:rsidRPr="00957CD5">
        <w:rPr>
          <w:color w:val="0070C0"/>
        </w:rPr>
        <w:t>min_thr</w:t>
      </w:r>
      <w:proofErr w:type="spellEnd"/>
      <w:r w:rsidRPr="00957CD5">
        <w:rPr>
          <w:color w:val="0070C0"/>
        </w:rPr>
        <w:t xml:space="preserve"> 3 \</w:t>
      </w:r>
    </w:p>
    <w:p w14:paraId="00000097" w14:textId="77777777" w:rsidR="00DD0CC6" w:rsidRPr="00957CD5" w:rsidRDefault="003771BF">
      <w:pPr>
        <w:rPr>
          <w:color w:val="0070C0"/>
        </w:rPr>
      </w:pPr>
      <w:r w:rsidRPr="00957CD5">
        <w:rPr>
          <w:color w:val="0070C0"/>
        </w:rPr>
        <w:t>--</w:t>
      </w:r>
      <w:proofErr w:type="spellStart"/>
      <w:r w:rsidRPr="00957CD5">
        <w:rPr>
          <w:color w:val="0070C0"/>
        </w:rPr>
        <w:t>max_thr</w:t>
      </w:r>
      <w:proofErr w:type="spellEnd"/>
      <w:r w:rsidRPr="00957CD5">
        <w:rPr>
          <w:color w:val="0070C0"/>
        </w:rPr>
        <w:t xml:space="preserve"> 9 \</w:t>
      </w:r>
    </w:p>
    <w:p w14:paraId="00000098" w14:textId="77777777" w:rsidR="00DD0CC6" w:rsidRPr="00957CD5" w:rsidRDefault="003771BF">
      <w:pPr>
        <w:rPr>
          <w:color w:val="0070C0"/>
        </w:rPr>
      </w:pPr>
      <w:r w:rsidRPr="00957CD5">
        <w:rPr>
          <w:color w:val="0070C0"/>
        </w:rPr>
        <w:t>--</w:t>
      </w:r>
      <w:proofErr w:type="spellStart"/>
      <w:r w:rsidRPr="00957CD5">
        <w:rPr>
          <w:color w:val="0070C0"/>
        </w:rPr>
        <w:t>step_thr</w:t>
      </w:r>
      <w:proofErr w:type="spellEnd"/>
      <w:r w:rsidRPr="00957CD5">
        <w:rPr>
          <w:color w:val="0070C0"/>
        </w:rPr>
        <w:t xml:space="preserve"> 0.2 \</w:t>
      </w:r>
    </w:p>
    <w:p w14:paraId="00000099" w14:textId="77777777" w:rsidR="00DD0CC6" w:rsidRPr="00957CD5" w:rsidRDefault="003771BF">
      <w:pPr>
        <w:rPr>
          <w:color w:val="0070C0"/>
        </w:rPr>
      </w:pPr>
      <w:r w:rsidRPr="00957CD5">
        <w:rPr>
          <w:color w:val="0070C0"/>
        </w:rPr>
        <w:t>--</w:t>
      </w:r>
      <w:proofErr w:type="spellStart"/>
      <w:r w:rsidRPr="00957CD5">
        <w:rPr>
          <w:color w:val="0070C0"/>
        </w:rPr>
        <w:t>weight_noe</w:t>
      </w:r>
      <w:proofErr w:type="spellEnd"/>
      <w:r w:rsidRPr="00957CD5">
        <w:rPr>
          <w:color w:val="0070C0"/>
        </w:rPr>
        <w:t xml:space="preserve"> 1 \</w:t>
      </w:r>
    </w:p>
    <w:p w14:paraId="0000009A" w14:textId="77777777" w:rsidR="00DD0CC6" w:rsidRPr="00957CD5" w:rsidRDefault="003771BF">
      <w:pPr>
        <w:rPr>
          <w:color w:val="0070C0"/>
        </w:rPr>
      </w:pPr>
      <w:r w:rsidRPr="00957CD5">
        <w:rPr>
          <w:color w:val="0070C0"/>
        </w:rPr>
        <w:t>--weight_additional_resraint1 0 \</w:t>
      </w:r>
    </w:p>
    <w:p w14:paraId="0000009B" w14:textId="77777777" w:rsidR="00DD0CC6" w:rsidRPr="00957CD5" w:rsidRDefault="003771BF">
      <w:pPr>
        <w:rPr>
          <w:color w:val="0070C0"/>
        </w:rPr>
      </w:pPr>
      <w:r w:rsidRPr="00957CD5">
        <w:rPr>
          <w:color w:val="0070C0"/>
        </w:rPr>
        <w:t>--weight_additional_resraint2 0 \</w:t>
      </w:r>
    </w:p>
    <w:p w14:paraId="0000009C" w14:textId="77777777" w:rsidR="00DD0CC6" w:rsidRPr="00957CD5" w:rsidRDefault="003771BF">
      <w:pPr>
        <w:rPr>
          <w:color w:val="0070C0"/>
        </w:rPr>
      </w:pPr>
      <w:r w:rsidRPr="00957CD5">
        <w:rPr>
          <w:color w:val="0070C0"/>
        </w:rPr>
        <w:t>--weight_additional_resraint3 0 \</w:t>
      </w:r>
    </w:p>
    <w:p w14:paraId="0000009D" w14:textId="77777777" w:rsidR="00DD0CC6" w:rsidRPr="00957CD5" w:rsidRDefault="003771BF">
      <w:pPr>
        <w:rPr>
          <w:color w:val="0070C0"/>
        </w:rPr>
      </w:pPr>
      <w:r w:rsidRPr="00957CD5">
        <w:rPr>
          <w:color w:val="0070C0"/>
        </w:rPr>
        <w:t>--weight_additional_resraint4 0 \</w:t>
      </w:r>
    </w:p>
    <w:p w14:paraId="0000009E" w14:textId="77777777" w:rsidR="00DD0CC6" w:rsidRPr="00957CD5" w:rsidRDefault="003771BF">
      <w:pPr>
        <w:rPr>
          <w:color w:val="0070C0"/>
        </w:rPr>
      </w:pPr>
      <w:r w:rsidRPr="00957CD5">
        <w:rPr>
          <w:color w:val="0070C0"/>
        </w:rPr>
        <w:t>--</w:t>
      </w:r>
      <w:proofErr w:type="spellStart"/>
      <w:r w:rsidRPr="00957CD5">
        <w:rPr>
          <w:color w:val="0070C0"/>
        </w:rPr>
        <w:t>percentage_starting_points</w:t>
      </w:r>
      <w:proofErr w:type="spellEnd"/>
      <w:r w:rsidRPr="00957CD5">
        <w:rPr>
          <w:color w:val="0070C0"/>
        </w:rPr>
        <w:t xml:space="preserve"> 1 \</w:t>
      </w:r>
    </w:p>
    <w:p w14:paraId="0000009F" w14:textId="77777777" w:rsidR="00DD0CC6" w:rsidRPr="00957CD5" w:rsidRDefault="003771BF">
      <w:pPr>
        <w:rPr>
          <w:color w:val="0070C0"/>
        </w:rPr>
      </w:pPr>
      <w:r w:rsidRPr="00957CD5">
        <w:rPr>
          <w:color w:val="0070C0"/>
        </w:rPr>
        <w:t>--</w:t>
      </w:r>
      <w:proofErr w:type="spellStart"/>
      <w:r w:rsidRPr="00957CD5">
        <w:rPr>
          <w:color w:val="0070C0"/>
        </w:rPr>
        <w:t>val_scheme</w:t>
      </w:r>
      <w:proofErr w:type="spellEnd"/>
      <w:r w:rsidRPr="00957CD5">
        <w:rPr>
          <w:color w:val="0070C0"/>
        </w:rPr>
        <w:t xml:space="preserve"> </w:t>
      </w:r>
      <w:proofErr w:type="spellStart"/>
      <w:r w:rsidRPr="00957CD5">
        <w:rPr>
          <w:color w:val="0070C0"/>
        </w:rPr>
        <w:t>proS</w:t>
      </w:r>
      <w:proofErr w:type="spellEnd"/>
      <w:r w:rsidRPr="00957CD5">
        <w:rPr>
          <w:color w:val="0070C0"/>
        </w:rPr>
        <w:t xml:space="preserve"> \</w:t>
      </w:r>
    </w:p>
    <w:p w14:paraId="000000A0" w14:textId="77777777" w:rsidR="00DD0CC6" w:rsidRPr="00957CD5" w:rsidRDefault="003771BF">
      <w:pPr>
        <w:rPr>
          <w:color w:val="0070C0"/>
        </w:rPr>
      </w:pPr>
      <w:r w:rsidRPr="00957CD5">
        <w:rPr>
          <w:color w:val="0070C0"/>
        </w:rPr>
        <w:t>--</w:t>
      </w:r>
      <w:proofErr w:type="spellStart"/>
      <w:r w:rsidRPr="00957CD5">
        <w:rPr>
          <w:color w:val="0070C0"/>
        </w:rPr>
        <w:t>leu_scheme</w:t>
      </w:r>
      <w:proofErr w:type="spellEnd"/>
      <w:r w:rsidRPr="00957CD5">
        <w:rPr>
          <w:color w:val="0070C0"/>
        </w:rPr>
        <w:t xml:space="preserve"> </w:t>
      </w:r>
      <w:proofErr w:type="spellStart"/>
      <w:r w:rsidRPr="00957CD5">
        <w:rPr>
          <w:color w:val="0070C0"/>
        </w:rPr>
        <w:t>proS</w:t>
      </w:r>
      <w:proofErr w:type="spellEnd"/>
    </w:p>
    <w:p w14:paraId="000000A1" w14:textId="77777777" w:rsidR="00DD0CC6" w:rsidRPr="00957CD5" w:rsidRDefault="00DD0CC6">
      <w:pPr>
        <w:rPr>
          <w:color w:val="0070C0"/>
        </w:rPr>
      </w:pPr>
    </w:p>
    <w:p w14:paraId="000000A2" w14:textId="77777777" w:rsidR="00DD0CC6" w:rsidRPr="00957CD5" w:rsidRDefault="003771BF">
      <w:pPr>
        <w:rPr>
          <w:color w:val="000000"/>
        </w:rPr>
      </w:pPr>
      <w:r w:rsidRPr="00957CD5">
        <w:rPr>
          <w:color w:val="000000"/>
        </w:rPr>
        <w:t>use “</w:t>
      </w:r>
      <w:proofErr w:type="spellStart"/>
      <w:r w:rsidRPr="00957CD5">
        <w:rPr>
          <w:color w:val="000000"/>
        </w:rPr>
        <w:t>proS</w:t>
      </w:r>
      <w:proofErr w:type="spellEnd"/>
      <w:r w:rsidRPr="00957CD5">
        <w:rPr>
          <w:color w:val="000000"/>
        </w:rPr>
        <w:t>” “</w:t>
      </w:r>
      <w:proofErr w:type="spellStart"/>
      <w:r w:rsidRPr="00957CD5">
        <w:rPr>
          <w:color w:val="000000"/>
        </w:rPr>
        <w:t>proR</w:t>
      </w:r>
      <w:proofErr w:type="spellEnd"/>
      <w:r w:rsidRPr="00957CD5">
        <w:rPr>
          <w:color w:val="000000"/>
        </w:rPr>
        <w:t>” or “both” f</w:t>
      </w:r>
      <w:r w:rsidRPr="00957CD5">
        <w:t xml:space="preserve">or the Leu and Val </w:t>
      </w:r>
      <w:proofErr w:type="spellStart"/>
      <w:r w:rsidRPr="00957CD5">
        <w:t>labeling</w:t>
      </w:r>
      <w:proofErr w:type="spellEnd"/>
      <w:r w:rsidRPr="00957CD5">
        <w:t xml:space="preserve"> schemes.</w:t>
      </w:r>
    </w:p>
    <w:p w14:paraId="000000A3" w14:textId="77777777" w:rsidR="00DD0CC6" w:rsidRPr="00957CD5" w:rsidRDefault="00DD0CC6">
      <w:pPr>
        <w:rPr>
          <w:color w:val="0070C0"/>
        </w:rPr>
      </w:pPr>
    </w:p>
    <w:p w14:paraId="000000A4" w14:textId="77777777" w:rsidR="00DD0CC6" w:rsidRPr="00957CD5" w:rsidRDefault="00DD0CC6"/>
    <w:p w14:paraId="000000A5" w14:textId="77777777" w:rsidR="00DD0CC6" w:rsidRPr="00957CD5" w:rsidRDefault="4D7B1E14">
      <w:r w:rsidRPr="00957CD5">
        <w:t xml:space="preserve">For more information and complete tutorials see files and examples located in </w:t>
      </w:r>
      <w:hyperlink r:id="rId15">
        <w:r w:rsidRPr="00957CD5">
          <w:rPr>
            <w:color w:val="0563C1"/>
            <w:u w:val="single"/>
          </w:rPr>
          <w:t>https://github.com/ThorbenMaa/AMIGO</w:t>
        </w:r>
      </w:hyperlink>
      <w:r w:rsidRPr="00957CD5">
        <w:t>.</w:t>
      </w:r>
    </w:p>
    <w:p w14:paraId="000000A8" w14:textId="77777777" w:rsidR="00DD0CC6" w:rsidRPr="00957CD5" w:rsidRDefault="00DD0CC6"/>
    <w:p w14:paraId="000000A9" w14:textId="77777777" w:rsidR="00DD0CC6" w:rsidRPr="00957CD5" w:rsidRDefault="00DD0CC6"/>
    <w:p w14:paraId="000000AA" w14:textId="77777777" w:rsidR="00DD0CC6" w:rsidRPr="00957CD5" w:rsidRDefault="003771BF">
      <w:pPr>
        <w:pStyle w:val="berschrift2"/>
      </w:pPr>
      <w:r w:rsidRPr="00957CD5">
        <w:t>3.      Outputs generated by AMIGO to guide the assignment process</w:t>
      </w:r>
    </w:p>
    <w:p w14:paraId="000000AB" w14:textId="77777777" w:rsidR="00DD0CC6" w:rsidRPr="00957CD5" w:rsidRDefault="00DD0CC6"/>
    <w:p w14:paraId="000000AC" w14:textId="77777777" w:rsidR="00DD0CC6" w:rsidRPr="00957CD5" w:rsidRDefault="003771BF">
      <w:pPr>
        <w:jc w:val="both"/>
        <w:rPr>
          <w:b/>
        </w:rPr>
      </w:pPr>
      <w:r w:rsidRPr="00957CD5">
        <w:rPr>
          <w:b/>
        </w:rPr>
        <w:t xml:space="preserve">3.1 Text file </w:t>
      </w:r>
      <w:r w:rsidRPr="00957CD5">
        <w:rPr>
          <w:b/>
          <w:color w:val="843C0B"/>
        </w:rPr>
        <w:t>results.txt</w:t>
      </w:r>
    </w:p>
    <w:p w14:paraId="000000AD" w14:textId="77777777" w:rsidR="00DD0CC6" w:rsidRPr="00957CD5" w:rsidRDefault="003771BF">
      <w:pPr>
        <w:jc w:val="both"/>
      </w:pPr>
      <w:r w:rsidRPr="00957CD5">
        <w:t xml:space="preserve">AMIGO will generate a file </w:t>
      </w:r>
      <w:r w:rsidRPr="00957CD5">
        <w:rPr>
          <w:color w:val="843C0B"/>
        </w:rPr>
        <w:t xml:space="preserve">results.txt </w:t>
      </w:r>
      <w:r w:rsidRPr="00957CD5">
        <w:t xml:space="preserve">containing a list of the assignments, step-by-step methyl walks and other complementary data that can be used to evaluate the goodness of the assignment. We will illustrate the typical results produced by AMIGO with one example belonging to the assignment of </w:t>
      </w:r>
      <w:proofErr w:type="spellStart"/>
      <w:r w:rsidRPr="00957CD5">
        <w:t>LmUGP</w:t>
      </w:r>
      <w:proofErr w:type="spellEnd"/>
      <w:r w:rsidRPr="00957CD5">
        <w:t xml:space="preserve"> with the inclusion of CSPs, and using a cut-off distance range of 3 to 9.5 Å. The complete file can be found as part of the tested protein benchmark. This example illustrates the assignment of Leu 204 from the active node Leu 317. Leu 204 is the last amino acid assigned within a methyl walk started in Leu 107. The complete methyl walk up to the current active node is indicated by AMIGO as follows:</w:t>
      </w:r>
    </w:p>
    <w:p w14:paraId="000000AE" w14:textId="77777777" w:rsidR="00DD0CC6" w:rsidRPr="00957CD5" w:rsidRDefault="00DD0CC6">
      <w:pPr>
        <w:jc w:val="both"/>
      </w:pPr>
    </w:p>
    <w:p w14:paraId="000000AF" w14:textId="77777777" w:rsidR="00DD0CC6" w:rsidRPr="00957CD5" w:rsidRDefault="003771BF">
      <w:pPr>
        <w:jc w:val="both"/>
        <w:rPr>
          <w:color w:val="0070C0"/>
        </w:rPr>
      </w:pPr>
      <w:r w:rsidRPr="00957CD5">
        <w:rPr>
          <w:color w:val="0070C0"/>
        </w:rPr>
        <w:t>methyl walk (NMR//</w:t>
      </w:r>
      <w:proofErr w:type="spellStart"/>
      <w:r w:rsidRPr="00957CD5">
        <w:rPr>
          <w:color w:val="0070C0"/>
        </w:rPr>
        <w:t>pdb</w:t>
      </w:r>
      <w:proofErr w:type="spellEnd"/>
      <w:r w:rsidRPr="00957CD5">
        <w:rPr>
          <w:color w:val="0070C0"/>
        </w:rPr>
        <w:t>) : start =&gt; LEU 107 // LEU 107 =&gt; THR 139 // THR 139 =&gt; LEU 129 // LEU 129 =&gt; THR 110 // THR 110 =&gt; VAL 114 // VAL 114 =&gt; VAL 78 // VAL 78 =&gt; THR 76 // THR 76 =&gt; LEU 232 // LEU 232 =&gt; MET 235 // MET 235 =&gt; ILE 312 // ILE 312 =&gt; MET 215 // MET 215 =&gt; MET 128 // MET 128 =&gt; VAL 77 // VAL 77 =&gt; LEU 314 // LEU 314 =&gt; LEU 317 // LEU 317</w:t>
      </w:r>
    </w:p>
    <w:p w14:paraId="000000B0" w14:textId="77777777" w:rsidR="00DD0CC6" w:rsidRPr="00957CD5" w:rsidRDefault="00DD0CC6">
      <w:pPr>
        <w:jc w:val="both"/>
        <w:rPr>
          <w:color w:val="0070C0"/>
        </w:rPr>
      </w:pPr>
    </w:p>
    <w:p w14:paraId="000000B1" w14:textId="77777777" w:rsidR="00DD0CC6" w:rsidRPr="00957CD5" w:rsidRDefault="003771BF">
      <w:pPr>
        <w:jc w:val="both"/>
      </w:pPr>
      <w:r w:rsidRPr="00957CD5">
        <w:t xml:space="preserve">For every step in every methyl walk AMIGO shows all previous steps followed from the seminal assignment (Leu 107) to the active node (Leu 317). AMIGO will then display the current step in the methyl walk, showing the active node (Leu 317) and the next amino acid assigned in this methyl walk (Leu 204). It also shows that the NOE between Leu 204 and Leu 317 is generated by methyl groups located within 3.8 Å apart from each other, according to the crystal structure. Such information can be used to evaluate the goodness of the assignment. </w:t>
      </w:r>
      <w:r w:rsidRPr="00957CD5">
        <w:lastRenderedPageBreak/>
        <w:t>Assignments obtained through long-range NOEs are normally indicative of a low confidence assignment:</w:t>
      </w:r>
    </w:p>
    <w:p w14:paraId="000000B2" w14:textId="77777777" w:rsidR="00DD0CC6" w:rsidRPr="00957CD5" w:rsidRDefault="00DD0CC6">
      <w:pPr>
        <w:jc w:val="both"/>
      </w:pPr>
    </w:p>
    <w:p w14:paraId="000000B3" w14:textId="77777777" w:rsidR="00DD0CC6" w:rsidRPr="00957CD5" w:rsidRDefault="003771BF">
      <w:pPr>
        <w:jc w:val="both"/>
        <w:rPr>
          <w:color w:val="0070C0"/>
        </w:rPr>
      </w:pPr>
      <w:r w:rsidRPr="00957CD5">
        <w:rPr>
          <w:color w:val="0070C0"/>
        </w:rPr>
        <w:t xml:space="preserve">was extended with methyl group resonance: LEU 204 with NOEs to resonances LEU 317 / </w:t>
      </w:r>
    </w:p>
    <w:p w14:paraId="000000B4" w14:textId="77777777" w:rsidR="00DD0CC6" w:rsidRPr="00957CD5" w:rsidRDefault="003771BF">
      <w:pPr>
        <w:jc w:val="both"/>
        <w:rPr>
          <w:color w:val="0070C0"/>
        </w:rPr>
      </w:pPr>
      <w:r w:rsidRPr="00957CD5">
        <w:rPr>
          <w:color w:val="0070C0"/>
        </w:rPr>
        <w:t xml:space="preserve">and thereby assigned to </w:t>
      </w:r>
      <w:proofErr w:type="spellStart"/>
      <w:r w:rsidRPr="00957CD5">
        <w:rPr>
          <w:color w:val="0070C0"/>
        </w:rPr>
        <w:t>pdb</w:t>
      </w:r>
      <w:proofErr w:type="spellEnd"/>
      <w:r w:rsidRPr="00957CD5">
        <w:rPr>
          <w:color w:val="0070C0"/>
        </w:rPr>
        <w:t xml:space="preserve"> methyl group: LEU 204 with expected NOEs to LEU 317 / applying a cut-off distance of 3.8000000000000003 Angstroms  </w:t>
      </w:r>
    </w:p>
    <w:p w14:paraId="000000B5" w14:textId="77777777" w:rsidR="00DD0CC6" w:rsidRPr="00957CD5" w:rsidRDefault="00DD0CC6">
      <w:pPr>
        <w:jc w:val="both"/>
        <w:rPr>
          <w:color w:val="0070C0"/>
        </w:rPr>
      </w:pPr>
    </w:p>
    <w:p w14:paraId="000000B6" w14:textId="77777777" w:rsidR="00DD0CC6" w:rsidRPr="00957CD5" w:rsidRDefault="003771BF">
      <w:pPr>
        <w:jc w:val="both"/>
      </w:pPr>
      <w:r w:rsidRPr="00957CD5">
        <w:t>The next two lines show that the experimentally obtained and theoretically determined additional restraints are in very well agreement, further reassuring the assignment. Note that the value “999” is a placeholder for not determined values:</w:t>
      </w:r>
    </w:p>
    <w:p w14:paraId="000000B7" w14:textId="77777777" w:rsidR="00DD0CC6" w:rsidRPr="00957CD5" w:rsidRDefault="00DD0CC6">
      <w:pPr>
        <w:jc w:val="both"/>
      </w:pPr>
    </w:p>
    <w:p w14:paraId="000000B8" w14:textId="77777777" w:rsidR="00DD0CC6" w:rsidRPr="00957CD5" w:rsidRDefault="003771BF">
      <w:pPr>
        <w:jc w:val="both"/>
        <w:rPr>
          <w:color w:val="0070C0"/>
        </w:rPr>
      </w:pPr>
      <w:r w:rsidRPr="00957CD5">
        <w:rPr>
          <w:color w:val="0070C0"/>
        </w:rPr>
        <w:t>additional experimental restraints are [additional restraint 1, 2, 3 and 4]: [999.0, 0.021, 0.008, 999.0]</w:t>
      </w:r>
    </w:p>
    <w:p w14:paraId="000000B9" w14:textId="77777777" w:rsidR="00DD0CC6" w:rsidRPr="00957CD5" w:rsidRDefault="003771BF">
      <w:pPr>
        <w:jc w:val="both"/>
        <w:rPr>
          <w:color w:val="0070C0"/>
        </w:rPr>
      </w:pPr>
      <w:r w:rsidRPr="00957CD5">
        <w:rPr>
          <w:color w:val="0070C0"/>
        </w:rPr>
        <w:t>additional theoretical restraints are [additional restraint 1, 2, 3 and 4]: [999.0, 0.02028, 0.00536, 999.0]</w:t>
      </w:r>
    </w:p>
    <w:p w14:paraId="000000BA" w14:textId="77777777" w:rsidR="00DD0CC6" w:rsidRPr="00957CD5" w:rsidRDefault="00DD0CC6">
      <w:pPr>
        <w:jc w:val="both"/>
      </w:pPr>
    </w:p>
    <w:p w14:paraId="000000BB" w14:textId="77777777" w:rsidR="00DD0CC6" w:rsidRPr="00957CD5" w:rsidRDefault="003771BF">
      <w:pPr>
        <w:jc w:val="both"/>
      </w:pPr>
      <w:bookmarkStart w:id="4" w:name="_heading=h.ac0pk8wl3gfy" w:colFirst="0" w:colLast="0"/>
      <w:bookmarkEnd w:id="4"/>
      <w:r w:rsidRPr="00957CD5">
        <w:rPr>
          <w:b/>
        </w:rPr>
        <w:t>3.2 Methyl walk graphs on the NOE spectrum and on the structural model(s)</w:t>
      </w:r>
    </w:p>
    <w:p w14:paraId="000000BC" w14:textId="4FB629F3" w:rsidR="00DD0CC6" w:rsidRPr="00957CD5" w:rsidRDefault="003771BF">
      <w:pPr>
        <w:ind w:firstLine="720"/>
        <w:jc w:val="both"/>
        <w:sectPr w:rsidR="00DD0CC6" w:rsidRPr="00957CD5">
          <w:footerReference w:type="even" r:id="rId16"/>
          <w:footerReference w:type="default" r:id="rId17"/>
          <w:pgSz w:w="11906" w:h="16838"/>
          <w:pgMar w:top="1417" w:right="1417" w:bottom="1134" w:left="1417" w:header="708" w:footer="708" w:gutter="0"/>
          <w:pgNumType w:start="1"/>
          <w:cols w:space="720"/>
        </w:sectPr>
      </w:pPr>
      <w:r w:rsidRPr="00957CD5">
        <w:t>NOE-based (Figure S1) and structure-based (Figure S2) graphs are also created as part of the AMIGO results. They depict the path followed by AMIGO during the methyl walks. The nodes are c</w:t>
      </w:r>
      <w:r w:rsidR="00EB1CC3" w:rsidRPr="00957CD5">
        <w:t>olour</w:t>
      </w:r>
      <w:r w:rsidRPr="00957CD5">
        <w:t xml:space="preserve"> coded with the amino acid </w:t>
      </w:r>
      <w:r w:rsidR="008109DA" w:rsidRPr="00957CD5">
        <w:t>type and</w:t>
      </w:r>
      <w:r w:rsidRPr="00957CD5">
        <w:t xml:space="preserve"> annotated with the amino acid type and number. Edges indicate from which amino acid to which amino acid AMIGO jumped during the methyl walk. These graphs can be dynamically explored by the </w:t>
      </w:r>
      <w:r w:rsidR="008109DA" w:rsidRPr="00957CD5">
        <w:t>user and</w:t>
      </w:r>
      <w:r w:rsidRPr="00957CD5">
        <w:t xml:space="preserve"> allow an intuitive assessment of the path followed by AMIGO during the assignment in the NOESY spectrum and in the crystal structure(s). </w:t>
      </w:r>
    </w:p>
    <w:p w14:paraId="000000BD" w14:textId="06A76DDC" w:rsidR="00DD0CC6" w:rsidRPr="00957CD5" w:rsidRDefault="00457713">
      <w:r w:rsidRPr="00957CD5">
        <w:rPr>
          <w:noProof/>
        </w:rPr>
        <w:lastRenderedPageBreak/>
        <w:drawing>
          <wp:inline distT="0" distB="0" distL="0" distR="0" wp14:anchorId="602E4CF0" wp14:editId="224F882D">
            <wp:extent cx="8902700" cy="4673600"/>
            <wp:effectExtent l="0" t="0" r="0" b="0"/>
            <wp:docPr id="1645945748" name="Grafik 1" descr="Ein Bild, das Farbigkeit,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45748" name="Grafik 1" descr="Ein Bild, das Farbigkeit, Screenshot enthält.&#10;&#10;KI-generierte Inhalte können fehlerhaft sei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02700" cy="4673600"/>
                    </a:xfrm>
                    <a:prstGeom prst="rect">
                      <a:avLst/>
                    </a:prstGeom>
                  </pic:spPr>
                </pic:pic>
              </a:graphicData>
            </a:graphic>
          </wp:inline>
        </w:drawing>
      </w:r>
    </w:p>
    <w:p w14:paraId="000000BE" w14:textId="64976F54" w:rsidR="00DD0CC6" w:rsidRPr="00957CD5" w:rsidRDefault="003771BF">
      <w:pPr>
        <w:rPr>
          <w:sz w:val="20"/>
          <w:szCs w:val="20"/>
        </w:rPr>
      </w:pPr>
      <w:r w:rsidRPr="00957CD5">
        <w:rPr>
          <w:b/>
          <w:sz w:val="20"/>
          <w:szCs w:val="20"/>
        </w:rPr>
        <w:t xml:space="preserve">Fig. S1 Complete NOE-based graph observed for the protein </w:t>
      </w:r>
      <w:proofErr w:type="spellStart"/>
      <w:r w:rsidRPr="00957CD5">
        <w:rPr>
          <w:b/>
          <w:sz w:val="20"/>
          <w:szCs w:val="20"/>
        </w:rPr>
        <w:t>Lm</w:t>
      </w:r>
      <w:proofErr w:type="spellEnd"/>
      <w:r w:rsidRPr="00957CD5">
        <w:rPr>
          <w:b/>
          <w:sz w:val="20"/>
          <w:szCs w:val="20"/>
        </w:rPr>
        <w:t>-UGP showing the methyl walks.</w:t>
      </w:r>
      <w:r w:rsidRPr="00957CD5">
        <w:rPr>
          <w:sz w:val="20"/>
          <w:szCs w:val="20"/>
        </w:rPr>
        <w:t xml:space="preserve"> Amino acids are c</w:t>
      </w:r>
      <w:r w:rsidR="008113B4" w:rsidRPr="00957CD5">
        <w:rPr>
          <w:sz w:val="20"/>
          <w:szCs w:val="20"/>
        </w:rPr>
        <w:t>olour</w:t>
      </w:r>
      <w:r w:rsidRPr="00957CD5">
        <w:rPr>
          <w:sz w:val="20"/>
          <w:szCs w:val="20"/>
        </w:rPr>
        <w:t xml:space="preserve">-coded as follows: Ala in pale blue, Ile in orange, Leu in yellow, Met in red, </w:t>
      </w:r>
      <w:proofErr w:type="spellStart"/>
      <w:r w:rsidRPr="00957CD5">
        <w:rPr>
          <w:sz w:val="20"/>
          <w:szCs w:val="20"/>
        </w:rPr>
        <w:t>Thr</w:t>
      </w:r>
      <w:proofErr w:type="spellEnd"/>
      <w:r w:rsidRPr="00957CD5">
        <w:rPr>
          <w:sz w:val="20"/>
          <w:szCs w:val="20"/>
        </w:rPr>
        <w:t xml:space="preserve"> in green and Val in dark blue. Arrows indicate the path followed by AMIGO during the methyl walks.</w:t>
      </w:r>
    </w:p>
    <w:p w14:paraId="000000BF" w14:textId="77777777" w:rsidR="00DD0CC6" w:rsidRPr="00957CD5" w:rsidRDefault="00DD0CC6">
      <w:pPr>
        <w:rPr>
          <w:sz w:val="20"/>
          <w:szCs w:val="20"/>
        </w:rPr>
      </w:pPr>
    </w:p>
    <w:p w14:paraId="000000C0" w14:textId="4C4B7460" w:rsidR="00DD0CC6" w:rsidRPr="00957CD5" w:rsidRDefault="00457713">
      <w:r w:rsidRPr="00957CD5">
        <w:rPr>
          <w:noProof/>
        </w:rPr>
        <w:lastRenderedPageBreak/>
        <w:drawing>
          <wp:inline distT="0" distB="0" distL="0" distR="0" wp14:anchorId="05BC639F" wp14:editId="77F237B1">
            <wp:extent cx="8636000" cy="4521200"/>
            <wp:effectExtent l="0" t="0" r="0" b="0"/>
            <wp:docPr id="1565405248" name="Grafik 2" descr="Ein Bild, das Farbigkeit, Screenshot, Lich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05248" name="Grafik 2" descr="Ein Bild, das Farbigkeit, Screenshot, Licht enthält.&#10;&#10;KI-generierte Inhalte können fehlerhaft sei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636000" cy="4521200"/>
                    </a:xfrm>
                    <a:prstGeom prst="rect">
                      <a:avLst/>
                    </a:prstGeom>
                  </pic:spPr>
                </pic:pic>
              </a:graphicData>
            </a:graphic>
          </wp:inline>
        </w:drawing>
      </w:r>
    </w:p>
    <w:p w14:paraId="000000C1" w14:textId="2096C9CD" w:rsidR="00DD0CC6" w:rsidRPr="00957CD5" w:rsidRDefault="003771BF">
      <w:pPr>
        <w:rPr>
          <w:sz w:val="20"/>
          <w:szCs w:val="20"/>
        </w:rPr>
        <w:sectPr w:rsidR="00DD0CC6" w:rsidRPr="00957CD5">
          <w:pgSz w:w="16838" w:h="11906" w:orient="landscape"/>
          <w:pgMar w:top="1417" w:right="1134" w:bottom="1417" w:left="1417" w:header="708" w:footer="708" w:gutter="0"/>
          <w:cols w:space="720"/>
        </w:sectPr>
      </w:pPr>
      <w:r w:rsidRPr="00957CD5">
        <w:rPr>
          <w:b/>
          <w:sz w:val="20"/>
          <w:szCs w:val="20"/>
        </w:rPr>
        <w:t>Fig. S2</w:t>
      </w:r>
      <w:r w:rsidRPr="00957CD5">
        <w:rPr>
          <w:sz w:val="20"/>
          <w:szCs w:val="20"/>
        </w:rPr>
        <w:t xml:space="preserve"> </w:t>
      </w:r>
      <w:r w:rsidRPr="00957CD5">
        <w:rPr>
          <w:b/>
          <w:sz w:val="20"/>
          <w:szCs w:val="20"/>
        </w:rPr>
        <w:t xml:space="preserve">Structure-based graph created for the protein </w:t>
      </w:r>
      <w:proofErr w:type="spellStart"/>
      <w:r w:rsidRPr="00957CD5">
        <w:rPr>
          <w:b/>
          <w:sz w:val="20"/>
          <w:szCs w:val="20"/>
        </w:rPr>
        <w:t>Lm</w:t>
      </w:r>
      <w:proofErr w:type="spellEnd"/>
      <w:r w:rsidRPr="00957CD5">
        <w:rPr>
          <w:b/>
          <w:sz w:val="20"/>
          <w:szCs w:val="20"/>
        </w:rPr>
        <w:t xml:space="preserve">-UGP showing the methyl walks </w:t>
      </w:r>
      <w:r w:rsidRPr="00957CD5">
        <w:rPr>
          <w:sz w:val="20"/>
          <w:szCs w:val="20"/>
        </w:rPr>
        <w:t>(</w:t>
      </w:r>
      <w:proofErr w:type="spellStart"/>
      <w:r w:rsidRPr="00957CD5">
        <w:rPr>
          <w:sz w:val="20"/>
          <w:szCs w:val="20"/>
        </w:rPr>
        <w:t>pdb</w:t>
      </w:r>
      <w:proofErr w:type="spellEnd"/>
      <w:r w:rsidRPr="00957CD5">
        <w:rPr>
          <w:sz w:val="20"/>
          <w:szCs w:val="20"/>
        </w:rPr>
        <w:t xml:space="preserve"> code 4m2a). Amino acids are c</w:t>
      </w:r>
      <w:r w:rsidR="008113B4" w:rsidRPr="00957CD5">
        <w:rPr>
          <w:sz w:val="20"/>
          <w:szCs w:val="20"/>
        </w:rPr>
        <w:t>olour</w:t>
      </w:r>
      <w:r w:rsidRPr="00957CD5">
        <w:rPr>
          <w:sz w:val="20"/>
          <w:szCs w:val="20"/>
        </w:rPr>
        <w:t xml:space="preserve">-coded as follows: Ala in pale blue, Ile in orange, Leu in yellow, Met in red, </w:t>
      </w:r>
      <w:proofErr w:type="spellStart"/>
      <w:r w:rsidRPr="00957CD5">
        <w:rPr>
          <w:sz w:val="20"/>
          <w:szCs w:val="20"/>
        </w:rPr>
        <w:t>Thr</w:t>
      </w:r>
      <w:proofErr w:type="spellEnd"/>
      <w:r w:rsidRPr="00957CD5">
        <w:rPr>
          <w:sz w:val="20"/>
          <w:szCs w:val="20"/>
        </w:rPr>
        <w:t xml:space="preserve"> in green and Val in dark blue. Arrows indicate the path followed by AMIGO during the methyl walks.</w:t>
      </w:r>
    </w:p>
    <w:p w14:paraId="000000C2" w14:textId="77777777" w:rsidR="00DD0CC6" w:rsidRPr="00957CD5" w:rsidRDefault="003771BF">
      <w:pPr>
        <w:keepNext/>
        <w:rPr>
          <w:b/>
        </w:rPr>
      </w:pPr>
      <w:r w:rsidRPr="00957CD5">
        <w:rPr>
          <w:b/>
        </w:rPr>
        <w:lastRenderedPageBreak/>
        <w:t>3.3 Validation of assignment using experimentally and theoretically determined additional restraints</w:t>
      </w:r>
    </w:p>
    <w:p w14:paraId="000000C3" w14:textId="77777777" w:rsidR="00DD0CC6" w:rsidRPr="00957CD5" w:rsidRDefault="003771BF">
      <w:pPr>
        <w:jc w:val="both"/>
        <w:rPr>
          <w:b/>
        </w:rPr>
      </w:pPr>
      <w:r w:rsidRPr="00957CD5">
        <w:t>For good assignment solutions, experimental and theoretical values should follow a linear correlation (in this case PCS). Such correlation figures are automatically generated by AMIGO (Figure S3). Plotting the data shows that measured and theoretically determined values are in good agreement, validating the assignment independently.</w:t>
      </w:r>
    </w:p>
    <w:p w14:paraId="000000C4" w14:textId="77777777" w:rsidR="00DD0CC6" w:rsidRPr="00957CD5" w:rsidRDefault="00DD0CC6">
      <w:pPr>
        <w:keepNext/>
      </w:pPr>
    </w:p>
    <w:p w14:paraId="000000C5" w14:textId="77777777" w:rsidR="00DD0CC6" w:rsidRPr="00957CD5" w:rsidRDefault="003771BF">
      <w:pPr>
        <w:pBdr>
          <w:top w:val="nil"/>
          <w:left w:val="nil"/>
          <w:bottom w:val="nil"/>
          <w:right w:val="nil"/>
          <w:between w:val="nil"/>
        </w:pBdr>
        <w:spacing w:after="200"/>
        <w:rPr>
          <w:b/>
          <w:color w:val="000000"/>
        </w:rPr>
      </w:pPr>
      <w:r w:rsidRPr="00957CD5">
        <w:rPr>
          <w:b/>
          <w:noProof/>
          <w:color w:val="000000"/>
        </w:rPr>
        <w:drawing>
          <wp:inline distT="0" distB="0" distL="0" distR="0" wp14:anchorId="0E5FFFEA" wp14:editId="13E9690F">
            <wp:extent cx="5760720" cy="5760720"/>
            <wp:effectExtent l="0" t="0" r="0" b="0"/>
            <wp:docPr id="201437154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5760720" cy="5760720"/>
                    </a:xfrm>
                    <a:prstGeom prst="rect">
                      <a:avLst/>
                    </a:prstGeom>
                    <a:ln/>
                  </pic:spPr>
                </pic:pic>
              </a:graphicData>
            </a:graphic>
          </wp:inline>
        </w:drawing>
      </w:r>
    </w:p>
    <w:p w14:paraId="000000C6" w14:textId="77777777" w:rsidR="00DD0CC6" w:rsidRPr="00957CD5" w:rsidRDefault="003771BF">
      <w:pPr>
        <w:pBdr>
          <w:top w:val="nil"/>
          <w:left w:val="nil"/>
          <w:bottom w:val="nil"/>
          <w:right w:val="nil"/>
          <w:between w:val="nil"/>
        </w:pBdr>
        <w:spacing w:after="200"/>
        <w:rPr>
          <w:color w:val="000000"/>
          <w:sz w:val="20"/>
          <w:szCs w:val="20"/>
        </w:rPr>
      </w:pPr>
      <w:bookmarkStart w:id="5" w:name="_heading=h.uxcmp96myipu" w:colFirst="0" w:colLast="0"/>
      <w:bookmarkEnd w:id="5"/>
      <w:r w:rsidRPr="00957CD5">
        <w:rPr>
          <w:b/>
          <w:color w:val="000000"/>
          <w:sz w:val="20"/>
          <w:szCs w:val="20"/>
        </w:rPr>
        <w:t xml:space="preserve">Fig. S3 Example for assignment validation using experimentally and theoretically determined additional restraints (PCSs) for the </w:t>
      </w:r>
      <w:proofErr w:type="spellStart"/>
      <w:r w:rsidRPr="00957CD5">
        <w:rPr>
          <w:b/>
          <w:color w:val="000000"/>
          <w:sz w:val="20"/>
          <w:szCs w:val="20"/>
        </w:rPr>
        <w:t>LmUGP</w:t>
      </w:r>
      <w:proofErr w:type="spellEnd"/>
      <w:r w:rsidRPr="00957CD5">
        <w:rPr>
          <w:b/>
          <w:color w:val="000000"/>
          <w:sz w:val="20"/>
          <w:szCs w:val="20"/>
        </w:rPr>
        <w:t xml:space="preserve"> data set.</w:t>
      </w:r>
      <w:r w:rsidRPr="00957CD5">
        <w:rPr>
          <w:color w:val="000000"/>
          <w:sz w:val="20"/>
          <w:szCs w:val="20"/>
        </w:rPr>
        <w:t xml:space="preserve"> (</w:t>
      </w:r>
      <w:r w:rsidRPr="00957CD5">
        <w:rPr>
          <w:i/>
          <w:color w:val="000000"/>
          <w:sz w:val="20"/>
          <w:szCs w:val="20"/>
        </w:rPr>
        <w:t>From top to bottom and from left to right</w:t>
      </w:r>
      <w:r w:rsidRPr="00957CD5">
        <w:rPr>
          <w:color w:val="000000"/>
          <w:sz w:val="20"/>
          <w:szCs w:val="20"/>
        </w:rPr>
        <w:t>) Panels correspond to PCS from Tb</w:t>
      </w:r>
      <w:r w:rsidRPr="00957CD5">
        <w:rPr>
          <w:color w:val="000000"/>
          <w:sz w:val="20"/>
          <w:szCs w:val="20"/>
          <w:vertAlign w:val="superscript"/>
        </w:rPr>
        <w:t>3+</w:t>
      </w:r>
      <w:r w:rsidRPr="00957CD5">
        <w:rPr>
          <w:color w:val="000000"/>
          <w:sz w:val="20"/>
          <w:szCs w:val="20"/>
        </w:rPr>
        <w:t xml:space="preserve"> (additional restraint 1), Ce</w:t>
      </w:r>
      <w:r w:rsidRPr="00957CD5">
        <w:rPr>
          <w:color w:val="000000"/>
          <w:sz w:val="20"/>
          <w:szCs w:val="20"/>
          <w:vertAlign w:val="superscript"/>
        </w:rPr>
        <w:t>3+</w:t>
      </w:r>
      <w:r w:rsidRPr="00957CD5">
        <w:rPr>
          <w:color w:val="000000"/>
          <w:sz w:val="20"/>
          <w:szCs w:val="20"/>
        </w:rPr>
        <w:t xml:space="preserve"> (additional restraint 2) and Eu</w:t>
      </w:r>
      <w:r w:rsidRPr="00957CD5">
        <w:rPr>
          <w:color w:val="000000"/>
          <w:sz w:val="20"/>
          <w:szCs w:val="20"/>
          <w:vertAlign w:val="superscript"/>
        </w:rPr>
        <w:t>3+</w:t>
      </w:r>
      <w:r w:rsidRPr="00957CD5">
        <w:rPr>
          <w:color w:val="000000"/>
          <w:sz w:val="20"/>
          <w:szCs w:val="20"/>
        </w:rPr>
        <w:t xml:space="preserve"> (additional restraint 3). Values are in ppm.</w:t>
      </w:r>
    </w:p>
    <w:p w14:paraId="000000C7" w14:textId="77777777" w:rsidR="00DD0CC6" w:rsidRPr="00957CD5" w:rsidRDefault="00DD0CC6">
      <w:pPr>
        <w:pBdr>
          <w:top w:val="nil"/>
          <w:left w:val="nil"/>
          <w:bottom w:val="nil"/>
          <w:right w:val="nil"/>
          <w:between w:val="nil"/>
        </w:pBdr>
        <w:spacing w:after="200"/>
        <w:rPr>
          <w:b/>
          <w:color w:val="000000"/>
        </w:rPr>
      </w:pPr>
    </w:p>
    <w:p w14:paraId="000000C8" w14:textId="77777777" w:rsidR="00DD0CC6" w:rsidRPr="00957CD5" w:rsidRDefault="00DD0CC6">
      <w:pPr>
        <w:rPr>
          <w:color w:val="000000"/>
        </w:rPr>
      </w:pPr>
    </w:p>
    <w:p w14:paraId="000000C9" w14:textId="77777777" w:rsidR="00DD0CC6" w:rsidRPr="00957CD5" w:rsidRDefault="00DD0CC6">
      <w:pPr>
        <w:rPr>
          <w:color w:val="000000"/>
        </w:rPr>
      </w:pPr>
    </w:p>
    <w:p w14:paraId="000000CA" w14:textId="77777777" w:rsidR="00DD0CC6" w:rsidRPr="00957CD5" w:rsidRDefault="00DD0CC6">
      <w:pPr>
        <w:rPr>
          <w:color w:val="000000"/>
        </w:rPr>
      </w:pPr>
    </w:p>
    <w:p w14:paraId="000000CB" w14:textId="77777777" w:rsidR="00DD0CC6" w:rsidRPr="00957CD5" w:rsidRDefault="00DD0CC6">
      <w:pPr>
        <w:rPr>
          <w:color w:val="000000"/>
        </w:rPr>
      </w:pPr>
    </w:p>
    <w:p w14:paraId="000000CC" w14:textId="77777777" w:rsidR="00DD0CC6" w:rsidRPr="00957CD5" w:rsidRDefault="00DD0CC6">
      <w:pPr>
        <w:rPr>
          <w:color w:val="000000"/>
        </w:rPr>
      </w:pPr>
    </w:p>
    <w:p w14:paraId="000000CD" w14:textId="19C87857" w:rsidR="00DD0CC6" w:rsidRPr="00957CD5" w:rsidRDefault="003771BF">
      <w:pPr>
        <w:jc w:val="both"/>
        <w:rPr>
          <w:b/>
          <w:u w:val="single"/>
        </w:rPr>
      </w:pPr>
      <w:r w:rsidRPr="00957CD5">
        <w:rPr>
          <w:b/>
          <w:u w:val="single"/>
        </w:rPr>
        <w:t>Parameter o</w:t>
      </w:r>
      <w:r w:rsidR="00DB582A" w:rsidRPr="00957CD5">
        <w:rPr>
          <w:b/>
          <w:u w:val="single"/>
        </w:rPr>
        <w:t>ptimis</w:t>
      </w:r>
      <w:r w:rsidRPr="00957CD5">
        <w:rPr>
          <w:b/>
          <w:u w:val="single"/>
        </w:rPr>
        <w:t>ation</w:t>
      </w:r>
    </w:p>
    <w:p w14:paraId="000000CE" w14:textId="77777777" w:rsidR="00DD0CC6" w:rsidRPr="00957CD5" w:rsidRDefault="00DD0CC6">
      <w:pPr>
        <w:jc w:val="both"/>
        <w:rPr>
          <w:b/>
        </w:rPr>
      </w:pPr>
    </w:p>
    <w:p w14:paraId="000000CF" w14:textId="4DFAB0EB" w:rsidR="00DD0CC6" w:rsidRPr="00957CD5" w:rsidRDefault="003771BF" w:rsidP="009E6A38">
      <w:pPr>
        <w:pBdr>
          <w:top w:val="nil"/>
          <w:left w:val="nil"/>
          <w:bottom w:val="nil"/>
          <w:right w:val="nil"/>
          <w:between w:val="nil"/>
        </w:pBdr>
        <w:ind w:firstLine="720"/>
        <w:jc w:val="both"/>
        <w:rPr>
          <w:color w:val="000000"/>
        </w:rPr>
      </w:pPr>
      <w:r w:rsidRPr="00957CD5">
        <w:rPr>
          <w:color w:val="000000"/>
        </w:rPr>
        <w:t xml:space="preserve">The following parameters were used to evaluate AMIGO’s performance across the benchmark proteins. Initially, cut-off distance ranges for each amino acid type bearing methyl groups were selected by performing test runs on each protein using only the 10% of methyl groups with the </w:t>
      </w:r>
      <w:r w:rsidR="002C1ED2" w:rsidRPr="00957CD5">
        <w:rPr>
          <w:color w:val="000000"/>
        </w:rPr>
        <w:t>highest</w:t>
      </w:r>
      <w:r w:rsidRPr="00957CD5">
        <w:rPr>
          <w:color w:val="000000"/>
        </w:rPr>
        <w:t xml:space="preserve"> </w:t>
      </w:r>
      <w:r w:rsidR="002C1ED2" w:rsidRPr="00957CD5">
        <w:rPr>
          <w:i/>
          <w:iCs/>
          <w:color w:val="000000"/>
        </w:rPr>
        <w:t xml:space="preserve">rarity </w:t>
      </w:r>
      <w:r w:rsidRPr="00957CD5">
        <w:rPr>
          <w:i/>
          <w:iCs/>
          <w:color w:val="000000"/>
        </w:rPr>
        <w:t>score</w:t>
      </w:r>
      <w:r w:rsidRPr="00957CD5">
        <w:rPr>
          <w:color w:val="000000"/>
        </w:rPr>
        <w:t xml:space="preserve"> NMR graph building blocks as potential methyl walk starting points. Cut-off distances ranged from 3.0 Å to 7.0</w:t>
      </w:r>
      <w:r w:rsidRPr="00957CD5">
        <w:t xml:space="preserve">, 7.5, 8, 8.5, 9, 9.5, and </w:t>
      </w:r>
      <w:r w:rsidRPr="00957CD5">
        <w:rPr>
          <w:color w:val="000000"/>
        </w:rPr>
        <w:t>1</w:t>
      </w:r>
      <w:r w:rsidRPr="00957CD5">
        <w:t>0</w:t>
      </w:r>
      <w:r w:rsidRPr="00957CD5">
        <w:rPr>
          <w:color w:val="000000"/>
        </w:rPr>
        <w:t>.0 Å in 0.</w:t>
      </w:r>
      <w:r w:rsidRPr="00957CD5">
        <w:t>1 or 0.2</w:t>
      </w:r>
      <w:r w:rsidRPr="00957CD5">
        <w:rPr>
          <w:color w:val="000000"/>
        </w:rPr>
        <w:t xml:space="preserve"> Å increments (Fig. S</w:t>
      </w:r>
      <w:r w:rsidRPr="00957CD5">
        <w:t>12</w:t>
      </w:r>
      <w:r w:rsidRPr="00957CD5">
        <w:rPr>
          <w:color w:val="000000"/>
        </w:rPr>
        <w:t xml:space="preserve">). The NOE weighting factor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NOE</m:t>
            </m:r>
          </m:sub>
        </m:sSub>
      </m:oMath>
      <w:r w:rsidRPr="00957CD5">
        <w:rPr>
          <w:color w:val="000000"/>
        </w:rPr>
        <w:t xml:space="preserve"> was fixed at 1 (Eq. 5), and additional restraint weights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i</m:t>
            </m:r>
          </m:sub>
        </m:sSub>
      </m:oMath>
      <w:r w:rsidRPr="00957CD5">
        <w:rPr>
          <w:color w:val="000000"/>
        </w:rPr>
        <w:t xml:space="preserve">) were set to 0 in the absence of supplementary data (Eqs. 6 and 7). For each cluster, the ratio between </w:t>
      </w:r>
      <w:r w:rsidR="009E6A38" w:rsidRPr="00957CD5">
        <w:rPr>
          <w:color w:val="000000"/>
        </w:rPr>
        <w:t xml:space="preserve">the assignments </w:t>
      </w:r>
      <w:r w:rsidR="00717C4E" w:rsidRPr="00957CD5">
        <w:rPr>
          <w:color w:val="000000"/>
        </w:rPr>
        <w:t>where the NMR graph building block exactly matched the structure graph building block</w:t>
      </w:r>
      <w:r w:rsidR="009E6A38" w:rsidRPr="00957CD5">
        <w:rPr>
          <w:color w:val="000000"/>
        </w:rPr>
        <w:t xml:space="preserve"> and </w:t>
      </w:r>
      <w:r w:rsidRPr="00957CD5">
        <w:rPr>
          <w:color w:val="000000"/>
        </w:rPr>
        <w:t>the total assignments was calculated (Fig. S</w:t>
      </w:r>
      <w:r w:rsidRPr="00957CD5">
        <w:t>12</w:t>
      </w:r>
      <w:r w:rsidRPr="00957CD5">
        <w:rPr>
          <w:color w:val="000000"/>
        </w:rPr>
        <w:t xml:space="preserve">). Optimal cut-off distances—those yielding the highest exact-match ratios—were then applied in final runs using all NMR graph building blocks as possible starting points. </w:t>
      </w:r>
      <w:proofErr w:type="spellStart"/>
      <w:r w:rsidRPr="00957CD5">
        <w:rPr>
          <w:color w:val="000000"/>
        </w:rPr>
        <w:t>Methyls</w:t>
      </w:r>
      <w:proofErr w:type="spellEnd"/>
      <w:r w:rsidRPr="00957CD5">
        <w:rPr>
          <w:color w:val="000000"/>
        </w:rPr>
        <w:t xml:space="preserve"> assigned by AMIGO but lacking a reference assignment were flagged as unconfirmed.</w:t>
      </w:r>
    </w:p>
    <w:p w14:paraId="000000D0" w14:textId="33E3918F" w:rsidR="00DD0CC6" w:rsidRPr="00957CD5" w:rsidRDefault="003771BF" w:rsidP="118B4108">
      <w:pPr>
        <w:pBdr>
          <w:top w:val="nil"/>
          <w:left w:val="nil"/>
          <w:bottom w:val="nil"/>
          <w:right w:val="nil"/>
          <w:between w:val="nil"/>
        </w:pBdr>
        <w:ind w:firstLine="720"/>
        <w:jc w:val="both"/>
        <w:rPr>
          <w:color w:val="000000"/>
        </w:rPr>
      </w:pPr>
      <w:r w:rsidRPr="00957CD5">
        <w:rPr>
          <w:color w:val="000000"/>
        </w:rPr>
        <w:t>The use of additional structural restraints such as PCS renders AMIGO less sensitive to the range of c</w:t>
      </w:r>
      <w:sdt>
        <w:sdtPr>
          <w:tag w:val="goog_rdk_4"/>
          <w:id w:val="1038774793"/>
        </w:sdtPr>
        <w:sdtContent>
          <w:r w:rsidRPr="00957CD5">
            <w:rPr>
              <w:color w:val="000000"/>
            </w:rPr>
            <w:t>ut-off</w:t>
          </w:r>
        </w:sdtContent>
      </w:sdt>
      <w:r w:rsidRPr="00957CD5">
        <w:rPr>
          <w:color w:val="000000"/>
        </w:rPr>
        <w:t xml:space="preserve"> distances selected. Here, c</w:t>
      </w:r>
      <w:sdt>
        <w:sdtPr>
          <w:tag w:val="goog_rdk_6"/>
          <w:id w:val="1600682039"/>
        </w:sdtPr>
        <w:sdtContent>
          <w:r w:rsidRPr="00957CD5">
            <w:rPr>
              <w:color w:val="000000"/>
            </w:rPr>
            <w:t>ut-off</w:t>
          </w:r>
        </w:sdtContent>
      </w:sdt>
      <w:r w:rsidRPr="00957CD5">
        <w:rPr>
          <w:color w:val="000000"/>
        </w:rPr>
        <w:t xml:space="preserve"> distance </w:t>
      </w:r>
      <w:r w:rsidRPr="00957CD5">
        <w:t xml:space="preserve">ranges </w:t>
      </w:r>
      <w:r w:rsidRPr="00957CD5">
        <w:rPr>
          <w:color w:val="000000"/>
        </w:rPr>
        <w:t>from 3 Å to 8, 8.5, and 9 Å in 0.</w:t>
      </w:r>
      <w:r w:rsidRPr="00957CD5">
        <w:t>1</w:t>
      </w:r>
      <w:r w:rsidRPr="00957CD5">
        <w:rPr>
          <w:color w:val="000000"/>
        </w:rPr>
        <w:t xml:space="preserve"> </w:t>
      </w:r>
      <w:proofErr w:type="gramStart"/>
      <w:r w:rsidRPr="00957CD5">
        <w:rPr>
          <w:color w:val="000000"/>
        </w:rPr>
        <w:t>Å  or</w:t>
      </w:r>
      <w:proofErr w:type="gramEnd"/>
      <w:r w:rsidRPr="00957CD5">
        <w:rPr>
          <w:color w:val="000000"/>
        </w:rPr>
        <w:t xml:space="preserve"> 0.2 Å steps </w:t>
      </w:r>
      <w:r w:rsidRPr="00957CD5">
        <w:t>were</w:t>
      </w:r>
      <w:r w:rsidRPr="00957CD5">
        <w:rPr>
          <w:color w:val="000000"/>
        </w:rPr>
        <w:t xml:space="preserve"> selected. All NMR-based graph building blocks were considered as potential methyl walk starting points. The weighting factor for NOEs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NOE</m:t>
            </m:r>
          </m:sub>
        </m:sSub>
      </m:oMath>
      <w:r w:rsidRPr="00957CD5">
        <w:rPr>
          <w:color w:val="000000"/>
        </w:rPr>
        <w:t xml:space="preserve"> was set to 1 (Eq. 5). The weighting factors for additional restraints</w:t>
      </w:r>
      <w:r w:rsidR="00E34CAD" w:rsidRPr="00957CD5">
        <w:rPr>
          <w:color w:val="000000"/>
        </w:rPr>
        <w:t xml:space="preserve"> (</w:t>
      </w:r>
      <w:r w:rsidR="00CE3121" w:rsidRPr="00957CD5">
        <w:rPr>
          <w:color w:val="000000"/>
        </w:rPr>
        <w:t xml:space="preserve">different </w:t>
      </w:r>
      <w:r w:rsidR="00E34CAD" w:rsidRPr="00957CD5">
        <w:rPr>
          <w:color w:val="000000"/>
        </w:rPr>
        <w:t>PCS</w:t>
      </w:r>
      <w:r w:rsidR="00CE3121" w:rsidRPr="00957CD5">
        <w:rPr>
          <w:color w:val="000000"/>
        </w:rPr>
        <w:t xml:space="preserve"> data sets available for each protein</w:t>
      </w:r>
      <w:r w:rsidR="00E34CAD" w:rsidRPr="00957CD5">
        <w:rPr>
          <w:color w:val="000000"/>
        </w:rPr>
        <w:t>)</w:t>
      </w:r>
      <w:r w:rsidRPr="00957CD5">
        <w:rPr>
          <w:color w:val="000000"/>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1</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2</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3</m:t>
            </m:r>
          </m:sub>
        </m:sSub>
        <m:r>
          <w:rPr>
            <w:rFonts w:ascii="Cambria Math" w:eastAsia="Cambria Math" w:hAnsi="Cambria Math" w:cs="Cambria Math"/>
            <w:color w:val="000000"/>
          </w:rPr>
          <m:t xml:space="preserve">, </m:t>
        </m:r>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4</m:t>
            </m:r>
          </m:sub>
        </m:sSub>
      </m:oMath>
      <w:r w:rsidRPr="00957CD5">
        <w:rPr>
          <w:color w:val="000000"/>
        </w:rPr>
        <w:t xml:space="preserve"> in Eq. 6 were set to 100, 100, 100 and 0 for GTB and MNV P-domain, and 0, 100, 100, 0 for LmUGP. Note that a weighting factor of 100 was used for PCS so that the contributions of NOEs and PCS to the </w:t>
      </w:r>
      <w:r w:rsidRPr="00957CD5">
        <w:rPr>
          <w:i/>
          <w:iCs/>
          <w:color w:val="000000"/>
        </w:rPr>
        <w:t xml:space="preserve">similarity score </w:t>
      </w:r>
      <w:r w:rsidRPr="00957CD5">
        <w:rPr>
          <w:color w:val="000000"/>
        </w:rPr>
        <w:t xml:space="preserve">are of equal magnitude. The value of 0 indicates that no data was included for that particular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i</m:t>
            </m:r>
          </m:sub>
        </m:sSub>
      </m:oMath>
      <w:r w:rsidRPr="00957CD5">
        <w:rPr>
          <w:color w:val="000000"/>
        </w:rPr>
        <w:t xml:space="preserve">. Methyl groups assigned by AMIGO but lacking a reference assignment in the original publication were considered unassigned. </w:t>
      </w:r>
    </w:p>
    <w:p w14:paraId="000000D1" w14:textId="0D840C26" w:rsidR="00DD0CC6" w:rsidRPr="00957CD5" w:rsidRDefault="003771BF">
      <w:pPr>
        <w:pBdr>
          <w:top w:val="nil"/>
          <w:left w:val="nil"/>
          <w:bottom w:val="nil"/>
          <w:right w:val="nil"/>
          <w:between w:val="nil"/>
        </w:pBdr>
        <w:ind w:firstLine="720"/>
        <w:jc w:val="both"/>
        <w:rPr>
          <w:color w:val="000000"/>
        </w:rPr>
      </w:pPr>
      <w:r w:rsidRPr="00957CD5">
        <w:rPr>
          <w:color w:val="000000"/>
        </w:rPr>
        <w:t xml:space="preserve">Final runs were carried out using </w:t>
      </w:r>
      <w:r w:rsidRPr="00957CD5">
        <w:t>the same</w:t>
      </w:r>
      <w:r w:rsidRPr="00957CD5">
        <w:rPr>
          <w:color w:val="000000"/>
        </w:rPr>
        <w:t xml:space="preserve"> step</w:t>
      </w:r>
      <w:r w:rsidRPr="00957CD5">
        <w:t xml:space="preserve"> sizes as for parameter o</w:t>
      </w:r>
      <w:r w:rsidR="00DB582A" w:rsidRPr="00957CD5">
        <w:t>ptimis</w:t>
      </w:r>
      <w:r w:rsidRPr="00957CD5">
        <w:t>ation (see above or Fig. S12)</w:t>
      </w:r>
      <w:r w:rsidRPr="00957CD5">
        <w:rPr>
          <w:color w:val="000000"/>
        </w:rPr>
        <w:t xml:space="preserve"> to sample the cut-off distance ranges used for the different data sets, yielding optimal results for all data sets. Larger step sizes (e.g. 0.2 or 0.5 </w:t>
      </w:r>
      <w:r w:rsidRPr="00957CD5">
        <w:rPr>
          <w:rFonts w:ascii="Calibri" w:eastAsia="Calibri" w:hAnsi="Calibri" w:cs="Calibri"/>
          <w:color w:val="000000"/>
        </w:rPr>
        <w:t>Å</w:t>
      </w:r>
      <w:r w:rsidRPr="00957CD5">
        <w:rPr>
          <w:color w:val="000000"/>
        </w:rPr>
        <w:t>) enable faster calculation times at the cost of erroneous assignments.</w:t>
      </w:r>
    </w:p>
    <w:p w14:paraId="000000D2" w14:textId="77777777" w:rsidR="00DD0CC6" w:rsidRPr="00957CD5" w:rsidRDefault="00DD0CC6">
      <w:pPr>
        <w:jc w:val="both"/>
        <w:rPr>
          <w:rFonts w:ascii="Calibri" w:eastAsia="Calibri" w:hAnsi="Calibri" w:cs="Calibri"/>
        </w:rPr>
      </w:pPr>
    </w:p>
    <w:p w14:paraId="0E359367" w14:textId="77777777" w:rsidR="004200DA" w:rsidRPr="00957CD5" w:rsidRDefault="004200DA" w:rsidP="004200DA">
      <w:pPr>
        <w:jc w:val="both"/>
        <w:rPr>
          <w:b/>
          <w:u w:val="single"/>
        </w:rPr>
      </w:pPr>
      <w:r w:rsidRPr="00957CD5">
        <w:rPr>
          <w:b/>
          <w:u w:val="single"/>
        </w:rPr>
        <w:t>Structural ensembles</w:t>
      </w:r>
    </w:p>
    <w:p w14:paraId="4B2213C9" w14:textId="77777777" w:rsidR="004200DA" w:rsidRPr="00957CD5" w:rsidRDefault="004200DA" w:rsidP="004200DA">
      <w:pPr>
        <w:jc w:val="both"/>
        <w:rPr>
          <w:b/>
          <w:u w:val="single"/>
        </w:rPr>
      </w:pPr>
    </w:p>
    <w:p w14:paraId="3864816D" w14:textId="5A9C92E2" w:rsidR="004200DA" w:rsidRPr="00957CD5" w:rsidRDefault="004200DA" w:rsidP="00D639CE">
      <w:pPr>
        <w:pBdr>
          <w:top w:val="nil"/>
          <w:left w:val="nil"/>
          <w:bottom w:val="nil"/>
          <w:right w:val="nil"/>
          <w:between w:val="nil"/>
        </w:pBdr>
        <w:ind w:firstLine="720"/>
        <w:jc w:val="both"/>
        <w:rPr>
          <w:color w:val="000000"/>
        </w:rPr>
      </w:pPr>
      <w:r w:rsidRPr="00957CD5">
        <w:rPr>
          <w:color w:val="000000"/>
        </w:rPr>
        <w:t xml:space="preserve">AMIGO processes each protein structure in the structural ensemble individually. For example, if structure A contains an alanine (Ala) and a methionine (Met), and structure B also contains an Ala and a Met, AMIGO generates one building block for each methyl group in each structure (Ala A and Ala B in this example). From each active node (Ala A or Ala B), edges are created to all possible neighbouring methyl groups across all structures. Thus, if both Met A and Met B lie within the cut-off distance in their respective structures, the building block will contain edges to both. Similarly, the NMR building block will contain two edges to a given </w:t>
      </w:r>
      <w:r w:rsidR="0076620D" w:rsidRPr="00957CD5">
        <w:rPr>
          <w:color w:val="000000"/>
        </w:rPr>
        <w:t>neighbour</w:t>
      </w:r>
      <w:r w:rsidRPr="00957CD5">
        <w:rPr>
          <w:color w:val="000000"/>
        </w:rPr>
        <w:t xml:space="preserve"> if an NOE is present in both NOE datasets.</w:t>
      </w:r>
    </w:p>
    <w:p w14:paraId="02C6167B" w14:textId="77777777" w:rsidR="004200DA" w:rsidRPr="00957CD5" w:rsidRDefault="004200DA" w:rsidP="00D639CE">
      <w:pPr>
        <w:pBdr>
          <w:top w:val="nil"/>
          <w:left w:val="nil"/>
          <w:bottom w:val="nil"/>
          <w:right w:val="nil"/>
          <w:between w:val="nil"/>
        </w:pBdr>
        <w:ind w:firstLine="720"/>
        <w:jc w:val="both"/>
        <w:rPr>
          <w:color w:val="000000"/>
        </w:rPr>
      </w:pPr>
      <w:r w:rsidRPr="00957CD5">
        <w:rPr>
          <w:color w:val="000000"/>
        </w:rPr>
        <w:t>AMIGO then attempts to assign the Ala simultaneously based on both structures and both NOE datasets. If the two structures differ, the corresponding NOE patterns should also differ, and the similarity score will reflect this. In other words, structural and NMR building blocks will only match if the combined NOE data can be explained by both structures together. This approach incorporates the complete information from multiple experiments into a single run.</w:t>
      </w:r>
    </w:p>
    <w:p w14:paraId="000000D3" w14:textId="77777777" w:rsidR="00DD0CC6" w:rsidRPr="00957CD5" w:rsidRDefault="00DD0CC6" w:rsidP="00D639CE">
      <w:pPr>
        <w:pBdr>
          <w:top w:val="nil"/>
          <w:left w:val="nil"/>
          <w:bottom w:val="nil"/>
          <w:right w:val="nil"/>
          <w:between w:val="nil"/>
        </w:pBdr>
        <w:ind w:firstLine="720"/>
        <w:jc w:val="both"/>
        <w:rPr>
          <w:color w:val="000000"/>
        </w:rPr>
      </w:pPr>
    </w:p>
    <w:p w14:paraId="000000D4" w14:textId="77777777" w:rsidR="00DD0CC6" w:rsidRPr="00957CD5" w:rsidRDefault="00DD0CC6">
      <w:pPr>
        <w:rPr>
          <w:color w:val="000000"/>
        </w:rPr>
      </w:pPr>
    </w:p>
    <w:p w14:paraId="764ECDAB" w14:textId="77777777" w:rsidR="00457713" w:rsidRPr="00957CD5" w:rsidRDefault="00457713">
      <w:pPr>
        <w:rPr>
          <w:color w:val="000000"/>
        </w:rPr>
      </w:pPr>
    </w:p>
    <w:p w14:paraId="44FC31AB" w14:textId="77777777" w:rsidR="004200DA" w:rsidRPr="00957CD5" w:rsidRDefault="004200DA">
      <w:pPr>
        <w:rPr>
          <w:color w:val="000000"/>
        </w:rPr>
      </w:pPr>
    </w:p>
    <w:p w14:paraId="000000E4" w14:textId="77777777" w:rsidR="00DD0CC6" w:rsidRPr="00957CD5" w:rsidRDefault="003771BF">
      <w:pPr>
        <w:rPr>
          <w:b/>
          <w:color w:val="000000"/>
          <w:u w:val="single"/>
        </w:rPr>
      </w:pPr>
      <w:r w:rsidRPr="00957CD5">
        <w:rPr>
          <w:b/>
          <w:color w:val="000000"/>
          <w:u w:val="single"/>
        </w:rPr>
        <w:lastRenderedPageBreak/>
        <w:t xml:space="preserve">How </w:t>
      </w:r>
      <w:r w:rsidRPr="00957CD5">
        <w:rPr>
          <w:b/>
          <w:u w:val="single"/>
        </w:rPr>
        <w:t>SGBBs can be combined to reconstruct any structure-based graph:</w:t>
      </w:r>
    </w:p>
    <w:p w14:paraId="000000E5" w14:textId="77777777" w:rsidR="00DD0CC6" w:rsidRPr="00957CD5" w:rsidRDefault="00DD0CC6">
      <w:pPr>
        <w:rPr>
          <w:color w:val="000000"/>
        </w:rPr>
      </w:pPr>
    </w:p>
    <w:p w14:paraId="000000E6" w14:textId="77777777" w:rsidR="00DD0CC6" w:rsidRPr="00957CD5" w:rsidRDefault="003771BF">
      <w:pPr>
        <w:keepNext/>
      </w:pPr>
      <w:r w:rsidRPr="00957CD5">
        <w:rPr>
          <w:noProof/>
        </w:rPr>
        <w:drawing>
          <wp:inline distT="0" distB="0" distL="0" distR="0" wp14:anchorId="7C702F00" wp14:editId="76C808EF">
            <wp:extent cx="5731510" cy="2683510"/>
            <wp:effectExtent l="0" t="0" r="0" b="0"/>
            <wp:docPr id="201437154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1"/>
                    <a:srcRect/>
                    <a:stretch>
                      <a:fillRect/>
                    </a:stretch>
                  </pic:blipFill>
                  <pic:spPr>
                    <a:xfrm>
                      <a:off x="0" y="0"/>
                      <a:ext cx="5731510" cy="2683510"/>
                    </a:xfrm>
                    <a:prstGeom prst="rect">
                      <a:avLst/>
                    </a:prstGeom>
                    <a:ln/>
                  </pic:spPr>
                </pic:pic>
              </a:graphicData>
            </a:graphic>
          </wp:inline>
        </w:drawing>
      </w:r>
    </w:p>
    <w:p w14:paraId="000000E7" w14:textId="23A7C4D0" w:rsidR="00DD0CC6" w:rsidRPr="00957CD5" w:rsidRDefault="003771BF">
      <w:pPr>
        <w:pBdr>
          <w:top w:val="nil"/>
          <w:left w:val="nil"/>
          <w:bottom w:val="nil"/>
          <w:right w:val="nil"/>
          <w:between w:val="nil"/>
        </w:pBdr>
        <w:spacing w:after="200"/>
        <w:jc w:val="both"/>
        <w:rPr>
          <w:b/>
          <w:color w:val="000000"/>
          <w:sz w:val="20"/>
          <w:szCs w:val="20"/>
        </w:rPr>
      </w:pPr>
      <w:r w:rsidRPr="00957CD5">
        <w:rPr>
          <w:b/>
          <w:sz w:val="20"/>
          <w:szCs w:val="20"/>
        </w:rPr>
        <w:t>Fig. S4</w:t>
      </w:r>
      <w:r w:rsidRPr="00957CD5">
        <w:rPr>
          <w:sz w:val="20"/>
          <w:szCs w:val="20"/>
        </w:rPr>
        <w:t xml:space="preserve"> </w:t>
      </w:r>
      <w:r w:rsidRPr="00957CD5">
        <w:rPr>
          <w:b/>
          <w:sz w:val="20"/>
          <w:szCs w:val="20"/>
        </w:rPr>
        <w:t xml:space="preserve">Any possible structure graph can be created from a linear combination of structure graph building blocks (SGBB). </w:t>
      </w:r>
      <w:r w:rsidRPr="00957CD5">
        <w:rPr>
          <w:sz w:val="20"/>
          <w:szCs w:val="20"/>
        </w:rPr>
        <w:t>(a) Graph representation of all possible structure graphs for 4 nodes and 2 cutoff distances (</w:t>
      </w:r>
      <w:r w:rsidRPr="00957CD5">
        <w:rPr>
          <w:i/>
          <w:sz w:val="20"/>
          <w:szCs w:val="20"/>
        </w:rPr>
        <w:t>n</w:t>
      </w:r>
      <w:r w:rsidRPr="00957CD5">
        <w:rPr>
          <w:i/>
          <w:sz w:val="20"/>
          <w:szCs w:val="20"/>
          <w:vertAlign w:val="superscript"/>
        </w:rPr>
        <w:t>m</w:t>
      </w:r>
      <w:r w:rsidRPr="00957CD5">
        <w:rPr>
          <w:sz w:val="20"/>
          <w:szCs w:val="20"/>
        </w:rPr>
        <w:t xml:space="preserve"> = 2</w:t>
      </w:r>
      <w:r w:rsidRPr="00957CD5">
        <w:rPr>
          <w:sz w:val="20"/>
          <w:szCs w:val="20"/>
          <w:vertAlign w:val="superscript"/>
        </w:rPr>
        <w:t>4</w:t>
      </w:r>
      <w:r w:rsidRPr="00957CD5">
        <w:rPr>
          <w:sz w:val="20"/>
          <w:szCs w:val="20"/>
        </w:rPr>
        <w:t xml:space="preserve"> = 16). Nodes are labelled with a capital letter according to their amino acid type and an integer as an identifier. Deep blue large circles indicate the structure graph to be recreated using “building blocks”. (b) (</w:t>
      </w:r>
      <w:r w:rsidRPr="00957CD5">
        <w:rPr>
          <w:i/>
          <w:sz w:val="20"/>
          <w:szCs w:val="20"/>
        </w:rPr>
        <w:t>Top panel</w:t>
      </w:r>
      <w:r w:rsidRPr="00957CD5">
        <w:rPr>
          <w:sz w:val="20"/>
          <w:szCs w:val="20"/>
        </w:rPr>
        <w:t>) All possible structure graphs can be defined from eight SGBBs. Each SGBB contains one active node and all possible edges to the remaining methyl groups according to the cutoff selected. (</w:t>
      </w:r>
      <w:r w:rsidRPr="00957CD5">
        <w:rPr>
          <w:i/>
          <w:sz w:val="20"/>
          <w:szCs w:val="20"/>
        </w:rPr>
        <w:t>Bottom panel</w:t>
      </w:r>
      <w:r w:rsidRPr="00957CD5">
        <w:rPr>
          <w:sz w:val="20"/>
          <w:szCs w:val="20"/>
        </w:rPr>
        <w:t xml:space="preserve">) A linear combination of </w:t>
      </w:r>
      <w:r w:rsidRPr="00957CD5">
        <w:rPr>
          <w:i/>
          <w:sz w:val="20"/>
          <w:szCs w:val="20"/>
        </w:rPr>
        <w:t xml:space="preserve">n </w:t>
      </w:r>
      <w:r w:rsidRPr="00957CD5">
        <w:rPr>
          <w:sz w:val="20"/>
          <w:szCs w:val="20"/>
        </w:rPr>
        <w:t>= 4 building blocks (one per active node and cutoff) define</w:t>
      </w:r>
      <w:r w:rsidR="00DA53D6" w:rsidRPr="00957CD5">
        <w:rPr>
          <w:sz w:val="20"/>
          <w:szCs w:val="20"/>
        </w:rPr>
        <w:t>s</w:t>
      </w:r>
      <w:r w:rsidRPr="00957CD5">
        <w:rPr>
          <w:sz w:val="20"/>
          <w:szCs w:val="20"/>
        </w:rPr>
        <w:t xml:space="preserve"> any of the 16 possible structure graphs. </w:t>
      </w:r>
      <w:r w:rsidRPr="00957CD5">
        <w:rPr>
          <w:color w:val="000000"/>
          <w:sz w:val="20"/>
          <w:szCs w:val="20"/>
        </w:rPr>
        <w:t>All nodes are c</w:t>
      </w:r>
      <w:r w:rsidR="008113B4" w:rsidRPr="00957CD5">
        <w:rPr>
          <w:color w:val="000000"/>
          <w:sz w:val="20"/>
          <w:szCs w:val="20"/>
        </w:rPr>
        <w:t>olour</w:t>
      </w:r>
      <w:r w:rsidRPr="00957CD5">
        <w:rPr>
          <w:color w:val="000000"/>
          <w:sz w:val="20"/>
          <w:szCs w:val="20"/>
        </w:rPr>
        <w:t>-coded according to the amino acid as follows: orange for isoleucine (I), blue for alanine (A), and green for methionine (M).</w:t>
      </w:r>
    </w:p>
    <w:p w14:paraId="000000E8" w14:textId="77777777" w:rsidR="00DD0CC6" w:rsidRPr="00957CD5" w:rsidRDefault="00DD0CC6">
      <w:pPr>
        <w:rPr>
          <w:b/>
        </w:rPr>
      </w:pPr>
    </w:p>
    <w:p w14:paraId="000000E9" w14:textId="77777777" w:rsidR="00DD0CC6" w:rsidRPr="00957CD5" w:rsidRDefault="003771BF">
      <w:pPr>
        <w:spacing w:line="360" w:lineRule="auto"/>
        <w:jc w:val="both"/>
        <w:rPr>
          <w:b/>
          <w:u w:val="single"/>
        </w:rPr>
      </w:pPr>
      <w:r w:rsidRPr="00957CD5">
        <w:rPr>
          <w:b/>
          <w:u w:val="single"/>
        </w:rPr>
        <w:t>Constructing methyl walks from graph building blocks (GBBs) – a detailed explanation:</w:t>
      </w:r>
    </w:p>
    <w:p w14:paraId="000000EA" w14:textId="77777777" w:rsidR="00DD0CC6" w:rsidRPr="00957CD5" w:rsidRDefault="003771BF">
      <w:pPr>
        <w:ind w:firstLine="720"/>
        <w:jc w:val="both"/>
      </w:pPr>
      <w:r w:rsidRPr="00957CD5">
        <w:t>Methyl walks are constructed by matching NGBBs and SGBBs following a four-step procedure</w:t>
      </w:r>
      <w:bookmarkStart w:id="6" w:name="bookmark=id.glenl72a7hce" w:colFirst="0" w:colLast="0"/>
      <w:bookmarkStart w:id="7" w:name="bookmark=id.i8t26fxtdhky" w:colFirst="0" w:colLast="0"/>
      <w:bookmarkEnd w:id="6"/>
      <w:bookmarkEnd w:id="7"/>
      <w:r w:rsidRPr="00957CD5">
        <w:t>. For better understanding, the method is illustrated with an example.</w:t>
      </w:r>
    </w:p>
    <w:p w14:paraId="000000EB" w14:textId="77777777" w:rsidR="00DD0CC6" w:rsidRPr="00957CD5" w:rsidRDefault="00DD0CC6">
      <w:pPr>
        <w:rPr>
          <w:i/>
        </w:rPr>
      </w:pPr>
    </w:p>
    <w:p w14:paraId="000000EC" w14:textId="5138716A" w:rsidR="00DD0CC6" w:rsidRPr="00957CD5" w:rsidRDefault="003771BF">
      <w:pPr>
        <w:jc w:val="both"/>
        <w:rPr>
          <w:i/>
        </w:rPr>
      </w:pPr>
      <w:r w:rsidRPr="00957CD5">
        <w:rPr>
          <w:i/>
        </w:rPr>
        <w:t>Step 1: Matching a</w:t>
      </w:r>
      <w:r w:rsidR="00A27853" w:rsidRPr="00957CD5">
        <w:rPr>
          <w:i/>
        </w:rPr>
        <w:t>n</w:t>
      </w:r>
      <w:r w:rsidRPr="00957CD5">
        <w:rPr>
          <w:i/>
        </w:rPr>
        <w:t xml:space="preserve"> SGBB with the most similar NGBB.</w:t>
      </w:r>
    </w:p>
    <w:p w14:paraId="000000ED" w14:textId="0BBB0766" w:rsidR="00DD0CC6" w:rsidRPr="00957CD5" w:rsidRDefault="003771BF">
      <w:pPr>
        <w:spacing w:line="276" w:lineRule="auto"/>
        <w:ind w:firstLine="720"/>
        <w:jc w:val="both"/>
      </w:pPr>
      <w:r w:rsidRPr="00957CD5">
        <w:t xml:space="preserve">In a first step, AMIGO compares a selected NGBB with all SGBBs whose active nodes have the same amino acid type as the active node of the NGBB (Fig. S5). The comparison is evaluated by calculating the </w:t>
      </w:r>
      <w:r w:rsidRPr="00957CD5">
        <w:rPr>
          <w:i/>
        </w:rPr>
        <w:t>similarity score</w:t>
      </w:r>
      <w:r w:rsidRPr="00957CD5">
        <w:t xml:space="preserve"> (Eq. </w:t>
      </w:r>
      <w:r w:rsidR="002C1ED2" w:rsidRPr="00957CD5">
        <w:t>4</w:t>
      </w:r>
      <w:r w:rsidRPr="00957CD5">
        <w:t xml:space="preserve">). Briefly, the </w:t>
      </w:r>
      <w:r w:rsidRPr="00957CD5">
        <w:rPr>
          <w:i/>
        </w:rPr>
        <w:t>similarity score</w:t>
      </w:r>
      <w:r w:rsidRPr="00957CD5">
        <w:t xml:space="preserve"> is based on similarities of edge patterns, adjacent amino acid types, and experimental and theoretical additional restraints, e.g., PRE or PCS. The </w:t>
      </w:r>
      <w:r w:rsidRPr="00957CD5">
        <w:rPr>
          <w:i/>
        </w:rPr>
        <w:t>similarity score</w:t>
      </w:r>
      <w:r w:rsidRPr="00957CD5">
        <w:t xml:space="preserve"> is composed by the term </w:t>
      </w:r>
      <w:r w:rsidRPr="00957CD5">
        <w:rPr>
          <w:i/>
        </w:rPr>
        <w:t xml:space="preserve">similarity </w:t>
      </w:r>
      <w:proofErr w:type="spellStart"/>
      <w:r w:rsidRPr="00957CD5">
        <w:rPr>
          <w:i/>
        </w:rPr>
        <w:t>score</w:t>
      </w:r>
      <w:r w:rsidRPr="00957CD5">
        <w:rPr>
          <w:i/>
          <w:vertAlign w:val="subscript"/>
        </w:rPr>
        <w:t>NOE</w:t>
      </w:r>
      <w:proofErr w:type="spellEnd"/>
      <w:r w:rsidRPr="00957CD5">
        <w:t xml:space="preserve">, (Eq. </w:t>
      </w:r>
      <w:r w:rsidR="002C1ED2" w:rsidRPr="00957CD5">
        <w:t>5</w:t>
      </w:r>
      <w:r w:rsidRPr="00957CD5">
        <w:t xml:space="preserve">) and an additional restraints-based term or </w:t>
      </w:r>
      <w:r w:rsidRPr="00957CD5">
        <w:rPr>
          <w:i/>
        </w:rPr>
        <w:t xml:space="preserve">similarity </w:t>
      </w:r>
      <w:proofErr w:type="spellStart"/>
      <w:r w:rsidRPr="00957CD5">
        <w:rPr>
          <w:i/>
        </w:rPr>
        <w:t>score</w:t>
      </w:r>
      <w:r w:rsidRPr="00957CD5">
        <w:rPr>
          <w:i/>
          <w:vertAlign w:val="subscript"/>
        </w:rPr>
        <w:t>additional</w:t>
      </w:r>
      <w:proofErr w:type="spellEnd"/>
      <w:r w:rsidRPr="00957CD5">
        <w:rPr>
          <w:i/>
          <w:vertAlign w:val="subscript"/>
        </w:rPr>
        <w:t xml:space="preserve"> restraints</w:t>
      </w:r>
      <w:r w:rsidRPr="00957CD5">
        <w:t xml:space="preserve"> (Eq. </w:t>
      </w:r>
      <w:r w:rsidR="002C1ED2" w:rsidRPr="00957CD5">
        <w:t>6</w:t>
      </w:r>
      <w:r w:rsidRPr="00957CD5">
        <w:t xml:space="preserve">). The highest </w:t>
      </w:r>
      <w:r w:rsidRPr="00957CD5">
        <w:rPr>
          <w:i/>
        </w:rPr>
        <w:t>similarity score</w:t>
      </w:r>
      <w:r w:rsidRPr="00957CD5">
        <w:t xml:space="preserve"> identifies the best matching SGBB, which will be used in Step 2 to produce the first assignment.</w:t>
      </w:r>
    </w:p>
    <w:p w14:paraId="000000EE" w14:textId="77777777" w:rsidR="00DD0CC6" w:rsidRPr="00957CD5" w:rsidRDefault="00DD0CC6"/>
    <w:p w14:paraId="000000EF" w14:textId="77777777" w:rsidR="00DD0CC6" w:rsidRPr="00957CD5" w:rsidRDefault="003771BF">
      <w:pPr>
        <w:keepNext/>
      </w:pPr>
      <w:r w:rsidRPr="00957CD5">
        <w:rPr>
          <w:noProof/>
        </w:rPr>
        <w:lastRenderedPageBreak/>
        <w:drawing>
          <wp:inline distT="0" distB="0" distL="0" distR="0" wp14:anchorId="730BB547" wp14:editId="233659C2">
            <wp:extent cx="5731510" cy="3166110"/>
            <wp:effectExtent l="0" t="0" r="0" b="0"/>
            <wp:docPr id="2014371548" name="image2.png" descr="Ein Bild, das Screenshot, Kreis, Grafiken, Farbigkei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2.png" descr="Ein Bild, das Screenshot, Kreis, Grafiken, Farbigkeit enthält.&#10;&#10;KI-generierte Inhalte können fehlerhaft sein."/>
                    <pic:cNvPicPr preferRelativeResize="0"/>
                  </pic:nvPicPr>
                  <pic:blipFill>
                    <a:blip r:embed="rId22"/>
                    <a:srcRect/>
                    <a:stretch>
                      <a:fillRect/>
                    </a:stretch>
                  </pic:blipFill>
                  <pic:spPr>
                    <a:xfrm>
                      <a:off x="0" y="0"/>
                      <a:ext cx="5731510" cy="3166110"/>
                    </a:xfrm>
                    <a:prstGeom prst="rect">
                      <a:avLst/>
                    </a:prstGeom>
                    <a:ln/>
                  </pic:spPr>
                </pic:pic>
              </a:graphicData>
            </a:graphic>
          </wp:inline>
        </w:drawing>
      </w:r>
    </w:p>
    <w:p w14:paraId="000000F0" w14:textId="17C0E78D" w:rsidR="00DD0CC6" w:rsidRPr="00957CD5" w:rsidRDefault="003771BF">
      <w:pPr>
        <w:pBdr>
          <w:top w:val="nil"/>
          <w:left w:val="nil"/>
          <w:bottom w:val="nil"/>
          <w:right w:val="nil"/>
          <w:between w:val="nil"/>
        </w:pBdr>
        <w:spacing w:after="200"/>
        <w:jc w:val="both"/>
        <w:rPr>
          <w:b/>
          <w:color w:val="000000"/>
        </w:rPr>
      </w:pPr>
      <w:r w:rsidRPr="00957CD5">
        <w:rPr>
          <w:b/>
          <w:sz w:val="20"/>
          <w:szCs w:val="20"/>
        </w:rPr>
        <w:t>Fig. S5 Step 1 of the identification of methyl walks from graph building blocks.</w:t>
      </w:r>
      <w:r w:rsidRPr="00957CD5">
        <w:rPr>
          <w:sz w:val="20"/>
          <w:szCs w:val="20"/>
        </w:rPr>
        <w:t xml:space="preserve"> See main text to step 1 for more explanations. (</w:t>
      </w:r>
      <w:r w:rsidRPr="00957CD5">
        <w:rPr>
          <w:i/>
          <w:sz w:val="20"/>
          <w:szCs w:val="20"/>
        </w:rPr>
        <w:t>Left panel</w:t>
      </w:r>
      <w:r w:rsidRPr="00957CD5">
        <w:rPr>
          <w:sz w:val="20"/>
          <w:szCs w:val="20"/>
        </w:rPr>
        <w:t xml:space="preserve">) Decomposition of NOE graph into NGBBs. </w:t>
      </w:r>
      <w:r w:rsidRPr="00957CD5">
        <w:rPr>
          <w:color w:val="000000"/>
          <w:sz w:val="20"/>
          <w:szCs w:val="20"/>
        </w:rPr>
        <w:t>Nodes are c</w:t>
      </w:r>
      <w:r w:rsidR="008113B4" w:rsidRPr="00957CD5">
        <w:rPr>
          <w:color w:val="000000"/>
          <w:sz w:val="20"/>
          <w:szCs w:val="20"/>
        </w:rPr>
        <w:t>olour</w:t>
      </w:r>
      <w:r w:rsidRPr="00957CD5">
        <w:rPr>
          <w:color w:val="000000"/>
          <w:sz w:val="20"/>
          <w:szCs w:val="20"/>
        </w:rPr>
        <w:t>-coded and labelled with a capital letter according to their amino acid type and a lower-case letter as an identifier.</w:t>
      </w:r>
      <w:r w:rsidRPr="00957CD5">
        <w:rPr>
          <w:sz w:val="20"/>
          <w:szCs w:val="20"/>
        </w:rPr>
        <w:t xml:space="preserve"> (</w:t>
      </w:r>
      <w:r w:rsidRPr="00957CD5">
        <w:rPr>
          <w:i/>
          <w:sz w:val="20"/>
          <w:szCs w:val="20"/>
        </w:rPr>
        <w:t>Right panel</w:t>
      </w:r>
      <w:r w:rsidRPr="00957CD5">
        <w:rPr>
          <w:sz w:val="20"/>
          <w:szCs w:val="20"/>
        </w:rPr>
        <w:t xml:space="preserve">) Identification of the closest SGGBs. Thin blue large circles indicate building blocks that are considered, while thick blue large circles highlight the building blocks that are selected. </w:t>
      </w:r>
      <w:r w:rsidRPr="00957CD5">
        <w:rPr>
          <w:color w:val="000000"/>
          <w:sz w:val="20"/>
          <w:szCs w:val="20"/>
        </w:rPr>
        <w:t xml:space="preserve">Nodes are labelled with a capital letter according to their amino acid type and an integer as an identifier. In both panels </w:t>
      </w:r>
      <w:r w:rsidRPr="00957CD5">
        <w:rPr>
          <w:sz w:val="20"/>
          <w:szCs w:val="20"/>
        </w:rPr>
        <w:t xml:space="preserve">active nodes in each building block are denoted with *. </w:t>
      </w:r>
      <w:r w:rsidRPr="00957CD5">
        <w:rPr>
          <w:color w:val="000000"/>
          <w:sz w:val="20"/>
          <w:szCs w:val="20"/>
        </w:rPr>
        <w:t>All nodes are c</w:t>
      </w:r>
      <w:r w:rsidR="008113B4" w:rsidRPr="00957CD5">
        <w:rPr>
          <w:color w:val="000000"/>
          <w:sz w:val="20"/>
          <w:szCs w:val="20"/>
        </w:rPr>
        <w:t>olour</w:t>
      </w:r>
      <w:r w:rsidRPr="00957CD5">
        <w:rPr>
          <w:color w:val="000000"/>
          <w:sz w:val="20"/>
          <w:szCs w:val="20"/>
        </w:rPr>
        <w:t>-coded according to the amino acid as follows: orange for isoleucine (I), blue for alanine (A), and green for methionine (M).</w:t>
      </w:r>
    </w:p>
    <w:p w14:paraId="000000F1" w14:textId="77777777" w:rsidR="00DD0CC6" w:rsidRPr="00957CD5" w:rsidRDefault="00DD0CC6"/>
    <w:p w14:paraId="000000F2" w14:textId="77777777" w:rsidR="00DD0CC6" w:rsidRPr="00957CD5" w:rsidRDefault="003771BF">
      <w:pPr>
        <w:rPr>
          <w:i/>
        </w:rPr>
      </w:pPr>
      <w:r w:rsidRPr="00957CD5">
        <w:rPr>
          <w:i/>
        </w:rPr>
        <w:t>Step 2: Assignment of the first resonance – the seminal assignment</w:t>
      </w:r>
    </w:p>
    <w:p w14:paraId="000000F3" w14:textId="77777777" w:rsidR="00DD0CC6" w:rsidRPr="00957CD5" w:rsidRDefault="00DD0CC6"/>
    <w:p w14:paraId="000000F4" w14:textId="77777777" w:rsidR="00DD0CC6" w:rsidRPr="00957CD5" w:rsidRDefault="003771BF">
      <w:pPr>
        <w:ind w:firstLine="720"/>
        <w:jc w:val="both"/>
      </w:pPr>
      <w:r w:rsidRPr="00957CD5">
        <w:t xml:space="preserve">The methyl group corresponding to the active node of the SGBB with the highest </w:t>
      </w:r>
      <w:r w:rsidRPr="00957CD5">
        <w:rPr>
          <w:i/>
        </w:rPr>
        <w:t>similarity score</w:t>
      </w:r>
      <w:r w:rsidRPr="00957CD5">
        <w:t xml:space="preserve"> is the first (seminal) assignment. The other nodes (cross peaks) of this NGBB suggest assignments resulting from the matching SGBB (Fig. S6). However, in this step the assignment of the nodes (cross peaks) A-b and M-c as A1 and M4 is not yet considered as set. To make assignments more likely, i.e., to set the assignments, the matching graphs need to be expanded as explained in Step 3.</w:t>
      </w:r>
    </w:p>
    <w:p w14:paraId="000000F5" w14:textId="77777777" w:rsidR="00DD0CC6" w:rsidRPr="00957CD5" w:rsidRDefault="00DD0CC6"/>
    <w:p w14:paraId="000000F6" w14:textId="77777777" w:rsidR="00DD0CC6" w:rsidRPr="00957CD5" w:rsidRDefault="003771BF">
      <w:r w:rsidRPr="00957CD5">
        <w:rPr>
          <w:noProof/>
        </w:rPr>
        <w:drawing>
          <wp:inline distT="0" distB="0" distL="0" distR="0" wp14:anchorId="771E2FC8" wp14:editId="5C1BF05C">
            <wp:extent cx="5731510" cy="1318260"/>
            <wp:effectExtent l="0" t="0" r="0" b="0"/>
            <wp:docPr id="2014371549" name="image1.png" descr="Ein Bild, das Screenshot, Dunkelheit, Schwarz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1.png" descr="Ein Bild, das Screenshot, Dunkelheit, Schwarz enthält.&#10;&#10;KI-generierte Inhalte können fehlerhaft sein."/>
                    <pic:cNvPicPr preferRelativeResize="0"/>
                  </pic:nvPicPr>
                  <pic:blipFill>
                    <a:blip r:embed="rId23"/>
                    <a:srcRect/>
                    <a:stretch>
                      <a:fillRect/>
                    </a:stretch>
                  </pic:blipFill>
                  <pic:spPr>
                    <a:xfrm>
                      <a:off x="0" y="0"/>
                      <a:ext cx="5731510" cy="1318260"/>
                    </a:xfrm>
                    <a:prstGeom prst="rect">
                      <a:avLst/>
                    </a:prstGeom>
                    <a:ln/>
                  </pic:spPr>
                </pic:pic>
              </a:graphicData>
            </a:graphic>
          </wp:inline>
        </w:drawing>
      </w:r>
    </w:p>
    <w:p w14:paraId="000000F7" w14:textId="5E7FD294" w:rsidR="00DD0CC6" w:rsidRPr="00957CD5" w:rsidRDefault="003771BF">
      <w:pPr>
        <w:pBdr>
          <w:top w:val="nil"/>
          <w:left w:val="nil"/>
          <w:bottom w:val="nil"/>
          <w:right w:val="nil"/>
          <w:between w:val="nil"/>
        </w:pBdr>
        <w:spacing w:after="200"/>
        <w:jc w:val="both"/>
        <w:rPr>
          <w:b/>
          <w:color w:val="000000"/>
          <w:sz w:val="20"/>
          <w:szCs w:val="20"/>
        </w:rPr>
      </w:pPr>
      <w:r w:rsidRPr="00957CD5">
        <w:rPr>
          <w:b/>
          <w:color w:val="000000"/>
          <w:sz w:val="20"/>
          <w:szCs w:val="20"/>
        </w:rPr>
        <w:t xml:space="preserve">Fig. S6 Step 2 – assignment of the first resonance. </w:t>
      </w:r>
      <w:r w:rsidRPr="00957CD5">
        <w:rPr>
          <w:color w:val="000000"/>
          <w:sz w:val="20"/>
          <w:szCs w:val="20"/>
        </w:rPr>
        <w:t>C</w:t>
      </w:r>
      <w:r w:rsidR="008113B4" w:rsidRPr="00957CD5">
        <w:rPr>
          <w:color w:val="000000"/>
          <w:sz w:val="20"/>
          <w:szCs w:val="20"/>
        </w:rPr>
        <w:t>olour</w:t>
      </w:r>
      <w:r w:rsidRPr="00957CD5">
        <w:rPr>
          <w:color w:val="000000"/>
          <w:sz w:val="20"/>
          <w:szCs w:val="20"/>
        </w:rPr>
        <w:t>-code and node nomenclature like in Fig. S4.</w:t>
      </w:r>
    </w:p>
    <w:p w14:paraId="000000F8" w14:textId="77777777" w:rsidR="00DD0CC6" w:rsidRPr="00957CD5" w:rsidRDefault="00DD0CC6">
      <w:pPr>
        <w:pBdr>
          <w:top w:val="nil"/>
          <w:left w:val="nil"/>
          <w:bottom w:val="nil"/>
          <w:right w:val="nil"/>
          <w:between w:val="nil"/>
        </w:pBdr>
        <w:spacing w:after="200"/>
        <w:jc w:val="both"/>
        <w:rPr>
          <w:color w:val="000000"/>
          <w:sz w:val="20"/>
          <w:szCs w:val="20"/>
        </w:rPr>
      </w:pPr>
    </w:p>
    <w:p w14:paraId="000000F9" w14:textId="77777777" w:rsidR="00DD0CC6" w:rsidRPr="00957CD5" w:rsidRDefault="00DD0CC6"/>
    <w:p w14:paraId="000000FA" w14:textId="77777777" w:rsidR="00DD0CC6" w:rsidRPr="00957CD5" w:rsidRDefault="003771BF">
      <w:pPr>
        <w:rPr>
          <w:i/>
        </w:rPr>
      </w:pPr>
      <w:r w:rsidRPr="00957CD5">
        <w:rPr>
          <w:i/>
        </w:rPr>
        <w:t xml:space="preserve">Step 3: Expanding the NOE graph using the methyl walk principle with optimal NGBB selection </w:t>
      </w:r>
    </w:p>
    <w:p w14:paraId="000000FB" w14:textId="7FA831B4" w:rsidR="00DD0CC6" w:rsidRPr="00957CD5" w:rsidRDefault="003771BF">
      <w:pPr>
        <w:spacing w:line="276" w:lineRule="auto"/>
        <w:ind w:firstLine="720"/>
        <w:jc w:val="both"/>
      </w:pPr>
      <w:r w:rsidRPr="00957CD5">
        <w:t>In general, Step 3 consists of identifying a node adjacent to the assigned one to be used to continue with the methyl walk. In this example (Figs. S6 and S7) the nodes (cross peaks) A-</w:t>
      </w:r>
      <w:r w:rsidRPr="00957CD5">
        <w:lastRenderedPageBreak/>
        <w:t xml:space="preserve">b and M-c are not assigned yet. AMIGO determines a </w:t>
      </w:r>
      <w:r w:rsidR="002C1ED2" w:rsidRPr="00957CD5">
        <w:rPr>
          <w:i/>
        </w:rPr>
        <w:t>rarity</w:t>
      </w:r>
      <w:r w:rsidRPr="00957CD5">
        <w:rPr>
          <w:i/>
        </w:rPr>
        <w:t xml:space="preserve"> score</w:t>
      </w:r>
      <w:r w:rsidRPr="00957CD5">
        <w:t xml:space="preserve"> (Eq. </w:t>
      </w:r>
      <w:r w:rsidR="002C1ED2" w:rsidRPr="00957CD5">
        <w:t>1</w:t>
      </w:r>
      <w:r w:rsidRPr="00957CD5">
        <w:t xml:space="preserve">) for all NGBBs that have A-b or M-c as active nodes. The NGBB with the lowest </w:t>
      </w:r>
      <w:r w:rsidR="002C1ED2" w:rsidRPr="00957CD5">
        <w:rPr>
          <w:i/>
        </w:rPr>
        <w:t>rarit</w:t>
      </w:r>
      <w:r w:rsidRPr="00957CD5">
        <w:rPr>
          <w:i/>
        </w:rPr>
        <w:t>y</w:t>
      </w:r>
      <w:r w:rsidRPr="00957CD5">
        <w:t xml:space="preserve"> </w:t>
      </w:r>
      <w:r w:rsidRPr="00957CD5">
        <w:rPr>
          <w:i/>
        </w:rPr>
        <w:t xml:space="preserve">score </w:t>
      </w:r>
      <w:r w:rsidRPr="00957CD5">
        <w:t xml:space="preserve">of all unassigned nodes is selected for the next step next step in the methyl walk (indicated with a thick blue circle in Fig. </w:t>
      </w:r>
      <w:r w:rsidR="002C1ED2" w:rsidRPr="00957CD5">
        <w:t>S7</w:t>
      </w:r>
      <w:r w:rsidRPr="00957CD5">
        <w:t xml:space="preserve">). </w:t>
      </w:r>
      <w:bookmarkStart w:id="8" w:name="bookmark=id.h793gd7y3klw" w:colFirst="0" w:colLast="0"/>
      <w:bookmarkStart w:id="9" w:name="bookmark=id.f2ecicruafur" w:colFirst="0" w:colLast="0"/>
      <w:bookmarkEnd w:id="8"/>
      <w:bookmarkEnd w:id="9"/>
      <w:r w:rsidRPr="00957CD5">
        <w:t xml:space="preserve">The </w:t>
      </w:r>
      <w:r w:rsidR="002C1ED2" w:rsidRPr="00957CD5">
        <w:rPr>
          <w:i/>
        </w:rPr>
        <w:t>rarity</w:t>
      </w:r>
      <w:r w:rsidRPr="00957CD5">
        <w:t xml:space="preserve"> </w:t>
      </w:r>
      <w:r w:rsidRPr="00957CD5">
        <w:rPr>
          <w:i/>
        </w:rPr>
        <w:t xml:space="preserve">score </w:t>
      </w:r>
      <w:r w:rsidRPr="00957CD5">
        <w:t xml:space="preserve">reflects the rarity of the active node amino acid type of the NGBB within a graph. A </w:t>
      </w:r>
      <w:r w:rsidR="002C1ED2" w:rsidRPr="00957CD5">
        <w:t>higher</w:t>
      </w:r>
      <w:r w:rsidRPr="00957CD5">
        <w:t xml:space="preserve"> score is derived from rare amino acid types and their connections to other rare amino acid types within that NGBB. Thus, the </w:t>
      </w:r>
      <w:r w:rsidR="002C1ED2" w:rsidRPr="00957CD5">
        <w:t>higher</w:t>
      </w:r>
      <w:r w:rsidRPr="00957CD5">
        <w:t xml:space="preserve"> the </w:t>
      </w:r>
      <w:r w:rsidR="002C1ED2" w:rsidRPr="00957CD5">
        <w:rPr>
          <w:i/>
        </w:rPr>
        <w:t xml:space="preserve">rarity </w:t>
      </w:r>
      <w:r w:rsidRPr="00957CD5">
        <w:rPr>
          <w:i/>
        </w:rPr>
        <w:t>score</w:t>
      </w:r>
      <w:r w:rsidRPr="00957CD5">
        <w:t xml:space="preserve">, the </w:t>
      </w:r>
      <w:proofErr w:type="gramStart"/>
      <w:r w:rsidRPr="00957CD5">
        <w:t>more "</w:t>
      </w:r>
      <w:r w:rsidR="002C1ED2" w:rsidRPr="00957CD5">
        <w:t>rare</w:t>
      </w:r>
      <w:r w:rsidRPr="00957CD5">
        <w:t>"</w:t>
      </w:r>
      <w:proofErr w:type="gramEnd"/>
      <w:r w:rsidRPr="00957CD5">
        <w:t xml:space="preserve"> the NGBB is, which increases the probability of a correct assignment.</w:t>
      </w:r>
    </w:p>
    <w:p w14:paraId="000000FC" w14:textId="77777777" w:rsidR="00DD0CC6" w:rsidRPr="00957CD5" w:rsidRDefault="00DD0CC6">
      <w:pPr>
        <w:spacing w:line="276" w:lineRule="auto"/>
        <w:jc w:val="both"/>
      </w:pPr>
    </w:p>
    <w:p w14:paraId="000000FD" w14:textId="67F33520" w:rsidR="00DD0CC6" w:rsidRPr="00957CD5" w:rsidRDefault="002C1ED2">
      <w:pPr>
        <w:spacing w:line="276" w:lineRule="auto"/>
        <w:jc w:val="both"/>
      </w:pPr>
      <w:r w:rsidRPr="00957CD5">
        <w:rPr>
          <w:noProof/>
        </w:rPr>
        <w:drawing>
          <wp:inline distT="0" distB="0" distL="0" distR="0" wp14:anchorId="7849EBDB" wp14:editId="1A743A6D">
            <wp:extent cx="5760720" cy="3067050"/>
            <wp:effectExtent l="0" t="0" r="5080" b="6350"/>
            <wp:docPr id="1380996301" name="Grafik 3" descr="Ein Bild, das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96301" name="Grafik 3" descr="Ein Bild, das Screenshot enthält.&#10;&#10;KI-generierte Inhalte können fehlerhaft sein."/>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3067050"/>
                    </a:xfrm>
                    <a:prstGeom prst="rect">
                      <a:avLst/>
                    </a:prstGeom>
                  </pic:spPr>
                </pic:pic>
              </a:graphicData>
            </a:graphic>
          </wp:inline>
        </w:drawing>
      </w:r>
    </w:p>
    <w:p w14:paraId="000000FE" w14:textId="6B8673DD" w:rsidR="00DD0CC6" w:rsidRPr="00957CD5" w:rsidRDefault="003771BF">
      <w:pPr>
        <w:pBdr>
          <w:top w:val="nil"/>
          <w:left w:val="nil"/>
          <w:bottom w:val="nil"/>
          <w:right w:val="nil"/>
          <w:between w:val="nil"/>
        </w:pBdr>
        <w:spacing w:after="200"/>
        <w:jc w:val="both"/>
        <w:rPr>
          <w:color w:val="000000"/>
          <w:sz w:val="20"/>
          <w:szCs w:val="20"/>
        </w:rPr>
      </w:pPr>
      <w:r w:rsidRPr="00957CD5">
        <w:rPr>
          <w:b/>
          <w:color w:val="000000"/>
          <w:sz w:val="20"/>
          <w:szCs w:val="20"/>
        </w:rPr>
        <w:t xml:space="preserve">Fig. S7 Step 3 of the identification of methyl walks from graph building blocks. </w:t>
      </w:r>
      <w:r w:rsidRPr="00957CD5">
        <w:rPr>
          <w:color w:val="000000"/>
          <w:sz w:val="20"/>
          <w:szCs w:val="20"/>
        </w:rPr>
        <w:t>Circles with thin lines indicate the nodes (</w:t>
      </w:r>
      <w:r w:rsidRPr="00957CD5">
        <w:rPr>
          <w:i/>
          <w:color w:val="000000"/>
          <w:sz w:val="20"/>
          <w:szCs w:val="20"/>
        </w:rPr>
        <w:t>left panel</w:t>
      </w:r>
      <w:r w:rsidRPr="00957CD5">
        <w:rPr>
          <w:color w:val="000000"/>
          <w:sz w:val="20"/>
          <w:szCs w:val="20"/>
        </w:rPr>
        <w:t>) or NGBBs (</w:t>
      </w:r>
      <w:r w:rsidRPr="00957CD5">
        <w:rPr>
          <w:i/>
          <w:color w:val="000000"/>
          <w:sz w:val="20"/>
          <w:szCs w:val="20"/>
        </w:rPr>
        <w:t>centre panel</w:t>
      </w:r>
      <w:r w:rsidRPr="00957CD5">
        <w:rPr>
          <w:color w:val="000000"/>
          <w:sz w:val="20"/>
          <w:szCs w:val="20"/>
        </w:rPr>
        <w:t xml:space="preserve">) that are considered. Circles with thick lines highlight the ones being selected according to the </w:t>
      </w:r>
      <w:r w:rsidR="002C1ED2" w:rsidRPr="00957CD5">
        <w:rPr>
          <w:i/>
          <w:color w:val="000000"/>
          <w:sz w:val="20"/>
          <w:szCs w:val="20"/>
        </w:rPr>
        <w:t xml:space="preserve">rarity </w:t>
      </w:r>
      <w:r w:rsidRPr="00957CD5">
        <w:rPr>
          <w:i/>
          <w:color w:val="000000"/>
          <w:sz w:val="20"/>
          <w:szCs w:val="20"/>
        </w:rPr>
        <w:t>score</w:t>
      </w:r>
      <w:r w:rsidRPr="00957CD5">
        <w:rPr>
          <w:color w:val="000000"/>
          <w:sz w:val="20"/>
          <w:szCs w:val="20"/>
        </w:rPr>
        <w:t xml:space="preserve"> (Eq. </w:t>
      </w:r>
      <w:r w:rsidR="002C1ED2" w:rsidRPr="00957CD5">
        <w:rPr>
          <w:color w:val="000000"/>
          <w:sz w:val="20"/>
          <w:szCs w:val="20"/>
        </w:rPr>
        <w:t>1</w:t>
      </w:r>
      <w:r w:rsidRPr="00957CD5">
        <w:rPr>
          <w:color w:val="000000"/>
          <w:sz w:val="20"/>
          <w:szCs w:val="20"/>
        </w:rPr>
        <w:t>). Blue and violet indicate the reference unassigned nodes (A-b and M-c, respectively). C</w:t>
      </w:r>
      <w:r w:rsidR="008113B4" w:rsidRPr="00957CD5">
        <w:rPr>
          <w:color w:val="000000"/>
          <w:sz w:val="20"/>
          <w:szCs w:val="20"/>
        </w:rPr>
        <w:t>olour</w:t>
      </w:r>
      <w:r w:rsidRPr="00957CD5">
        <w:rPr>
          <w:color w:val="000000"/>
          <w:sz w:val="20"/>
          <w:szCs w:val="20"/>
        </w:rPr>
        <w:t>-code and node nomenclature like in Fig. S4.</w:t>
      </w:r>
    </w:p>
    <w:p w14:paraId="000000FF" w14:textId="77777777" w:rsidR="00DD0CC6" w:rsidRPr="00957CD5" w:rsidRDefault="00DD0CC6"/>
    <w:p w14:paraId="00000100" w14:textId="77777777" w:rsidR="00DD0CC6" w:rsidRPr="00957CD5" w:rsidRDefault="003771BF">
      <w:pPr>
        <w:spacing w:line="276" w:lineRule="auto"/>
        <w:ind w:firstLine="720"/>
        <w:jc w:val="both"/>
      </w:pPr>
      <w:r w:rsidRPr="00957CD5">
        <w:t>By identifying NGBBs with active nodes that align with nodes in the partially completed NOE graph (c.f. Fig. S7; left panel), we ensure the presence of an assigned node (such as node "A-d," assigned in Step 2) within each considered NGBB. This is essential to "walk" from one assigned methyl group to the next (c.f. Fig. S7; right panel). This strategy reduces the likelihood of incorrect continuations of the methyl walk, mimicking the procedure followed by a well-trained NMR spectroscopist during manual assignments.</w:t>
      </w:r>
    </w:p>
    <w:p w14:paraId="00000101" w14:textId="77777777" w:rsidR="00DD0CC6" w:rsidRPr="00957CD5" w:rsidRDefault="00DD0CC6">
      <w:pPr>
        <w:rPr>
          <w:i/>
        </w:rPr>
      </w:pPr>
    </w:p>
    <w:p w14:paraId="00000102" w14:textId="77777777" w:rsidR="00DD0CC6" w:rsidRPr="00957CD5" w:rsidRDefault="003771BF">
      <w:pPr>
        <w:rPr>
          <w:i/>
        </w:rPr>
      </w:pPr>
      <w:r w:rsidRPr="00957CD5">
        <w:rPr>
          <w:i/>
        </w:rPr>
        <w:t>Step 4: Selecting the SGBB matching the selected NGBB</w:t>
      </w:r>
    </w:p>
    <w:p w14:paraId="00000103" w14:textId="77777777" w:rsidR="00DD0CC6" w:rsidRPr="00957CD5" w:rsidRDefault="003771BF">
      <w:pPr>
        <w:ind w:firstLine="720"/>
        <w:jc w:val="both"/>
      </w:pPr>
      <w:r w:rsidRPr="00957CD5">
        <w:t xml:space="preserve">Next, the NGBB selected in Step 3 is compared to a subset of SGBBs resulting in </w:t>
      </w:r>
      <w:r w:rsidRPr="00957CD5">
        <w:rPr>
          <w:i/>
        </w:rPr>
        <w:t>similarity scores</w:t>
      </w:r>
      <w:r w:rsidRPr="00957CD5">
        <w:t xml:space="preserve"> as described in Step 1. The comparison is streamlined by limiting the search to SGBBs that meet the following three criteria: </w:t>
      </w:r>
      <w:proofErr w:type="spellStart"/>
      <w:r w:rsidRPr="00957CD5">
        <w:t>i</w:t>
      </w:r>
      <w:proofErr w:type="spellEnd"/>
      <w:r w:rsidRPr="00957CD5">
        <w:t xml:space="preserve">) the amino acid type of the SGBB’s active node must be identical to that of the NGBB’s active node. ii) Only SGBBs whose active nodes are unassigned and iii) correspond to a node in the partially reconstructed structure graph are considered. The corresponding nodes in the partially reconstructed structure graph naturally satisfies another criterion: they are adjacent to a node which has already been assigned to a node within the identified NGBB (for instance "A3", which is assigned to "A-d" as shown in Fig. 4). The </w:t>
      </w:r>
      <w:r w:rsidRPr="00957CD5">
        <w:rPr>
          <w:i/>
        </w:rPr>
        <w:t>similarity score</w:t>
      </w:r>
      <w:r w:rsidRPr="00957CD5">
        <w:t xml:space="preserve"> (Eq. 1) is then employed to identify the best matching SGBB (Fig. S8). </w:t>
      </w:r>
      <w:bookmarkStart w:id="10" w:name="bookmark=id.3k08i9tpro0t" w:colFirst="0" w:colLast="0"/>
      <w:bookmarkStart w:id="11" w:name="bookmark=id.xoah42fmv7xy" w:colFirst="0" w:colLast="0"/>
      <w:bookmarkEnd w:id="10"/>
      <w:bookmarkEnd w:id="11"/>
      <w:r w:rsidRPr="00957CD5">
        <w:t xml:space="preserve">Importantly, this strategy significantly reduces computational time by constructing sequences </w:t>
      </w:r>
      <w:r w:rsidRPr="00957CD5">
        <w:lastRenderedPageBreak/>
        <w:t>of assigned nodes, equivalent to performing a classical methyl walk, within an increasingly narrow sampling space.</w:t>
      </w:r>
    </w:p>
    <w:p w14:paraId="00000104" w14:textId="77777777" w:rsidR="00DD0CC6" w:rsidRPr="00957CD5" w:rsidRDefault="00DD0CC6"/>
    <w:p w14:paraId="00000105" w14:textId="77777777" w:rsidR="00DD0CC6" w:rsidRPr="00957CD5" w:rsidRDefault="003771BF">
      <w:pPr>
        <w:keepNext/>
      </w:pPr>
      <w:r w:rsidRPr="00957CD5">
        <w:rPr>
          <w:noProof/>
        </w:rPr>
        <w:drawing>
          <wp:inline distT="0" distB="0" distL="0" distR="0" wp14:anchorId="67EA5C7B" wp14:editId="24EAC0F6">
            <wp:extent cx="5731510" cy="3166110"/>
            <wp:effectExtent l="0" t="0" r="0" b="0"/>
            <wp:docPr id="2014371551" name="image4.png" descr="Ein Bild, das Screenshot, Farbigkeit, Kreis, Grafiken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4.png" descr="Ein Bild, das Screenshot, Farbigkeit, Kreis, Grafiken enthält.&#10;&#10;KI-generierte Inhalte können fehlerhaft sein."/>
                    <pic:cNvPicPr preferRelativeResize="0"/>
                  </pic:nvPicPr>
                  <pic:blipFill>
                    <a:blip r:embed="rId25"/>
                    <a:srcRect/>
                    <a:stretch>
                      <a:fillRect/>
                    </a:stretch>
                  </pic:blipFill>
                  <pic:spPr>
                    <a:xfrm>
                      <a:off x="0" y="0"/>
                      <a:ext cx="5731510" cy="3166110"/>
                    </a:xfrm>
                    <a:prstGeom prst="rect">
                      <a:avLst/>
                    </a:prstGeom>
                    <a:ln/>
                  </pic:spPr>
                </pic:pic>
              </a:graphicData>
            </a:graphic>
          </wp:inline>
        </w:drawing>
      </w:r>
    </w:p>
    <w:p w14:paraId="00000106" w14:textId="2017C532" w:rsidR="00DD0CC6" w:rsidRPr="00957CD5" w:rsidRDefault="003771BF">
      <w:pPr>
        <w:pBdr>
          <w:top w:val="nil"/>
          <w:left w:val="nil"/>
          <w:bottom w:val="nil"/>
          <w:right w:val="nil"/>
          <w:between w:val="nil"/>
        </w:pBdr>
        <w:spacing w:after="200"/>
        <w:jc w:val="both"/>
        <w:rPr>
          <w:color w:val="000000"/>
          <w:sz w:val="20"/>
          <w:szCs w:val="20"/>
        </w:rPr>
      </w:pPr>
      <w:r w:rsidRPr="00957CD5">
        <w:rPr>
          <w:b/>
          <w:color w:val="000000"/>
          <w:sz w:val="20"/>
          <w:szCs w:val="20"/>
        </w:rPr>
        <w:t xml:space="preserve">Fig. S8 Step 4 of the identification of methyl walks from graph building blocks. </w:t>
      </w:r>
      <w:r w:rsidRPr="00957CD5">
        <w:rPr>
          <w:color w:val="000000"/>
          <w:sz w:val="20"/>
          <w:szCs w:val="20"/>
        </w:rPr>
        <w:t xml:space="preserve">See step 4 for further explanations. Criteria </w:t>
      </w:r>
      <w:proofErr w:type="spellStart"/>
      <w:r w:rsidRPr="00957CD5">
        <w:rPr>
          <w:color w:val="000000"/>
          <w:sz w:val="20"/>
          <w:szCs w:val="20"/>
        </w:rPr>
        <w:t>i</w:t>
      </w:r>
      <w:proofErr w:type="spellEnd"/>
      <w:r w:rsidRPr="00957CD5">
        <w:rPr>
          <w:color w:val="000000"/>
          <w:sz w:val="20"/>
          <w:szCs w:val="20"/>
        </w:rPr>
        <w:t>) to iii) from the text are indicated in the left panel in bold. Circles with thin lines indicate the nodes (</w:t>
      </w:r>
      <w:r w:rsidRPr="00957CD5">
        <w:rPr>
          <w:i/>
          <w:color w:val="000000"/>
          <w:sz w:val="20"/>
          <w:szCs w:val="20"/>
        </w:rPr>
        <w:t>left panel</w:t>
      </w:r>
      <w:r w:rsidRPr="00957CD5">
        <w:rPr>
          <w:color w:val="000000"/>
          <w:sz w:val="20"/>
          <w:szCs w:val="20"/>
        </w:rPr>
        <w:t>) or SGBBs (</w:t>
      </w:r>
      <w:r w:rsidRPr="00957CD5">
        <w:rPr>
          <w:i/>
          <w:color w:val="000000"/>
          <w:sz w:val="20"/>
          <w:szCs w:val="20"/>
        </w:rPr>
        <w:t>right panel</w:t>
      </w:r>
      <w:r w:rsidRPr="00957CD5">
        <w:rPr>
          <w:color w:val="000000"/>
          <w:sz w:val="20"/>
          <w:szCs w:val="20"/>
        </w:rPr>
        <w:t xml:space="preserve">) that are considered. Circles with thick lines highlight the ones being selected according to the </w:t>
      </w:r>
      <w:r w:rsidRPr="00957CD5">
        <w:rPr>
          <w:i/>
          <w:color w:val="000000"/>
          <w:sz w:val="20"/>
          <w:szCs w:val="20"/>
        </w:rPr>
        <w:t>similarity score</w:t>
      </w:r>
      <w:r w:rsidRPr="00957CD5">
        <w:rPr>
          <w:color w:val="000000"/>
          <w:sz w:val="20"/>
          <w:szCs w:val="20"/>
        </w:rPr>
        <w:t xml:space="preserve"> (Eq. 1). C</w:t>
      </w:r>
      <w:r w:rsidR="008113B4" w:rsidRPr="00957CD5">
        <w:rPr>
          <w:color w:val="000000"/>
          <w:sz w:val="20"/>
          <w:szCs w:val="20"/>
        </w:rPr>
        <w:t>olour</w:t>
      </w:r>
      <w:r w:rsidRPr="00957CD5">
        <w:rPr>
          <w:color w:val="000000"/>
          <w:sz w:val="20"/>
          <w:szCs w:val="20"/>
        </w:rPr>
        <w:t>-code and node nomenclature like in Fig. S4.</w:t>
      </w:r>
    </w:p>
    <w:p w14:paraId="00000107" w14:textId="77777777" w:rsidR="00DD0CC6" w:rsidRPr="00957CD5" w:rsidRDefault="00DD0CC6"/>
    <w:p w14:paraId="00000108" w14:textId="77777777" w:rsidR="00DD0CC6" w:rsidRPr="00957CD5" w:rsidRDefault="003771BF">
      <w:pPr>
        <w:ind w:firstLine="720"/>
        <w:jc w:val="both"/>
      </w:pPr>
      <w:r w:rsidRPr="00957CD5">
        <w:t xml:space="preserve">Active nodes of the NGBB and of the best matching SGBB are assigned to each other, and the respective building blocks are used to continue the assembly of the NOE graph and a matching structure graph (Fig. S9). </w:t>
      </w:r>
    </w:p>
    <w:p w14:paraId="00000109" w14:textId="77777777" w:rsidR="00DD0CC6" w:rsidRPr="00957CD5" w:rsidRDefault="003771BF">
      <w:pPr>
        <w:jc w:val="both"/>
      </w:pPr>
      <w:r w:rsidRPr="00957CD5">
        <w:rPr>
          <w:noProof/>
        </w:rPr>
        <w:drawing>
          <wp:inline distT="0" distB="0" distL="0" distR="0" wp14:anchorId="5CF974E2" wp14:editId="6905E1EF">
            <wp:extent cx="5731510" cy="1518285"/>
            <wp:effectExtent l="0" t="0" r="0" b="0"/>
            <wp:docPr id="2014371552" name="image8.png" descr="Ein Bild, das Screenshot, Farbigkei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8.png" descr="Ein Bild, das Screenshot, Farbigkeit enthält.&#10;&#10;KI-generierte Inhalte können fehlerhaft sein."/>
                    <pic:cNvPicPr preferRelativeResize="0"/>
                  </pic:nvPicPr>
                  <pic:blipFill>
                    <a:blip r:embed="rId26"/>
                    <a:srcRect/>
                    <a:stretch>
                      <a:fillRect/>
                    </a:stretch>
                  </pic:blipFill>
                  <pic:spPr>
                    <a:xfrm>
                      <a:off x="0" y="0"/>
                      <a:ext cx="5731510" cy="1518285"/>
                    </a:xfrm>
                    <a:prstGeom prst="rect">
                      <a:avLst/>
                    </a:prstGeom>
                    <a:ln/>
                  </pic:spPr>
                </pic:pic>
              </a:graphicData>
            </a:graphic>
          </wp:inline>
        </w:drawing>
      </w:r>
    </w:p>
    <w:p w14:paraId="0000010A" w14:textId="4AF4D5D2" w:rsidR="00DD0CC6" w:rsidRPr="00957CD5" w:rsidRDefault="003771BF">
      <w:pPr>
        <w:pBdr>
          <w:top w:val="nil"/>
          <w:left w:val="nil"/>
          <w:bottom w:val="nil"/>
          <w:right w:val="nil"/>
          <w:between w:val="nil"/>
        </w:pBdr>
        <w:spacing w:after="200"/>
        <w:jc w:val="both"/>
        <w:rPr>
          <w:b/>
          <w:color w:val="000000"/>
          <w:sz w:val="20"/>
          <w:szCs w:val="20"/>
        </w:rPr>
      </w:pPr>
      <w:r w:rsidRPr="00957CD5">
        <w:rPr>
          <w:b/>
          <w:color w:val="000000"/>
          <w:sz w:val="20"/>
          <w:szCs w:val="20"/>
        </w:rPr>
        <w:t xml:space="preserve">Fig. S9 The methyl </w:t>
      </w:r>
      <w:proofErr w:type="gramStart"/>
      <w:r w:rsidRPr="00957CD5">
        <w:rPr>
          <w:b/>
          <w:color w:val="000000"/>
          <w:sz w:val="20"/>
          <w:szCs w:val="20"/>
        </w:rPr>
        <w:t>walk</w:t>
      </w:r>
      <w:proofErr w:type="gramEnd"/>
      <w:r w:rsidRPr="00957CD5">
        <w:rPr>
          <w:b/>
          <w:color w:val="000000"/>
          <w:sz w:val="20"/>
          <w:szCs w:val="20"/>
        </w:rPr>
        <w:t xml:space="preserve"> advances by iteration from Step 2. </w:t>
      </w:r>
      <w:r w:rsidRPr="00957CD5">
        <w:rPr>
          <w:color w:val="000000"/>
          <w:sz w:val="20"/>
          <w:szCs w:val="20"/>
        </w:rPr>
        <w:t>C</w:t>
      </w:r>
      <w:r w:rsidR="008113B4" w:rsidRPr="00957CD5">
        <w:rPr>
          <w:color w:val="000000"/>
          <w:sz w:val="20"/>
          <w:szCs w:val="20"/>
        </w:rPr>
        <w:t>olour</w:t>
      </w:r>
      <w:r w:rsidRPr="00957CD5">
        <w:rPr>
          <w:color w:val="000000"/>
          <w:sz w:val="20"/>
          <w:szCs w:val="20"/>
        </w:rPr>
        <w:t>-code and node nomenclature like in Fig. S4.</w:t>
      </w:r>
    </w:p>
    <w:p w14:paraId="0000010B" w14:textId="77777777" w:rsidR="00DD0CC6" w:rsidRPr="00957CD5" w:rsidRDefault="00DD0CC6"/>
    <w:p w14:paraId="0000010C" w14:textId="2DBBBE25" w:rsidR="00DD0CC6" w:rsidRPr="00957CD5" w:rsidRDefault="003771BF">
      <w:pPr>
        <w:ind w:firstLine="720"/>
        <w:jc w:val="both"/>
      </w:pPr>
      <w:r w:rsidRPr="00957CD5">
        <w:t xml:space="preserve">AMIGO iterates through Steps 2, 3, and 4 until no more assignments are possible. Each methyl group is evaluated as a potential starting point for a methyl walk, leading to the generation of distinct methyl walks for each NGBB. </w:t>
      </w:r>
      <w:bookmarkStart w:id="12" w:name="bookmark=id.dr8hqfrw5xvz" w:colFirst="0" w:colLast="0"/>
      <w:bookmarkStart w:id="13" w:name="bookmark=id.b58q53ju81tl" w:colFirst="0" w:colLast="0"/>
      <w:bookmarkEnd w:id="12"/>
      <w:bookmarkEnd w:id="13"/>
      <w:r w:rsidRPr="00957CD5">
        <w:t xml:space="preserve">The walks and their corresponding assignments are then assessed by the </w:t>
      </w:r>
      <w:r w:rsidRPr="00957CD5">
        <w:rPr>
          <w:i/>
        </w:rPr>
        <w:t>total score</w:t>
      </w:r>
      <w:r w:rsidRPr="00957CD5">
        <w:t xml:space="preserve"> (Equation 8). The methyl </w:t>
      </w:r>
      <w:proofErr w:type="gramStart"/>
      <w:r w:rsidRPr="00957CD5">
        <w:t>walk</w:t>
      </w:r>
      <w:proofErr w:type="gramEnd"/>
      <w:r w:rsidRPr="00957CD5">
        <w:t xml:space="preserve"> yielding the highest </w:t>
      </w:r>
      <w:r w:rsidRPr="00957CD5">
        <w:rPr>
          <w:i/>
        </w:rPr>
        <w:t>total score</w:t>
      </w:r>
      <w:r w:rsidRPr="00957CD5">
        <w:t xml:space="preserve"> is considered as the final assignment. Typically, a single methyl walk encompasses only a portion of the methyl groups present in the protein due to either connectivity gaps or </w:t>
      </w:r>
      <w:r w:rsidR="008113B4" w:rsidRPr="00957CD5">
        <w:t>unfavourable</w:t>
      </w:r>
      <w:r w:rsidRPr="00957CD5">
        <w:t xml:space="preserve"> protein dynamics. To overcome this limitation, the algorithm excludes the assigned methyl groups and their corresponding NMR resonances from subsequent analysis, and the process is repeated with the remaining methyl groups until no further assignments can be performed (Fig. 2). </w:t>
      </w:r>
      <w:bookmarkStart w:id="14" w:name="bookmark=id.twkts2jk5k1k" w:colFirst="0" w:colLast="0"/>
      <w:bookmarkStart w:id="15" w:name="bookmark=id.f9a6atoxnban" w:colFirst="0" w:colLast="0"/>
      <w:bookmarkEnd w:id="14"/>
      <w:bookmarkEnd w:id="15"/>
    </w:p>
    <w:p w14:paraId="0000010D" w14:textId="49AD11E2" w:rsidR="00DD0CC6" w:rsidRPr="00957CD5" w:rsidRDefault="003771BF">
      <w:pPr>
        <w:rPr>
          <w:b/>
          <w:color w:val="000000"/>
          <w:u w:val="single"/>
        </w:rPr>
      </w:pPr>
      <w:r w:rsidRPr="00957CD5">
        <w:rPr>
          <w:b/>
          <w:color w:val="000000"/>
          <w:u w:val="single"/>
        </w:rPr>
        <w:lastRenderedPageBreak/>
        <w:t xml:space="preserve">Examples illustrating the calculation of </w:t>
      </w:r>
      <w:r w:rsidRPr="00957CD5">
        <w:rPr>
          <w:b/>
          <w:i/>
          <w:color w:val="000000"/>
          <w:u w:val="single"/>
        </w:rPr>
        <w:t xml:space="preserve">similarity </w:t>
      </w:r>
      <w:r w:rsidRPr="00957CD5">
        <w:rPr>
          <w:b/>
          <w:color w:val="000000"/>
          <w:u w:val="single"/>
        </w:rPr>
        <w:t xml:space="preserve">and </w:t>
      </w:r>
      <w:r w:rsidR="002C1ED2" w:rsidRPr="00957CD5">
        <w:rPr>
          <w:b/>
          <w:i/>
          <w:color w:val="000000"/>
          <w:u w:val="single"/>
        </w:rPr>
        <w:t>rarity</w:t>
      </w:r>
      <w:r w:rsidRPr="00957CD5">
        <w:rPr>
          <w:b/>
          <w:i/>
          <w:color w:val="000000"/>
          <w:u w:val="single"/>
        </w:rPr>
        <w:t xml:space="preserve"> </w:t>
      </w:r>
      <w:r w:rsidRPr="00957CD5">
        <w:rPr>
          <w:b/>
          <w:color w:val="000000"/>
          <w:u w:val="single"/>
        </w:rPr>
        <w:t>scores:</w:t>
      </w:r>
    </w:p>
    <w:p w14:paraId="00000110" w14:textId="77777777" w:rsidR="00DD0CC6" w:rsidRPr="00957CD5" w:rsidRDefault="00DD0CC6">
      <w:pPr>
        <w:pBdr>
          <w:top w:val="nil"/>
          <w:left w:val="nil"/>
          <w:bottom w:val="nil"/>
          <w:right w:val="nil"/>
          <w:between w:val="nil"/>
        </w:pBdr>
        <w:spacing w:after="200"/>
        <w:rPr>
          <w:b/>
          <w:color w:val="000000"/>
        </w:rPr>
      </w:pPr>
    </w:p>
    <w:p w14:paraId="00000111" w14:textId="77777777" w:rsidR="00DD0CC6" w:rsidRPr="00957CD5" w:rsidRDefault="00DD0CC6"/>
    <w:p w14:paraId="00000112" w14:textId="77777777" w:rsidR="00DD0CC6" w:rsidRPr="00957CD5" w:rsidRDefault="003771BF">
      <w:r w:rsidRPr="00957CD5">
        <w:rPr>
          <w:noProof/>
        </w:rPr>
        <w:drawing>
          <wp:inline distT="0" distB="0" distL="0" distR="0" wp14:anchorId="21B973E1" wp14:editId="629F4159">
            <wp:extent cx="5760720" cy="1809750"/>
            <wp:effectExtent l="0" t="0" r="0" b="0"/>
            <wp:docPr id="201437155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5760720" cy="1809750"/>
                    </a:xfrm>
                    <a:prstGeom prst="rect">
                      <a:avLst/>
                    </a:prstGeom>
                    <a:ln/>
                  </pic:spPr>
                </pic:pic>
              </a:graphicData>
            </a:graphic>
          </wp:inline>
        </w:drawing>
      </w:r>
    </w:p>
    <w:p w14:paraId="00000113" w14:textId="2A68A95C" w:rsidR="00DD0CC6" w:rsidRPr="00957CD5" w:rsidRDefault="003771BF">
      <w:pPr>
        <w:jc w:val="both"/>
        <w:rPr>
          <w:color w:val="000000"/>
        </w:rPr>
      </w:pPr>
      <w:r w:rsidRPr="00957CD5">
        <w:rPr>
          <w:b/>
          <w:color w:val="000000"/>
        </w:rPr>
        <w:t xml:space="preserve">Fig. S10 Example of calculation of the </w:t>
      </w:r>
      <w:r w:rsidR="002C1ED2" w:rsidRPr="00957CD5">
        <w:rPr>
          <w:b/>
          <w:i/>
          <w:color w:val="000000"/>
        </w:rPr>
        <w:t xml:space="preserve">rarity </w:t>
      </w:r>
      <w:r w:rsidRPr="00957CD5">
        <w:rPr>
          <w:b/>
          <w:i/>
          <w:color w:val="000000"/>
        </w:rPr>
        <w:t>score</w:t>
      </w:r>
      <w:r w:rsidRPr="00957CD5">
        <w:rPr>
          <w:b/>
          <w:color w:val="000000"/>
        </w:rPr>
        <w:t>.</w:t>
      </w:r>
      <w:r w:rsidRPr="00957CD5">
        <w:rPr>
          <w:color w:val="000000"/>
        </w:rPr>
        <w:t xml:space="preserve"> The </w:t>
      </w:r>
      <w:r w:rsidR="002C1ED2" w:rsidRPr="00957CD5">
        <w:rPr>
          <w:i/>
          <w:color w:val="000000"/>
        </w:rPr>
        <w:t>rarity</w:t>
      </w:r>
      <w:r w:rsidRPr="00957CD5">
        <w:rPr>
          <w:i/>
          <w:color w:val="000000"/>
        </w:rPr>
        <w:t xml:space="preserve"> score</w:t>
      </w:r>
      <w:r w:rsidRPr="00957CD5">
        <w:rPr>
          <w:color w:val="000000"/>
        </w:rPr>
        <w:t xml:space="preserve"> is calculated for a particular NOE graph building block (</w:t>
      </w:r>
      <w:r w:rsidRPr="00957CD5">
        <w:rPr>
          <w:i/>
          <w:color w:val="000000"/>
        </w:rPr>
        <w:t>left panel</w:t>
      </w:r>
      <w:r w:rsidRPr="00957CD5">
        <w:rPr>
          <w:color w:val="000000"/>
        </w:rPr>
        <w:t xml:space="preserve">, NGBB) being part of a set of NGBBs termed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G</m:t>
            </m:r>
          </m:e>
          <m:sub>
            <m:r>
              <w:rPr>
                <w:rFonts w:ascii="Cambria Math" w:eastAsia="Cambria Math" w:hAnsi="Cambria Math" w:cs="Cambria Math"/>
                <w:color w:val="000000"/>
              </w:rPr>
              <m:t>NMR</m:t>
            </m:r>
          </m:sub>
        </m:sSub>
      </m:oMath>
      <w:r w:rsidRPr="00957CD5">
        <w:rPr>
          <w:color w:val="000000"/>
        </w:rPr>
        <w:t xml:space="preserve"> (</w:t>
      </w:r>
      <w:r w:rsidRPr="00957CD5">
        <w:rPr>
          <w:i/>
          <w:color w:val="000000"/>
        </w:rPr>
        <w:t>right panel</w:t>
      </w:r>
      <w:r w:rsidRPr="00957CD5">
        <w:rPr>
          <w:color w:val="000000"/>
        </w:rPr>
        <w:t xml:space="preserve">) as described in Eq. 1. Here, </w:t>
      </w:r>
      <w:r w:rsidRPr="00957CD5">
        <w:rPr>
          <w:i/>
          <w:color w:val="000000"/>
        </w:rPr>
        <w:t xml:space="preserve">k </w:t>
      </w:r>
      <w:r w:rsidRPr="00957CD5">
        <w:rPr>
          <w:color w:val="000000"/>
        </w:rPr>
        <w:t xml:space="preserve">= 3,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NGBB</m:t>
            </m:r>
          </m:sub>
        </m:sSub>
      </m:oMath>
      <w:r w:rsidRPr="00957CD5">
        <w:rPr>
          <w:color w:val="000000"/>
        </w:rPr>
        <w:t xml:space="preserve"> = 1,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total</m:t>
            </m:r>
          </m:sub>
        </m:sSub>
      </m:oMath>
      <w:r w:rsidRPr="00957CD5">
        <w:rPr>
          <w:color w:val="000000"/>
        </w:rPr>
        <w:t xml:space="preserve"> = 4. According to Eq. </w:t>
      </w:r>
      <w:r w:rsidR="002C1ED2" w:rsidRPr="00957CD5">
        <w:rPr>
          <w:color w:val="000000"/>
        </w:rPr>
        <w:t>1</w:t>
      </w:r>
      <w:r w:rsidRPr="00957CD5">
        <w:rPr>
          <w:color w:val="000000"/>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active</m:t>
            </m:r>
          </m:sub>
        </m:sSub>
      </m:oMath>
      <w:r w:rsidRPr="00957CD5">
        <w:rPr>
          <w:color w:val="000000"/>
        </w:rPr>
        <w:t xml:space="preserve"> = ¼. The first, second and third neighbour of the active node in the selected NGBB (</w:t>
      </w:r>
      <w:r w:rsidRPr="00957CD5">
        <w:rPr>
          <w:i/>
          <w:color w:val="000000"/>
        </w:rPr>
        <w:t>left panel</w:t>
      </w:r>
      <w:r w:rsidRPr="00957CD5">
        <w:rPr>
          <w:color w:val="000000"/>
        </w:rPr>
        <w:t xml:space="preserve">) are A-d, I-a and A-b and have the amino acid type alanine, isoleucine and alanine, respectively.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neighbor,1</m:t>
            </m:r>
          </m:sub>
        </m:sSub>
      </m:oMath>
      <w:r w:rsidRPr="00957CD5">
        <w:rPr>
          <w:color w:val="000000"/>
        </w:rPr>
        <w:t xml:space="preserve"> corresponding to the first neighbor, i.e., A-d, is then calculated according to Eq. 3 as follows: as there are 5 edges from an active node to an alanine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neighbor,1</m:t>
            </m:r>
          </m:sub>
        </m:sSub>
      </m:oMath>
      <w:r w:rsidRPr="00957CD5">
        <w:rPr>
          <w:color w:val="000000"/>
        </w:rPr>
        <w:t>) and 9 edges in total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n</m:t>
            </m:r>
          </m:e>
          <m:sub>
            <m:r>
              <w:rPr>
                <w:rFonts w:ascii="Cambria Math" w:eastAsia="Cambria Math" w:hAnsi="Cambria Math" w:cs="Cambria Math"/>
                <w:color w:val="000000"/>
              </w:rPr>
              <m:t>total,neighbor</m:t>
            </m:r>
          </m:sub>
        </m:sSub>
      </m:oMath>
      <w:r w:rsidRPr="00957CD5">
        <w:rPr>
          <w:color w:val="000000"/>
        </w:rPr>
        <w:t xml:space="preserve">) in the set of NGBBs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G</m:t>
            </m:r>
          </m:e>
          <m:sub>
            <m:r>
              <w:rPr>
                <w:rFonts w:ascii="Cambria Math" w:eastAsia="Cambria Math" w:hAnsi="Cambria Math" w:cs="Cambria Math"/>
                <w:color w:val="000000"/>
              </w:rPr>
              <m:t>NMR</m:t>
            </m:r>
          </m:sub>
        </m:sSub>
      </m:oMath>
      <w:r w:rsidRPr="00957CD5">
        <w:rPr>
          <w:color w:val="000000"/>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neighbor,1</m:t>
            </m:r>
          </m:sub>
        </m:sSub>
      </m:oMath>
      <w:r w:rsidRPr="00957CD5">
        <w:rPr>
          <w:color w:val="000000"/>
        </w:rPr>
        <w:t xml:space="preserve"> = 5/9.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neighbor,2</m:t>
            </m:r>
          </m:sub>
        </m:sSub>
      </m:oMath>
      <w:r w:rsidRPr="00957CD5">
        <w:rPr>
          <w:color w:val="000000"/>
        </w:rPr>
        <w:t xml:space="preserve">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neighbor,3</m:t>
            </m:r>
          </m:sub>
        </m:sSub>
      </m:oMath>
      <w:r w:rsidRPr="00957CD5">
        <w:rPr>
          <w:color w:val="000000"/>
        </w:rPr>
        <w:t xml:space="preserve"> are calculated in the same way. This results in a </w:t>
      </w:r>
      <w:r w:rsidR="002C1ED2" w:rsidRPr="00957CD5">
        <w:rPr>
          <w:i/>
          <w:color w:val="000000"/>
        </w:rPr>
        <w:t>rarity</w:t>
      </w:r>
      <w:r w:rsidRPr="00957CD5">
        <w:rPr>
          <w:i/>
          <w:color w:val="000000"/>
        </w:rPr>
        <w:t xml:space="preserve"> score</w:t>
      </w:r>
      <w:r w:rsidRPr="00957CD5">
        <w:rPr>
          <w:color w:val="000000"/>
        </w:rPr>
        <w:t xml:space="preserve"> of </w:t>
      </w:r>
      <w:r w:rsidR="002C1ED2" w:rsidRPr="00957CD5">
        <w:rPr>
          <w:color w:val="000000"/>
        </w:rPr>
        <w:t>-</w:t>
      </w:r>
      <w:r w:rsidRPr="00957CD5">
        <w:rPr>
          <w:color w:val="000000"/>
        </w:rPr>
        <w:t>2.7x10</w:t>
      </w:r>
      <w:r w:rsidRPr="00957CD5">
        <w:rPr>
          <w:color w:val="000000"/>
          <w:vertAlign w:val="superscript"/>
        </w:rPr>
        <w:t>-4</w:t>
      </w:r>
      <w:r w:rsidRPr="00957CD5">
        <w:rPr>
          <w:color w:val="000000"/>
        </w:rPr>
        <w:t xml:space="preserve"> for the </w:t>
      </w:r>
      <w:proofErr w:type="gramStart"/>
      <w:r w:rsidRPr="00957CD5">
        <w:rPr>
          <w:color w:val="000000"/>
        </w:rPr>
        <w:t>particular NGBB</w:t>
      </w:r>
      <w:proofErr w:type="gramEnd"/>
      <w:r w:rsidRPr="00957CD5">
        <w:rPr>
          <w:color w:val="000000"/>
        </w:rPr>
        <w:t xml:space="preserve"> in the </w:t>
      </w:r>
      <w:r w:rsidRPr="00957CD5">
        <w:rPr>
          <w:i/>
          <w:color w:val="000000"/>
        </w:rPr>
        <w:t>left panel</w:t>
      </w:r>
      <w:r w:rsidRPr="00957CD5">
        <w:rPr>
          <w:color w:val="000000"/>
        </w:rPr>
        <w:t xml:space="preserve">, making this building block the one with the </w:t>
      </w:r>
      <w:r w:rsidR="002C1ED2" w:rsidRPr="00957CD5">
        <w:rPr>
          <w:color w:val="000000"/>
        </w:rPr>
        <w:t>highest</w:t>
      </w:r>
      <w:r w:rsidRPr="00957CD5">
        <w:rPr>
          <w:color w:val="000000"/>
        </w:rPr>
        <w:t xml:space="preserve"> </w:t>
      </w:r>
      <w:r w:rsidR="002C1ED2" w:rsidRPr="00957CD5">
        <w:rPr>
          <w:i/>
          <w:color w:val="000000"/>
        </w:rPr>
        <w:t>rarity</w:t>
      </w:r>
      <w:r w:rsidRPr="00957CD5">
        <w:rPr>
          <w:i/>
          <w:color w:val="000000"/>
        </w:rPr>
        <w:t xml:space="preserve"> score</w:t>
      </w:r>
      <w:r w:rsidRPr="00957CD5">
        <w:rPr>
          <w:color w:val="000000"/>
        </w:rPr>
        <w:t xml:space="preserve"> in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G</m:t>
            </m:r>
          </m:e>
          <m:sub>
            <m:r>
              <w:rPr>
                <w:rFonts w:ascii="Cambria Math" w:eastAsia="Cambria Math" w:hAnsi="Cambria Math" w:cs="Cambria Math"/>
                <w:color w:val="000000"/>
              </w:rPr>
              <m:t>NMR</m:t>
            </m:r>
          </m:sub>
        </m:sSub>
      </m:oMath>
      <w:r w:rsidRPr="00957CD5">
        <w:rPr>
          <w:color w:val="000000"/>
        </w:rPr>
        <w:t>.</w:t>
      </w:r>
    </w:p>
    <w:p w14:paraId="00000114" w14:textId="77777777" w:rsidR="00DD0CC6" w:rsidRPr="00957CD5" w:rsidRDefault="00DD0CC6">
      <w:pPr>
        <w:rPr>
          <w:color w:val="262626"/>
        </w:rPr>
      </w:pPr>
    </w:p>
    <w:p w14:paraId="00000115" w14:textId="77777777" w:rsidR="00DD0CC6" w:rsidRPr="00957CD5" w:rsidRDefault="003771BF">
      <w:r w:rsidRPr="00957CD5">
        <w:rPr>
          <w:noProof/>
        </w:rPr>
        <w:drawing>
          <wp:inline distT="0" distB="0" distL="0" distR="0" wp14:anchorId="129ADF88" wp14:editId="5A7E22F8">
            <wp:extent cx="5731510" cy="1047750"/>
            <wp:effectExtent l="0" t="0" r="0" b="0"/>
            <wp:docPr id="201437153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8"/>
                    <a:srcRect/>
                    <a:stretch>
                      <a:fillRect/>
                    </a:stretch>
                  </pic:blipFill>
                  <pic:spPr>
                    <a:xfrm>
                      <a:off x="0" y="0"/>
                      <a:ext cx="5731510" cy="1047750"/>
                    </a:xfrm>
                    <a:prstGeom prst="rect">
                      <a:avLst/>
                    </a:prstGeom>
                    <a:ln/>
                  </pic:spPr>
                </pic:pic>
              </a:graphicData>
            </a:graphic>
          </wp:inline>
        </w:drawing>
      </w:r>
    </w:p>
    <w:p w14:paraId="00000116" w14:textId="77777777" w:rsidR="00DD0CC6" w:rsidRPr="00957CD5" w:rsidRDefault="00DD0CC6"/>
    <w:p w14:paraId="00000117" w14:textId="2DA684D5" w:rsidR="00DD0CC6" w:rsidRPr="00957CD5" w:rsidRDefault="003771BF">
      <w:pPr>
        <w:pBdr>
          <w:top w:val="nil"/>
          <w:left w:val="nil"/>
          <w:bottom w:val="nil"/>
          <w:right w:val="nil"/>
          <w:between w:val="nil"/>
        </w:pBdr>
        <w:spacing w:after="200"/>
        <w:jc w:val="both"/>
        <w:rPr>
          <w:color w:val="000000"/>
        </w:rPr>
      </w:pPr>
      <w:r w:rsidRPr="00957CD5">
        <w:rPr>
          <w:b/>
          <w:color w:val="000000"/>
        </w:rPr>
        <w:t xml:space="preserve">Fig. S11 Exemplary calculation of the </w:t>
      </w:r>
      <w:r w:rsidRPr="00957CD5">
        <w:rPr>
          <w:b/>
          <w:i/>
          <w:color w:val="000000"/>
        </w:rPr>
        <w:t xml:space="preserve">similarity </w:t>
      </w:r>
      <w:proofErr w:type="spellStart"/>
      <w:r w:rsidRPr="00957CD5">
        <w:rPr>
          <w:b/>
          <w:i/>
          <w:color w:val="000000"/>
        </w:rPr>
        <w:t>score</w:t>
      </w:r>
      <w:r w:rsidRPr="00957CD5">
        <w:rPr>
          <w:b/>
          <w:i/>
          <w:color w:val="000000"/>
          <w:vertAlign w:val="subscript"/>
        </w:rPr>
        <w:t>NOE</w:t>
      </w:r>
      <w:proofErr w:type="spellEnd"/>
      <w:r w:rsidRPr="00957CD5">
        <w:rPr>
          <w:b/>
          <w:color w:val="000000"/>
        </w:rPr>
        <w:t xml:space="preserve">. </w:t>
      </w:r>
      <w:r w:rsidRPr="00957CD5">
        <w:rPr>
          <w:color w:val="000000"/>
        </w:rPr>
        <w:t>This simple example compares a NOE graph building block (</w:t>
      </w:r>
      <w:r w:rsidRPr="00957CD5">
        <w:rPr>
          <w:i/>
          <w:color w:val="000000"/>
        </w:rPr>
        <w:t>left panel</w:t>
      </w:r>
      <w:r w:rsidRPr="00957CD5">
        <w:rPr>
          <w:color w:val="000000"/>
        </w:rPr>
        <w:t>, NGBB) with a structure graph building block (</w:t>
      </w:r>
      <w:r w:rsidRPr="00957CD5">
        <w:rPr>
          <w:i/>
          <w:color w:val="000000"/>
        </w:rPr>
        <w:t>right panel</w:t>
      </w:r>
      <w:r w:rsidRPr="00957CD5">
        <w:rPr>
          <w:color w:val="000000"/>
        </w:rPr>
        <w:t xml:space="preserve">, SGGB) to calculate their degree of similarity as a function of their </w:t>
      </w:r>
      <w:r w:rsidRPr="00957CD5">
        <w:rPr>
          <w:i/>
          <w:color w:val="000000"/>
        </w:rPr>
        <w:t xml:space="preserve">similarity </w:t>
      </w:r>
      <w:proofErr w:type="spellStart"/>
      <w:r w:rsidRPr="00957CD5">
        <w:rPr>
          <w:i/>
          <w:color w:val="000000"/>
        </w:rPr>
        <w:t>score</w:t>
      </w:r>
      <w:r w:rsidRPr="00957CD5">
        <w:rPr>
          <w:i/>
          <w:color w:val="000000"/>
          <w:vertAlign w:val="subscript"/>
        </w:rPr>
        <w:t>NOE</w:t>
      </w:r>
      <w:proofErr w:type="spellEnd"/>
      <w:r w:rsidRPr="00957CD5">
        <w:rPr>
          <w:color w:val="000000"/>
        </w:rPr>
        <w:t xml:space="preserve">. Nodes in orange, blue and green and labels I, A and M indicate the amino acid type as isoleucine, alanine and methionine, respectively. Letters a to c in NGBB and numbers 1 to 4 in SGBB uniquely identify nodes in their corresponding building block. According to Eq. 5, the number of common edges </w:t>
      </w:r>
      <w:r w:rsidRPr="00957CD5">
        <w:rPr>
          <w:i/>
          <w:color w:val="000000"/>
        </w:rPr>
        <w:t xml:space="preserve">c </w:t>
      </w:r>
      <w:r w:rsidRPr="00957CD5">
        <w:rPr>
          <w:color w:val="000000"/>
        </w:rPr>
        <w:t xml:space="preserve">is 2, as there is an edge from an isoleucine node to a methionine node and an edge from an isoleucine node to an alanine node occurring in both building blocks. The number of total edges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E</m:t>
            </m:r>
          </m:e>
          <m:sub>
            <m:r>
              <w:rPr>
                <w:rFonts w:ascii="Cambria Math" w:eastAsia="Cambria Math" w:hAnsi="Cambria Math" w:cs="Cambria Math"/>
                <w:color w:val="000000"/>
              </w:rPr>
              <m:t>NOE</m:t>
            </m:r>
          </m:sub>
        </m:sSub>
      </m:oMath>
      <w:r w:rsidRPr="00957CD5">
        <w:rPr>
          <w:color w:val="000000"/>
        </w:rPr>
        <w:t xml:space="preserve"> and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E</m:t>
            </m:r>
          </m:e>
          <m:sub>
            <m:r>
              <w:rPr>
                <w:rFonts w:ascii="Cambria Math" w:eastAsia="Cambria Math" w:hAnsi="Cambria Math" w:cs="Cambria Math"/>
                <w:color w:val="000000"/>
              </w:rPr>
              <m:t>structure</m:t>
            </m:r>
          </m:sub>
        </m:sSub>
      </m:oMath>
      <w:r w:rsidRPr="00957CD5">
        <w:rPr>
          <w:color w:val="000000"/>
        </w:rPr>
        <w:t xml:space="preserve"> are 2 and 3, respectively. As a result, the </w:t>
      </w:r>
      <w:r w:rsidRPr="00957CD5">
        <w:rPr>
          <w:i/>
          <w:color w:val="000000"/>
        </w:rPr>
        <w:t xml:space="preserve">similarity </w:t>
      </w:r>
      <w:proofErr w:type="spellStart"/>
      <w:r w:rsidRPr="00957CD5">
        <w:rPr>
          <w:i/>
          <w:color w:val="000000"/>
        </w:rPr>
        <w:t>score</w:t>
      </w:r>
      <w:r w:rsidRPr="00957CD5">
        <w:rPr>
          <w:i/>
          <w:color w:val="000000"/>
          <w:vertAlign w:val="subscript"/>
        </w:rPr>
        <w:t>NOE</w:t>
      </w:r>
      <w:proofErr w:type="spellEnd"/>
      <w:r w:rsidRPr="00957CD5">
        <w:rPr>
          <w:color w:val="000000"/>
        </w:rPr>
        <w:t xml:space="preserve"> of the pair of building blocks =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2(2W</m:t>
            </m:r>
          </m:e>
          <m:sub>
            <m:r>
              <w:rPr>
                <w:rFonts w:ascii="Cambria Math" w:eastAsia="Cambria Math" w:hAnsi="Cambria Math" w:cs="Cambria Math"/>
                <w:color w:val="000000"/>
              </w:rPr>
              <m:t>NOE</m:t>
            </m:r>
          </m:sub>
        </m:sSub>
        <m:r>
          <w:rPr>
            <w:rFonts w:ascii="Cambria Math" w:eastAsia="Cambria Math" w:hAnsi="Cambria Math" w:cs="Cambria Math"/>
            <w:color w:val="000000"/>
          </w:rPr>
          <m:t>)-</m:t>
        </m:r>
        <m:d>
          <m:dPr>
            <m:begChr m:val="|"/>
            <m:endChr m:val="|"/>
            <m:ctrlPr>
              <w:rPr>
                <w:rFonts w:ascii="Cambria Math" w:eastAsia="Cambria Math" w:hAnsi="Cambria Math" w:cs="Cambria Math"/>
                <w:color w:val="000000"/>
              </w:rPr>
            </m:ctrlPr>
          </m:dPr>
          <m:e>
            <m:r>
              <w:rPr>
                <w:rFonts w:ascii="Cambria Math" w:eastAsia="Cambria Math" w:hAnsi="Cambria Math" w:cs="Cambria Math"/>
                <w:color w:val="000000"/>
              </w:rPr>
              <m:t>2-2</m:t>
            </m:r>
          </m:e>
        </m:d>
        <m:r>
          <w:rPr>
            <w:rFonts w:ascii="Cambria Math" w:eastAsia="Cambria Math" w:hAnsi="Cambria Math" w:cs="Cambria Math"/>
            <w:color w:val="000000"/>
          </w:rPr>
          <m:t>-</m:t>
        </m:r>
        <m:d>
          <m:dPr>
            <m:begChr m:val="|"/>
            <m:endChr m:val="|"/>
            <m:ctrlPr>
              <w:rPr>
                <w:rFonts w:ascii="Cambria Math" w:eastAsia="Cambria Math" w:hAnsi="Cambria Math" w:cs="Cambria Math"/>
                <w:color w:val="000000"/>
              </w:rPr>
            </m:ctrlPr>
          </m:dPr>
          <m:e>
            <m:r>
              <w:rPr>
                <w:rFonts w:ascii="Cambria Math" w:eastAsia="Cambria Math" w:hAnsi="Cambria Math" w:cs="Cambria Math"/>
                <w:color w:val="000000"/>
              </w:rPr>
              <m:t>2-3</m:t>
            </m:r>
          </m:e>
        </m:d>
        <m:r>
          <w:rPr>
            <w:rFonts w:ascii="Cambria Math" w:eastAsia="Cambria Math" w:hAnsi="Cambria Math" w:cs="Cambria Math"/>
            <w:color w:val="000000"/>
          </w:rPr>
          <m:t>=3</m:t>
        </m:r>
      </m:oMath>
      <w:r w:rsidRPr="00957CD5">
        <w:rPr>
          <w:color w:val="000000"/>
        </w:rPr>
        <w:t xml:space="preserve">, with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W</m:t>
            </m:r>
          </m:e>
          <m:sub>
            <m:r>
              <w:rPr>
                <w:rFonts w:ascii="Cambria Math" w:eastAsia="Cambria Math" w:hAnsi="Cambria Math" w:cs="Cambria Math"/>
                <w:color w:val="000000"/>
              </w:rPr>
              <m:t>NOE</m:t>
            </m:r>
          </m:sub>
        </m:sSub>
        <m:r>
          <w:rPr>
            <w:rFonts w:ascii="Cambria Math" w:eastAsia="Cambria Math" w:hAnsi="Cambria Math" w:cs="Cambria Math"/>
            <w:color w:val="000000"/>
          </w:rPr>
          <m:t>=1.</m:t>
        </m:r>
      </m:oMath>
      <w:r w:rsidRPr="00957CD5">
        <w:rPr>
          <w:color w:val="000000"/>
        </w:rPr>
        <w:t xml:space="preserve"> </w:t>
      </w:r>
    </w:p>
    <w:p w14:paraId="00000118" w14:textId="77777777" w:rsidR="00DD0CC6" w:rsidRPr="00957CD5" w:rsidRDefault="00DD0CC6">
      <w:pPr>
        <w:pStyle w:val="berschrift4"/>
        <w:rPr>
          <w:rFonts w:ascii="Times New Roman" w:eastAsia="Times New Roman" w:hAnsi="Times New Roman" w:cs="Times New Roman"/>
          <w:b/>
          <w:i w:val="0"/>
          <w:color w:val="000000"/>
          <w:u w:val="single"/>
        </w:rPr>
      </w:pPr>
    </w:p>
    <w:p w14:paraId="00000119" w14:textId="77777777" w:rsidR="00DD0CC6" w:rsidRPr="00957CD5" w:rsidRDefault="00DD0CC6">
      <w:pPr>
        <w:pStyle w:val="berschrift4"/>
        <w:rPr>
          <w:rFonts w:ascii="Times New Roman" w:eastAsia="Times New Roman" w:hAnsi="Times New Roman" w:cs="Times New Roman"/>
          <w:b/>
          <w:i w:val="0"/>
          <w:color w:val="000000"/>
          <w:u w:val="single"/>
        </w:rPr>
      </w:pPr>
    </w:p>
    <w:p w14:paraId="0000011A" w14:textId="77777777" w:rsidR="00DD0CC6" w:rsidRPr="00957CD5" w:rsidRDefault="00DD0CC6"/>
    <w:p w14:paraId="24F1E8EC" w14:textId="77777777" w:rsidR="002C1ED2" w:rsidRPr="00957CD5" w:rsidRDefault="002C1ED2"/>
    <w:p w14:paraId="0000011B" w14:textId="77777777" w:rsidR="00DD0CC6" w:rsidRPr="00957CD5" w:rsidRDefault="003771BF">
      <w:pPr>
        <w:pStyle w:val="berschrift4"/>
        <w:rPr>
          <w:rFonts w:ascii="Times New Roman" w:eastAsia="Times New Roman" w:hAnsi="Times New Roman" w:cs="Times New Roman"/>
          <w:b/>
          <w:i w:val="0"/>
          <w:color w:val="000000"/>
          <w:u w:val="single"/>
        </w:rPr>
      </w:pPr>
      <w:r w:rsidRPr="00957CD5">
        <w:rPr>
          <w:rFonts w:ascii="Times New Roman" w:eastAsia="Times New Roman" w:hAnsi="Times New Roman" w:cs="Times New Roman"/>
          <w:b/>
          <w:i w:val="0"/>
          <w:color w:val="000000"/>
          <w:u w:val="single"/>
        </w:rPr>
        <w:lastRenderedPageBreak/>
        <w:t xml:space="preserve">About the assignment of methyl groups </w:t>
      </w:r>
      <w:proofErr w:type="gramStart"/>
      <w:r w:rsidRPr="00957CD5">
        <w:rPr>
          <w:rFonts w:ascii="Times New Roman" w:eastAsia="Times New Roman" w:hAnsi="Times New Roman" w:cs="Times New Roman"/>
          <w:b/>
          <w:i w:val="0"/>
          <w:color w:val="000000"/>
          <w:u w:val="single"/>
        </w:rPr>
        <w:t>in close proximity to</w:t>
      </w:r>
      <w:proofErr w:type="gramEnd"/>
      <w:r w:rsidRPr="00957CD5">
        <w:rPr>
          <w:rFonts w:ascii="Times New Roman" w:eastAsia="Times New Roman" w:hAnsi="Times New Roman" w:cs="Times New Roman"/>
          <w:b/>
          <w:i w:val="0"/>
          <w:color w:val="000000"/>
          <w:u w:val="single"/>
        </w:rPr>
        <w:t xml:space="preserve"> paramagnetic metals:</w:t>
      </w:r>
    </w:p>
    <w:p w14:paraId="0000011C" w14:textId="77777777" w:rsidR="00DD0CC6" w:rsidRPr="00957CD5" w:rsidRDefault="00DD0CC6"/>
    <w:p w14:paraId="0000011D" w14:textId="77777777" w:rsidR="00DD0CC6" w:rsidRPr="00957CD5" w:rsidRDefault="00DD0CC6"/>
    <w:p w14:paraId="0000011E" w14:textId="77777777" w:rsidR="00DD0CC6" w:rsidRPr="00957CD5" w:rsidRDefault="003771BF">
      <w:pPr>
        <w:pStyle w:val="berschrift4"/>
        <w:rPr>
          <w:rFonts w:ascii="Times New Roman" w:eastAsia="Times New Roman" w:hAnsi="Times New Roman" w:cs="Times New Roman"/>
          <w:b/>
          <w:i w:val="0"/>
          <w:color w:val="000000"/>
        </w:rPr>
      </w:pPr>
      <w:r w:rsidRPr="00957CD5">
        <w:rPr>
          <w:rFonts w:ascii="Times New Roman" w:eastAsia="Times New Roman" w:hAnsi="Times New Roman" w:cs="Times New Roman"/>
          <w:b/>
          <w:i w:val="0"/>
          <w:color w:val="000000"/>
        </w:rPr>
        <w:t>Hidden safeguard 1: lower bound on the </w:t>
      </w:r>
      <w:r w:rsidRPr="00957CD5">
        <w:rPr>
          <w:rFonts w:ascii="Times New Roman" w:eastAsia="Times New Roman" w:hAnsi="Times New Roman" w:cs="Times New Roman"/>
          <w:b/>
          <w:color w:val="000000"/>
        </w:rPr>
        <w:t>similarity score</w:t>
      </w:r>
      <w:r w:rsidRPr="00957CD5">
        <w:rPr>
          <w:rFonts w:ascii="Times New Roman" w:eastAsia="Times New Roman" w:hAnsi="Times New Roman" w:cs="Times New Roman"/>
          <w:b/>
          <w:i w:val="0"/>
          <w:color w:val="000000"/>
        </w:rPr>
        <w:t> (default = -100)</w:t>
      </w:r>
    </w:p>
    <w:p w14:paraId="0000011F" w14:textId="77777777" w:rsidR="00DD0CC6" w:rsidRPr="00957CD5" w:rsidRDefault="00DD0CC6">
      <w:pPr>
        <w:jc w:val="both"/>
        <w:rPr>
          <w:i/>
          <w:color w:val="000000"/>
        </w:rPr>
      </w:pPr>
    </w:p>
    <w:p w14:paraId="00000120" w14:textId="77777777" w:rsidR="00DD0CC6" w:rsidRPr="00957CD5" w:rsidRDefault="003771BF">
      <w:pPr>
        <w:jc w:val="both"/>
        <w:rPr>
          <w:i/>
          <w:color w:val="000000"/>
        </w:rPr>
      </w:pPr>
      <w:r w:rsidRPr="00957CD5">
        <w:rPr>
          <w:i/>
          <w:color w:val="000000"/>
        </w:rPr>
        <w:t>What it does:</w:t>
      </w:r>
    </w:p>
    <w:p w14:paraId="00000121" w14:textId="75C3E16B" w:rsidR="00DD0CC6" w:rsidRPr="00957CD5" w:rsidRDefault="003771BF">
      <w:pPr>
        <w:jc w:val="both"/>
        <w:rPr>
          <w:color w:val="000000"/>
        </w:rPr>
      </w:pPr>
      <w:r w:rsidRPr="00957CD5">
        <w:rPr>
          <w:color w:val="000000"/>
        </w:rPr>
        <w:br/>
        <w:t>Each time AMIGO compares a</w:t>
      </w:r>
      <w:r w:rsidR="00622886" w:rsidRPr="00957CD5">
        <w:rPr>
          <w:color w:val="000000"/>
        </w:rPr>
        <w:t>n</w:t>
      </w:r>
      <w:r w:rsidRPr="00957CD5">
        <w:rPr>
          <w:color w:val="000000"/>
        </w:rPr>
        <w:t xml:space="preserve"> NGBB with a</w:t>
      </w:r>
      <w:r w:rsidR="00622886" w:rsidRPr="00957CD5">
        <w:rPr>
          <w:color w:val="000000"/>
        </w:rPr>
        <w:t>n</w:t>
      </w:r>
      <w:r w:rsidRPr="00957CD5">
        <w:rPr>
          <w:color w:val="000000"/>
        </w:rPr>
        <w:t xml:space="preserve"> SGBB it computes a </w:t>
      </w:r>
      <w:r w:rsidRPr="00957CD5">
        <w:rPr>
          <w:i/>
          <w:color w:val="000000"/>
        </w:rPr>
        <w:t>similarity score</w:t>
      </w:r>
      <w:r w:rsidRPr="00957CD5">
        <w:rPr>
          <w:color w:val="000000"/>
        </w:rPr>
        <w:t> (Eq. 1).</w:t>
      </w:r>
      <w:r w:rsidRPr="00957CD5">
        <w:rPr>
          <w:color w:val="000000"/>
        </w:rPr>
        <w:br/>
        <w:t>If PCS restraints are included and the measured PCS (</w:t>
      </w:r>
      <w:proofErr w:type="spellStart"/>
      <w:r w:rsidRPr="00957CD5">
        <w:rPr>
          <w:color w:val="000000"/>
        </w:rPr>
        <w:t>PCS</w:t>
      </w:r>
      <w:r w:rsidRPr="00957CD5">
        <w:rPr>
          <w:color w:val="000000"/>
          <w:vertAlign w:val="subscript"/>
        </w:rPr>
        <w:t>exp</w:t>
      </w:r>
      <w:proofErr w:type="spellEnd"/>
      <w:r w:rsidRPr="00957CD5">
        <w:rPr>
          <w:color w:val="000000"/>
        </w:rPr>
        <w:t>) deviates strongly from the PCS predicted from the current tensor (</w:t>
      </w:r>
      <w:proofErr w:type="spellStart"/>
      <w:r w:rsidRPr="00957CD5">
        <w:rPr>
          <w:color w:val="000000"/>
        </w:rPr>
        <w:t>PCS</w:t>
      </w:r>
      <w:r w:rsidRPr="00957CD5">
        <w:rPr>
          <w:color w:val="000000"/>
          <w:vertAlign w:val="subscript"/>
        </w:rPr>
        <w:t>calc</w:t>
      </w:r>
      <w:proofErr w:type="spellEnd"/>
      <w:r w:rsidRPr="00957CD5">
        <w:rPr>
          <w:color w:val="000000"/>
        </w:rPr>
        <w:t>), a penalty term is added (Eq. S1):</w:t>
      </w:r>
    </w:p>
    <w:p w14:paraId="00000122" w14:textId="77777777" w:rsidR="00DD0CC6" w:rsidRPr="00957CD5" w:rsidRDefault="00DD0CC6">
      <w:pPr>
        <w:jc w:val="both"/>
        <w:rPr>
          <w:color w:val="000000"/>
        </w:rPr>
      </w:pPr>
    </w:p>
    <w:p w14:paraId="00000123" w14:textId="77777777" w:rsidR="00DD0CC6" w:rsidRPr="00957CD5" w:rsidRDefault="003771BF">
      <w:pPr>
        <w:jc w:val="center"/>
        <w:rPr>
          <w:rFonts w:ascii="Cambria Math" w:eastAsia="Cambria Math" w:hAnsi="Cambria Math" w:cs="Cambria Math"/>
          <w:color w:val="000000"/>
        </w:rPr>
      </w:pPr>
      <m:oMathPara>
        <m:oMath>
          <m:r>
            <w:rPr>
              <w:rFonts w:ascii="Cambria Math" w:eastAsia="Cambria Math" w:hAnsi="Cambria Math" w:cs="Cambria Math"/>
              <w:color w:val="000000"/>
            </w:rPr>
            <m:t>penalty=</m:t>
          </m:r>
          <m:sSub>
            <m:sSubPr>
              <m:ctrlPr>
                <w:rPr>
                  <w:rFonts w:ascii="Cambria Math" w:eastAsia="Cambria Math" w:hAnsi="Cambria Math" w:cs="Cambria Math"/>
                  <w:color w:val="000000"/>
                </w:rPr>
              </m:ctrlPr>
            </m:sSubPr>
            <m:e>
              <m:r>
                <w:rPr>
                  <w:rFonts w:ascii="Cambria Math" w:eastAsia="Cambria Math" w:hAnsi="Cambria Math" w:cs="Cambria Math"/>
                  <w:color w:val="000000"/>
                </w:rPr>
                <m:t>ω</m:t>
              </m:r>
            </m:e>
            <m:sub>
              <m:r>
                <w:rPr>
                  <w:rFonts w:ascii="Cambria Math" w:eastAsia="Cambria Math" w:hAnsi="Cambria Math" w:cs="Cambria Math"/>
                  <w:color w:val="000000"/>
                </w:rPr>
                <m:t>PCS</m:t>
              </m:r>
            </m:sub>
          </m:sSub>
          <m:d>
            <m:dPr>
              <m:begChr m:val="|"/>
              <m:endChr m:val="|"/>
              <m:ctrlPr>
                <w:rPr>
                  <w:rFonts w:ascii="Cambria Math" w:eastAsia="Cambria Math" w:hAnsi="Cambria Math" w:cs="Cambria Math"/>
                  <w:color w:val="000000"/>
                </w:rPr>
              </m:ctrlPr>
            </m:dPr>
            <m:e>
              <m:sSub>
                <m:sSubPr>
                  <m:ctrlPr>
                    <w:rPr>
                      <w:rFonts w:ascii="Cambria Math" w:eastAsia="Cambria Math" w:hAnsi="Cambria Math" w:cs="Cambria Math"/>
                      <w:color w:val="000000"/>
                    </w:rPr>
                  </m:ctrlPr>
                </m:sSubPr>
                <m:e>
                  <m:r>
                    <w:rPr>
                      <w:rFonts w:ascii="Cambria Math" w:eastAsia="Cambria Math" w:hAnsi="Cambria Math" w:cs="Cambria Math"/>
                      <w:color w:val="000000"/>
                    </w:rPr>
                    <m:t>PCS</m:t>
                  </m:r>
                </m:e>
                <m:sub>
                  <m:r>
                    <w:rPr>
                      <w:rFonts w:ascii="Cambria Math" w:eastAsia="Cambria Math" w:hAnsi="Cambria Math" w:cs="Cambria Math"/>
                      <w:color w:val="000000"/>
                    </w:rPr>
                    <m:t>exp</m:t>
                  </m:r>
                </m:sub>
              </m:sSub>
              <m:r>
                <w:rPr>
                  <w:rFonts w:ascii="Cambria Math" w:eastAsia="Cambria Math" w:hAnsi="Cambria Math" w:cs="Cambria Math"/>
                  <w:color w:val="000000"/>
                </w:rPr>
                <m:t>-</m:t>
              </m:r>
              <m:sSub>
                <m:sSubPr>
                  <m:ctrlPr>
                    <w:rPr>
                      <w:rFonts w:ascii="Cambria Math" w:eastAsia="Cambria Math" w:hAnsi="Cambria Math" w:cs="Cambria Math"/>
                      <w:color w:val="000000"/>
                    </w:rPr>
                  </m:ctrlPr>
                </m:sSubPr>
                <m:e>
                  <m:r>
                    <w:rPr>
                      <w:rFonts w:ascii="Cambria Math" w:eastAsia="Cambria Math" w:hAnsi="Cambria Math" w:cs="Cambria Math"/>
                      <w:color w:val="000000"/>
                    </w:rPr>
                    <m:t>PCS</m:t>
                  </m:r>
                </m:e>
                <m:sub>
                  <m:r>
                    <w:rPr>
                      <w:rFonts w:ascii="Cambria Math" w:eastAsia="Cambria Math" w:hAnsi="Cambria Math" w:cs="Cambria Math"/>
                      <w:color w:val="000000"/>
                    </w:rPr>
                    <m:t>calc</m:t>
                  </m:r>
                </m:sub>
              </m:sSub>
            </m:e>
          </m:d>
        </m:oMath>
      </m:oMathPara>
    </w:p>
    <w:p w14:paraId="00000124" w14:textId="77777777" w:rsidR="00DD0CC6" w:rsidRPr="00957CD5" w:rsidRDefault="00DD0CC6">
      <w:pPr>
        <w:jc w:val="both"/>
        <w:rPr>
          <w:color w:val="000000"/>
        </w:rPr>
      </w:pPr>
    </w:p>
    <w:p w14:paraId="00000125" w14:textId="77777777" w:rsidR="00DD0CC6" w:rsidRPr="00957CD5" w:rsidRDefault="003771BF">
      <w:pPr>
        <w:jc w:val="both"/>
        <w:rPr>
          <w:color w:val="000000"/>
        </w:rPr>
      </w:pPr>
      <w:r w:rsidRPr="00957CD5">
        <w:rPr>
          <w:color w:val="000000"/>
        </w:rPr>
        <w:t>where </w:t>
      </w:r>
      <m:oMath>
        <m:sSub>
          <m:sSubPr>
            <m:ctrlPr>
              <w:rPr>
                <w:rFonts w:ascii="Cambria Math" w:eastAsia="Cambria Math" w:hAnsi="Cambria Math" w:cs="Cambria Math"/>
                <w:color w:val="000000"/>
              </w:rPr>
            </m:ctrlPr>
          </m:sSubPr>
          <m:e>
            <m:r>
              <w:rPr>
                <w:rFonts w:ascii="Cambria Math" w:hAnsi="Cambria Math"/>
              </w:rPr>
              <m:t>ω</m:t>
            </m:r>
          </m:e>
          <m:sub>
            <m:r>
              <w:rPr>
                <w:rFonts w:ascii="Cambria Math" w:eastAsia="Cambria Math" w:hAnsi="Cambria Math" w:cs="Cambria Math"/>
                <w:color w:val="000000"/>
              </w:rPr>
              <m:t>PCS</m:t>
            </m:r>
          </m:sub>
        </m:sSub>
      </m:oMath>
      <w:r w:rsidRPr="00957CD5">
        <w:rPr>
          <w:i/>
          <w:color w:val="000000"/>
        </w:rPr>
        <w:t xml:space="preserve"> </w:t>
      </w:r>
      <w:r w:rsidRPr="00957CD5">
        <w:rPr>
          <w:color w:val="000000"/>
        </w:rPr>
        <w:t xml:space="preserve">is defined as –100. For methyl groups within </w:t>
      </w:r>
      <w:r w:rsidRPr="00957CD5">
        <w:rPr>
          <w:rFonts w:ascii="Cambria Math" w:eastAsia="Cambria Math" w:hAnsi="Cambria Math" w:cs="Cambria Math"/>
          <w:color w:val="000000"/>
        </w:rPr>
        <w:t>≲</w:t>
      </w:r>
      <w:r w:rsidRPr="00957CD5">
        <w:rPr>
          <w:color w:val="000000"/>
        </w:rPr>
        <w:t> 10 Å of the paramagnetic ion the PCS gradient is steep and even a 0.5 ppm mismatch can push the overall similarity score below –100. To keep the search space tractable the code rejects any candidate with a score below a hard floor (-100 by default). The assumption was that “real” matches would always score higher.</w:t>
      </w:r>
    </w:p>
    <w:p w14:paraId="00000126" w14:textId="77777777" w:rsidR="00DD0CC6" w:rsidRPr="00957CD5" w:rsidRDefault="00DD0CC6">
      <w:pPr>
        <w:jc w:val="both"/>
        <w:rPr>
          <w:color w:val="000000"/>
        </w:rPr>
      </w:pPr>
    </w:p>
    <w:p w14:paraId="00000127" w14:textId="77777777" w:rsidR="00DD0CC6" w:rsidRPr="00957CD5" w:rsidRDefault="003771BF">
      <w:pPr>
        <w:jc w:val="both"/>
        <w:rPr>
          <w:i/>
          <w:color w:val="000000"/>
        </w:rPr>
      </w:pPr>
      <w:r w:rsidRPr="00957CD5">
        <w:rPr>
          <w:i/>
          <w:color w:val="000000"/>
        </w:rPr>
        <w:t>Why this matters:</w:t>
      </w:r>
    </w:p>
    <w:p w14:paraId="00000128" w14:textId="77777777" w:rsidR="00DD0CC6" w:rsidRPr="00957CD5" w:rsidRDefault="003771BF">
      <w:pPr>
        <w:jc w:val="both"/>
        <w:rPr>
          <w:color w:val="000000"/>
        </w:rPr>
      </w:pPr>
      <w:r w:rsidRPr="00957CD5">
        <w:rPr>
          <w:color w:val="000000"/>
        </w:rPr>
        <w:br/>
        <w:t xml:space="preserve">If many near-centre </w:t>
      </w:r>
      <w:proofErr w:type="spellStart"/>
      <w:r w:rsidRPr="00957CD5">
        <w:rPr>
          <w:color w:val="000000"/>
        </w:rPr>
        <w:t>methyls</w:t>
      </w:r>
      <w:proofErr w:type="spellEnd"/>
      <w:r w:rsidRPr="00957CD5">
        <w:rPr>
          <w:color w:val="000000"/>
        </w:rPr>
        <w:t xml:space="preserve"> are present, or </w:t>
      </w:r>
      <m:oMath>
        <m:sSub>
          <m:sSubPr>
            <m:ctrlPr>
              <w:rPr>
                <w:rFonts w:ascii="Cambria Math" w:eastAsia="Cambria Math" w:hAnsi="Cambria Math" w:cs="Cambria Math"/>
                <w:color w:val="000000"/>
              </w:rPr>
            </m:ctrlPr>
          </m:sSubPr>
          <m:e>
            <m:r>
              <w:rPr>
                <w:rFonts w:ascii="Cambria Math" w:hAnsi="Cambria Math"/>
              </w:rPr>
              <m:t>ω</m:t>
            </m:r>
          </m:e>
          <m:sub>
            <m:r>
              <w:rPr>
                <w:rFonts w:ascii="Cambria Math" w:eastAsia="Cambria Math" w:hAnsi="Cambria Math" w:cs="Cambria Math"/>
                <w:color w:val="000000"/>
              </w:rPr>
              <m:t>PCS</m:t>
            </m:r>
          </m:sub>
        </m:sSub>
      </m:oMath>
      <w:r w:rsidRPr="00957CD5">
        <w:rPr>
          <w:color w:val="000000"/>
        </w:rPr>
        <w:t xml:space="preserve"> is set higher than -100, true assignments can be discarded prematurely. We have tested hard floors as low as –100000 in the GTB test to verify this behaviour; the change alone did not restore the missing assignments around the catalytic active site, indicating that large deviation between PCS</w:t>
      </w:r>
      <w:r w:rsidRPr="00957CD5">
        <w:rPr>
          <w:color w:val="000000"/>
          <w:vertAlign w:val="subscript"/>
        </w:rPr>
        <w:t xml:space="preserve">exp </w:t>
      </w:r>
      <w:r w:rsidRPr="00957CD5">
        <w:rPr>
          <w:color w:val="000000"/>
        </w:rPr>
        <w:t xml:space="preserve">and </w:t>
      </w:r>
      <w:proofErr w:type="spellStart"/>
      <w:r w:rsidRPr="00957CD5">
        <w:rPr>
          <w:color w:val="000000"/>
        </w:rPr>
        <w:t>PCS</w:t>
      </w:r>
      <w:r w:rsidRPr="00957CD5">
        <w:rPr>
          <w:color w:val="000000"/>
          <w:vertAlign w:val="subscript"/>
        </w:rPr>
        <w:t>calc</w:t>
      </w:r>
      <w:proofErr w:type="spellEnd"/>
      <w:r w:rsidRPr="00957CD5">
        <w:rPr>
          <w:color w:val="000000"/>
        </w:rPr>
        <w:t xml:space="preserve"> were present around the paramagnetic metal.</w:t>
      </w:r>
    </w:p>
    <w:p w14:paraId="00000129" w14:textId="77777777" w:rsidR="00DD0CC6" w:rsidRPr="00957CD5" w:rsidRDefault="00DD0CC6">
      <w:pPr>
        <w:spacing w:before="280" w:after="280"/>
        <w:rPr>
          <w:b/>
          <w:color w:val="000000"/>
        </w:rPr>
      </w:pPr>
    </w:p>
    <w:p w14:paraId="0000012A" w14:textId="77777777" w:rsidR="00DD0CC6" w:rsidRPr="00957CD5" w:rsidRDefault="003771BF">
      <w:pPr>
        <w:spacing w:before="280" w:after="280"/>
        <w:rPr>
          <w:b/>
          <w:color w:val="000000"/>
        </w:rPr>
      </w:pPr>
      <w:r w:rsidRPr="00957CD5">
        <w:rPr>
          <w:b/>
          <w:color w:val="000000"/>
        </w:rPr>
        <w:t>Hidden safeguard 2: lower bound on the </w:t>
      </w:r>
      <w:r w:rsidRPr="00957CD5">
        <w:rPr>
          <w:b/>
          <w:i/>
          <w:color w:val="000000"/>
        </w:rPr>
        <w:t>total score</w:t>
      </w:r>
      <w:r w:rsidRPr="00957CD5">
        <w:rPr>
          <w:b/>
          <w:color w:val="000000"/>
        </w:rPr>
        <w:t> (default = 0)</w:t>
      </w:r>
    </w:p>
    <w:p w14:paraId="0000012B" w14:textId="77777777" w:rsidR="00DD0CC6" w:rsidRPr="00957CD5" w:rsidRDefault="003771BF">
      <w:pPr>
        <w:spacing w:before="280" w:after="280"/>
        <w:rPr>
          <w:i/>
          <w:color w:val="000000"/>
        </w:rPr>
      </w:pPr>
      <w:r w:rsidRPr="00957CD5">
        <w:rPr>
          <w:i/>
          <w:color w:val="000000"/>
        </w:rPr>
        <w:t>What it does:</w:t>
      </w:r>
    </w:p>
    <w:p w14:paraId="0000012C" w14:textId="77777777" w:rsidR="00DD0CC6" w:rsidRPr="00957CD5" w:rsidRDefault="003771BF">
      <w:pPr>
        <w:spacing w:before="280" w:after="280"/>
        <w:jc w:val="both"/>
        <w:rPr>
          <w:color w:val="000000"/>
        </w:rPr>
      </w:pPr>
      <w:r w:rsidRPr="00957CD5">
        <w:rPr>
          <w:color w:val="000000"/>
        </w:rPr>
        <w:t>Once a methyl walk is completed, AMIGO sums individual similarity scores to obtain a </w:t>
      </w:r>
      <w:r w:rsidRPr="00957CD5">
        <w:rPr>
          <w:i/>
          <w:color w:val="000000"/>
        </w:rPr>
        <w:t xml:space="preserve">total </w:t>
      </w:r>
      <w:r w:rsidRPr="00957CD5">
        <w:rPr>
          <w:color w:val="000000"/>
        </w:rPr>
        <w:t>score</w:t>
      </w:r>
      <w:sdt>
        <w:sdtPr>
          <w:rPr>
            <w:color w:val="000000"/>
          </w:rPr>
          <w:tag w:val="goog_rdk_7"/>
          <w:id w:val="1593701908"/>
        </w:sdtPr>
        <w:sdtContent>
          <w:r w:rsidRPr="00957CD5">
            <w:rPr>
              <w:color w:val="000000"/>
            </w:rPr>
            <w:t xml:space="preserve"> (Eq. 8). Walks starting from a single edge, or containing many PCS-dominated penalties, can end up negative. Any walk whose total score ≤ 0 is discarded by the program. </w:t>
          </w:r>
        </w:sdtContent>
      </w:sdt>
    </w:p>
    <w:p w14:paraId="0000012D" w14:textId="77777777" w:rsidR="00DD0CC6" w:rsidRPr="00957CD5" w:rsidRDefault="003771BF">
      <w:pPr>
        <w:spacing w:before="280" w:after="280"/>
        <w:jc w:val="both"/>
        <w:rPr>
          <w:i/>
        </w:rPr>
      </w:pPr>
      <w:r w:rsidRPr="00957CD5">
        <w:rPr>
          <w:i/>
        </w:rPr>
        <w:t>Why this matters:</w:t>
      </w:r>
    </w:p>
    <w:p w14:paraId="0000012E" w14:textId="77777777" w:rsidR="00DD0CC6" w:rsidRPr="00957CD5" w:rsidRDefault="003771BF">
      <w:pPr>
        <w:spacing w:before="280" w:after="280"/>
        <w:jc w:val="both"/>
        <w:rPr>
          <w:color w:val="000000"/>
        </w:rPr>
      </w:pPr>
      <w:r w:rsidRPr="00957CD5">
        <w:rPr>
          <w:color w:val="000000"/>
        </w:rPr>
        <w:t xml:space="preserve">For GTB the methyl groups located in the carbohydrate binding pocket formed very short walks and suffered large PCS mismatches (see above), giving negative </w:t>
      </w:r>
      <w:r w:rsidRPr="00957CD5">
        <w:rPr>
          <w:i/>
          <w:color w:val="000000"/>
        </w:rPr>
        <w:t>total scores</w:t>
      </w:r>
      <w:r w:rsidRPr="00957CD5">
        <w:rPr>
          <w:color w:val="000000"/>
        </w:rPr>
        <w:t xml:space="preserve"> and triggering the filter. Consequently, no assignment was performed unless additional information (pre-assignments) was supplied or PCS weighting was switched off.</w:t>
      </w:r>
    </w:p>
    <w:p w14:paraId="0000012F" w14:textId="0F126917" w:rsidR="00DD0CC6" w:rsidRPr="00957CD5" w:rsidRDefault="003771BF">
      <w:pPr>
        <w:spacing w:before="280" w:after="280"/>
        <w:jc w:val="both"/>
        <w:rPr>
          <w:b/>
          <w:color w:val="000000"/>
        </w:rPr>
      </w:pPr>
      <w:r w:rsidRPr="00957CD5">
        <w:rPr>
          <w:b/>
          <w:color w:val="000000"/>
        </w:rPr>
        <w:t>Troubleshooting:</w:t>
      </w:r>
      <w:r w:rsidRPr="00957CD5">
        <w:rPr>
          <w:color w:val="000000"/>
        </w:rPr>
        <w:br/>
        <w:t xml:space="preserve">In general, PCS from sites closer than </w:t>
      </w:r>
      <w:r w:rsidRPr="00957CD5">
        <w:rPr>
          <w:rFonts w:ascii="Cambria Math" w:eastAsia="Cambria Math" w:hAnsi="Cambria Math" w:cs="Cambria Math"/>
          <w:color w:val="000000"/>
        </w:rPr>
        <w:t>≲</w:t>
      </w:r>
      <w:r w:rsidRPr="00957CD5">
        <w:rPr>
          <w:color w:val="000000"/>
        </w:rPr>
        <w:t xml:space="preserve"> 10 Å to the metal should be </w:t>
      </w:r>
      <w:proofErr w:type="spellStart"/>
      <w:r w:rsidR="00364853" w:rsidRPr="00957CD5">
        <w:rPr>
          <w:color w:val="000000"/>
        </w:rPr>
        <w:t>downweighted</w:t>
      </w:r>
      <w:proofErr w:type="spellEnd"/>
      <w:r w:rsidRPr="00957CD5">
        <w:rPr>
          <w:color w:val="000000"/>
        </w:rPr>
        <w:t xml:space="preserve"> or omitted unless the magnetic susceptibility tensor is extremely well characterised. Large PCS errors at such positions can arise from uncertainty in tensor orientation/magnitude (especially with sparse PCS data), local backbone mobility or alternate rotamers, residual electron-spin relaxation effects. Removing or </w:t>
      </w:r>
      <w:proofErr w:type="spellStart"/>
      <w:r w:rsidR="00364853" w:rsidRPr="00957CD5">
        <w:rPr>
          <w:color w:val="000000"/>
        </w:rPr>
        <w:t>downweighting</w:t>
      </w:r>
      <w:proofErr w:type="spellEnd"/>
      <w:r w:rsidRPr="00957CD5">
        <w:rPr>
          <w:color w:val="000000"/>
        </w:rPr>
        <w:t xml:space="preserve"> these PCS terms </w:t>
      </w:r>
      <w:r w:rsidR="00364853" w:rsidRPr="00957CD5">
        <w:rPr>
          <w:color w:val="000000"/>
        </w:rPr>
        <w:t>reduce</w:t>
      </w:r>
      <w:r w:rsidRPr="00957CD5">
        <w:rPr>
          <w:color w:val="000000"/>
        </w:rPr>
        <w:t xml:space="preserve"> false penalties and </w:t>
      </w:r>
      <w:r w:rsidRPr="00957CD5">
        <w:rPr>
          <w:color w:val="000000"/>
        </w:rPr>
        <w:lastRenderedPageBreak/>
        <w:t xml:space="preserve">improves robustness across all automated assignment tools, not just AMIGO. Therefore, after completing an AMIGO run with PCS we selected all performed assignments as pre-assignments and re-run AMIGO without PCS. This resulted in 12 out of 16 </w:t>
      </w:r>
      <w:proofErr w:type="spellStart"/>
      <w:r w:rsidRPr="00957CD5">
        <w:rPr>
          <w:color w:val="000000"/>
        </w:rPr>
        <w:t>methyls</w:t>
      </w:r>
      <w:proofErr w:type="spellEnd"/>
      <w:r w:rsidRPr="00957CD5">
        <w:rPr>
          <w:color w:val="000000"/>
        </w:rPr>
        <w:t xml:space="preserve"> located in the carbohydrate binding site being assigned. </w:t>
      </w:r>
      <w:r w:rsidR="00364853" w:rsidRPr="00957CD5">
        <w:rPr>
          <w:color w:val="000000"/>
        </w:rPr>
        <w:t>As a rule</w:t>
      </w:r>
      <w:r w:rsidRPr="00957CD5">
        <w:rPr>
          <w:color w:val="000000"/>
        </w:rPr>
        <w:t>, when methyl groups close to paramagnetic metals become consistently unassigned, we recommend the following:</w:t>
      </w:r>
    </w:p>
    <w:p w14:paraId="00000130" w14:textId="77777777" w:rsidR="00DD0CC6" w:rsidRPr="00957CD5" w:rsidRDefault="003771BF">
      <w:pPr>
        <w:spacing w:before="280" w:after="280"/>
      </w:pPr>
      <w:r w:rsidRPr="00957CD5">
        <w:rPr>
          <w:u w:val="single"/>
        </w:rPr>
        <w:t xml:space="preserve">1) Pre-assign all non-loop </w:t>
      </w:r>
      <w:proofErr w:type="spellStart"/>
      <w:r w:rsidRPr="00957CD5">
        <w:rPr>
          <w:u w:val="single"/>
        </w:rPr>
        <w:t>methyls</w:t>
      </w:r>
      <w:proofErr w:type="spellEnd"/>
      <w:r w:rsidRPr="00957CD5">
        <w:br/>
        <w:t>This anchors the walks and prevents incorrect permutations that would otherwise mask the loop residues.</w:t>
      </w:r>
    </w:p>
    <w:p w14:paraId="00000131" w14:textId="77777777" w:rsidR="00DD0CC6" w:rsidRPr="00957CD5" w:rsidRDefault="003771BF">
      <w:pPr>
        <w:spacing w:before="280" w:after="280"/>
      </w:pPr>
      <w:r w:rsidRPr="00957CD5">
        <w:rPr>
          <w:u w:val="single"/>
        </w:rPr>
        <w:t>2) Disable PCS input for the final run</w:t>
      </w:r>
      <w:r w:rsidRPr="00957CD5">
        <w:br/>
        <w:t xml:space="preserve">With the big PCS penalties removed, </w:t>
      </w:r>
      <w:r w:rsidRPr="00957CD5">
        <w:rPr>
          <w:i/>
        </w:rPr>
        <w:t>similarity</w:t>
      </w:r>
      <w:r w:rsidRPr="00957CD5">
        <w:t xml:space="preserve"> and </w:t>
      </w:r>
      <w:r w:rsidRPr="00957CD5">
        <w:rPr>
          <w:i/>
        </w:rPr>
        <w:t>total scores</w:t>
      </w:r>
      <w:r w:rsidRPr="00957CD5">
        <w:t xml:space="preserve"> remain above both thresholds, allowing AMIGO to propagate into the loop regions.</w:t>
      </w:r>
    </w:p>
    <w:p w14:paraId="00000132" w14:textId="77777777" w:rsidR="00DD0CC6" w:rsidRPr="00957CD5" w:rsidRDefault="00DD0CC6">
      <w:pPr>
        <w:spacing w:before="280" w:after="280"/>
        <w:rPr>
          <w:b/>
          <w:color w:val="000000"/>
        </w:rPr>
      </w:pPr>
    </w:p>
    <w:p w14:paraId="00000133" w14:textId="77777777" w:rsidR="00DD0CC6" w:rsidRPr="00957CD5" w:rsidRDefault="003771BF">
      <w:pPr>
        <w:spacing w:before="280" w:after="280"/>
        <w:rPr>
          <w:b/>
          <w:color w:val="000000"/>
        </w:rPr>
      </w:pPr>
      <w:r w:rsidRPr="00957CD5">
        <w:rPr>
          <w:b/>
          <w:color w:val="000000"/>
        </w:rPr>
        <w:t>How we finally recovered the loop assignments in GTB</w:t>
      </w:r>
    </w:p>
    <w:p w14:paraId="00000134" w14:textId="77777777" w:rsidR="00DD0CC6" w:rsidRPr="00957CD5" w:rsidRDefault="003771BF">
      <w:pPr>
        <w:numPr>
          <w:ilvl w:val="0"/>
          <w:numId w:val="2"/>
        </w:numPr>
        <w:spacing w:before="280" w:after="280"/>
        <w:rPr>
          <w:color w:val="000000"/>
        </w:rPr>
      </w:pPr>
      <w:r w:rsidRPr="00957CD5">
        <w:rPr>
          <w:b/>
          <w:color w:val="000000"/>
        </w:rPr>
        <w:t xml:space="preserve">Pre-assign all non-loop </w:t>
      </w:r>
      <w:proofErr w:type="spellStart"/>
      <w:r w:rsidRPr="00957CD5">
        <w:rPr>
          <w:b/>
          <w:color w:val="000000"/>
        </w:rPr>
        <w:t>methyls</w:t>
      </w:r>
      <w:proofErr w:type="spellEnd"/>
      <w:r w:rsidRPr="00957CD5">
        <w:rPr>
          <w:b/>
          <w:color w:val="000000"/>
        </w:rPr>
        <w:t>.</w:t>
      </w:r>
      <w:r w:rsidRPr="00957CD5">
        <w:rPr>
          <w:color w:val="000000"/>
        </w:rPr>
        <w:br/>
        <w:t>This anchors the walks and prevents incorrect permutations that would otherwise mask the loop residues.</w:t>
      </w:r>
    </w:p>
    <w:p w14:paraId="00000135" w14:textId="77777777" w:rsidR="00DD0CC6" w:rsidRPr="00957CD5" w:rsidRDefault="00DD0CC6">
      <w:pPr>
        <w:spacing w:before="280" w:after="280"/>
        <w:ind w:left="360"/>
        <w:rPr>
          <w:color w:val="000000"/>
        </w:rPr>
      </w:pPr>
    </w:p>
    <w:p w14:paraId="00000136" w14:textId="77777777" w:rsidR="00DD0CC6" w:rsidRPr="00957CD5" w:rsidRDefault="003771BF">
      <w:pPr>
        <w:numPr>
          <w:ilvl w:val="0"/>
          <w:numId w:val="2"/>
        </w:numPr>
        <w:spacing w:before="280" w:after="280"/>
        <w:rPr>
          <w:color w:val="000000"/>
        </w:rPr>
      </w:pPr>
      <w:r w:rsidRPr="00957CD5">
        <w:rPr>
          <w:b/>
          <w:color w:val="000000"/>
        </w:rPr>
        <w:t>Disable PCS input for the final pass.</w:t>
      </w:r>
      <w:r w:rsidRPr="00957CD5">
        <w:rPr>
          <w:color w:val="000000"/>
        </w:rPr>
        <w:br/>
        <w:t>With the big PCS penalties removed, similarity and total scores remain above both thresholds, allowing AMIGO to propagate into the loop regions.</w:t>
      </w:r>
    </w:p>
    <w:p w14:paraId="00000137" w14:textId="77777777" w:rsidR="00DD0CC6" w:rsidRPr="00957CD5" w:rsidRDefault="00DD0CC6">
      <w:pPr>
        <w:spacing w:before="280" w:after="280"/>
        <w:rPr>
          <w:color w:val="000000"/>
        </w:rPr>
      </w:pPr>
    </w:p>
    <w:p w14:paraId="00000138" w14:textId="77777777" w:rsidR="00DD0CC6" w:rsidRPr="00957CD5" w:rsidRDefault="003771BF">
      <w:pPr>
        <w:numPr>
          <w:ilvl w:val="0"/>
          <w:numId w:val="2"/>
        </w:numPr>
        <w:spacing w:before="280" w:after="280"/>
        <w:rPr>
          <w:color w:val="000000"/>
        </w:rPr>
      </w:pPr>
      <w:r w:rsidRPr="00957CD5">
        <w:rPr>
          <w:b/>
          <w:color w:val="000000"/>
        </w:rPr>
        <w:t>Keep safeguard 2 active.</w:t>
      </w:r>
      <w:r w:rsidRPr="00957CD5">
        <w:rPr>
          <w:color w:val="000000"/>
        </w:rPr>
        <w:br/>
        <w:t>This ensures any residual noise-driven walks with net negative support are still filtered out.</w:t>
      </w:r>
    </w:p>
    <w:p w14:paraId="00000139" w14:textId="77777777" w:rsidR="00DD0CC6" w:rsidRPr="00957CD5" w:rsidRDefault="00DD0CC6">
      <w:pPr>
        <w:spacing w:before="280" w:after="280"/>
        <w:rPr>
          <w:color w:val="000000"/>
        </w:rPr>
      </w:pPr>
    </w:p>
    <w:p w14:paraId="0000013A" w14:textId="77777777" w:rsidR="00DD0CC6" w:rsidRPr="00957CD5" w:rsidRDefault="00DD0CC6"/>
    <w:p w14:paraId="0000013B" w14:textId="77777777" w:rsidR="00DD0CC6" w:rsidRPr="00957CD5" w:rsidRDefault="00DD0CC6"/>
    <w:p w14:paraId="0000013C" w14:textId="77777777" w:rsidR="00DD0CC6" w:rsidRPr="00957CD5" w:rsidRDefault="00DD0CC6"/>
    <w:p w14:paraId="0000013D" w14:textId="77777777" w:rsidR="00DD0CC6" w:rsidRPr="00957CD5" w:rsidRDefault="00DD0CC6"/>
    <w:p w14:paraId="0000013E" w14:textId="77777777" w:rsidR="00DD0CC6" w:rsidRPr="00957CD5" w:rsidRDefault="00DD0CC6"/>
    <w:p w14:paraId="0000013F" w14:textId="77777777" w:rsidR="00DD0CC6" w:rsidRPr="00957CD5" w:rsidRDefault="00DD0CC6">
      <w:pPr>
        <w:pBdr>
          <w:top w:val="nil"/>
          <w:left w:val="nil"/>
          <w:bottom w:val="nil"/>
          <w:right w:val="nil"/>
          <w:between w:val="nil"/>
        </w:pBdr>
        <w:spacing w:after="200"/>
        <w:rPr>
          <w:b/>
          <w:color w:val="000000"/>
        </w:rPr>
      </w:pPr>
    </w:p>
    <w:p w14:paraId="00000140" w14:textId="77777777" w:rsidR="00DD0CC6" w:rsidRPr="00957CD5" w:rsidRDefault="003771BF">
      <w:pPr>
        <w:pBdr>
          <w:top w:val="nil"/>
          <w:left w:val="nil"/>
          <w:bottom w:val="nil"/>
          <w:right w:val="nil"/>
          <w:between w:val="nil"/>
        </w:pBdr>
        <w:spacing w:after="200"/>
        <w:rPr>
          <w:b/>
          <w:color w:val="000000"/>
        </w:rPr>
      </w:pPr>
      <w:bookmarkStart w:id="16" w:name="_heading=h.me08b4gf00h8" w:colFirst="0" w:colLast="0"/>
      <w:bookmarkEnd w:id="16"/>
      <w:r w:rsidRPr="00957CD5">
        <w:rPr>
          <w:b/>
          <w:noProof/>
        </w:rPr>
        <w:lastRenderedPageBreak/>
        <w:drawing>
          <wp:inline distT="114300" distB="114300" distL="114300" distR="114300" wp14:anchorId="341077A2" wp14:editId="76CA5F22">
            <wp:extent cx="5760410" cy="7454900"/>
            <wp:effectExtent l="0" t="0" r="0" b="0"/>
            <wp:docPr id="201437153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9"/>
                    <a:srcRect/>
                    <a:stretch>
                      <a:fillRect/>
                    </a:stretch>
                  </pic:blipFill>
                  <pic:spPr>
                    <a:xfrm>
                      <a:off x="0" y="0"/>
                      <a:ext cx="5760410" cy="7454900"/>
                    </a:xfrm>
                    <a:prstGeom prst="rect">
                      <a:avLst/>
                    </a:prstGeom>
                    <a:ln/>
                  </pic:spPr>
                </pic:pic>
              </a:graphicData>
            </a:graphic>
          </wp:inline>
        </w:drawing>
      </w:r>
    </w:p>
    <w:p w14:paraId="00000144" w14:textId="6BB013E6" w:rsidR="00DD0CC6" w:rsidRPr="00957CD5" w:rsidRDefault="003771BF" w:rsidP="002C1ED2">
      <w:pPr>
        <w:pBdr>
          <w:top w:val="nil"/>
          <w:left w:val="nil"/>
          <w:bottom w:val="nil"/>
          <w:right w:val="nil"/>
          <w:between w:val="nil"/>
        </w:pBdr>
        <w:spacing w:after="200"/>
        <w:jc w:val="both"/>
        <w:rPr>
          <w:b/>
          <w:color w:val="000000"/>
        </w:rPr>
      </w:pPr>
      <w:r w:rsidRPr="00957CD5">
        <w:rPr>
          <w:b/>
          <w:color w:val="000000"/>
        </w:rPr>
        <w:t xml:space="preserve">Fig. S12 Test runs for determination of optimal range of cut-off distances for the benchmark set in the absence of additional restraints. </w:t>
      </w:r>
      <w:r w:rsidRPr="00957CD5">
        <w:rPr>
          <w:color w:val="000000"/>
        </w:rPr>
        <w:t>The step size from the minimal to maximal cut-off distance was 0.</w:t>
      </w:r>
      <w:r w:rsidRPr="00957CD5">
        <w:t>1</w:t>
      </w:r>
      <w:r w:rsidRPr="00957CD5">
        <w:rPr>
          <w:color w:val="000000"/>
        </w:rPr>
        <w:t xml:space="preserve"> Å except for a7a7, GTB, and </w:t>
      </w:r>
      <w:proofErr w:type="spellStart"/>
      <w:r w:rsidRPr="00957CD5">
        <w:rPr>
          <w:color w:val="000000"/>
        </w:rPr>
        <w:t>LmUGP</w:t>
      </w:r>
      <w:proofErr w:type="spellEnd"/>
      <w:r w:rsidRPr="00957CD5">
        <w:rPr>
          <w:color w:val="000000"/>
        </w:rPr>
        <w:t xml:space="preserve"> apo, where a step size of 0.2 </w:t>
      </w:r>
      <w:r w:rsidRPr="00957CD5">
        <w:t>Å</w:t>
      </w:r>
      <w:r w:rsidRPr="00957CD5">
        <w:rPr>
          <w:color w:val="000000"/>
        </w:rPr>
        <w:t xml:space="preserve"> was </w:t>
      </w:r>
      <w:r w:rsidRPr="00957CD5">
        <w:t>used</w:t>
      </w:r>
      <w:r w:rsidRPr="00957CD5">
        <w:rPr>
          <w:color w:val="000000"/>
        </w:rPr>
        <w:t>. The range of cut-off distances was o</w:t>
      </w:r>
      <w:r w:rsidR="00DB582A" w:rsidRPr="00957CD5">
        <w:rPr>
          <w:color w:val="000000"/>
        </w:rPr>
        <w:t>ptimis</w:t>
      </w:r>
      <w:r w:rsidRPr="00957CD5">
        <w:rPr>
          <w:color w:val="000000"/>
        </w:rPr>
        <w:t xml:space="preserve">ed for each protein. Selected cut-off ranges are indicated with an </w:t>
      </w:r>
      <w:proofErr w:type="gramStart"/>
      <w:r w:rsidRPr="00957CD5">
        <w:rPr>
          <w:color w:val="000000"/>
        </w:rPr>
        <w:t>*, and</w:t>
      </w:r>
      <w:proofErr w:type="gramEnd"/>
      <w:r w:rsidRPr="00957CD5">
        <w:rPr>
          <w:color w:val="000000"/>
        </w:rPr>
        <w:t xml:space="preserve"> correspond to the run with the highest </w:t>
      </w:r>
      <w:proofErr w:type="spellStart"/>
      <w:r w:rsidRPr="00957CD5">
        <w:rPr>
          <w:i/>
          <w:color w:val="000000"/>
        </w:rPr>
        <w:t>N</w:t>
      </w:r>
      <w:r w:rsidRPr="00957CD5">
        <w:rPr>
          <w:i/>
          <w:color w:val="000000"/>
          <w:vertAlign w:val="subscript"/>
        </w:rPr>
        <w:t>match</w:t>
      </w:r>
      <w:proofErr w:type="spellEnd"/>
      <w:r w:rsidRPr="00957CD5">
        <w:rPr>
          <w:color w:val="000000"/>
        </w:rPr>
        <w:t>/</w:t>
      </w:r>
      <w:proofErr w:type="spellStart"/>
      <w:r w:rsidRPr="00957CD5">
        <w:rPr>
          <w:i/>
          <w:color w:val="000000"/>
        </w:rPr>
        <w:t>N</w:t>
      </w:r>
      <w:r w:rsidRPr="00957CD5">
        <w:rPr>
          <w:i/>
          <w:color w:val="000000"/>
          <w:vertAlign w:val="subscript"/>
        </w:rPr>
        <w:t>total</w:t>
      </w:r>
      <w:proofErr w:type="spellEnd"/>
      <w:r w:rsidRPr="00957CD5">
        <w:rPr>
          <w:i/>
          <w:color w:val="000000"/>
        </w:rPr>
        <w:t xml:space="preserve"> </w:t>
      </w:r>
      <w:r w:rsidRPr="00957CD5">
        <w:rPr>
          <w:color w:val="000000"/>
        </w:rPr>
        <w:t xml:space="preserve">ratio. </w:t>
      </w:r>
      <w:proofErr w:type="spellStart"/>
      <w:r w:rsidRPr="00957CD5">
        <w:rPr>
          <w:i/>
          <w:color w:val="000000"/>
        </w:rPr>
        <w:t>N</w:t>
      </w:r>
      <w:r w:rsidRPr="00957CD5">
        <w:rPr>
          <w:i/>
          <w:color w:val="000000"/>
          <w:vertAlign w:val="subscript"/>
        </w:rPr>
        <w:t>total</w:t>
      </w:r>
      <w:proofErr w:type="spellEnd"/>
      <w:r w:rsidRPr="00957CD5">
        <w:rPr>
          <w:color w:val="000000"/>
        </w:rPr>
        <w:t xml:space="preserve"> corresponds to the total number of assigned resonances, while </w:t>
      </w:r>
      <w:proofErr w:type="spellStart"/>
      <w:r w:rsidRPr="00957CD5">
        <w:rPr>
          <w:i/>
          <w:color w:val="000000"/>
        </w:rPr>
        <w:t>N</w:t>
      </w:r>
      <w:r w:rsidRPr="00957CD5">
        <w:rPr>
          <w:i/>
          <w:color w:val="000000"/>
          <w:vertAlign w:val="subscript"/>
        </w:rPr>
        <w:t>match</w:t>
      </w:r>
      <w:proofErr w:type="spellEnd"/>
      <w:r w:rsidRPr="00957CD5">
        <w:rPr>
          <w:color w:val="000000"/>
        </w:rPr>
        <w:t xml:space="preserve"> denotes resonances for which the NOE building block and the corresponding structure building block matched perfectly. Selected cut-off ranges were used to run the final assignments.</w:t>
      </w:r>
      <w:bookmarkStart w:id="17" w:name="_heading=h.az37putvoyog" w:colFirst="0" w:colLast="0"/>
      <w:bookmarkEnd w:id="17"/>
    </w:p>
    <w:p w14:paraId="00000145" w14:textId="77777777" w:rsidR="00DD0CC6" w:rsidRPr="00957CD5" w:rsidRDefault="00DD0CC6"/>
    <w:p w14:paraId="00000146" w14:textId="77777777" w:rsidR="00DD0CC6" w:rsidRPr="00957CD5" w:rsidRDefault="003771BF">
      <w:pPr>
        <w:keepNext/>
        <w:pBdr>
          <w:top w:val="nil"/>
          <w:left w:val="nil"/>
          <w:bottom w:val="nil"/>
          <w:right w:val="nil"/>
          <w:between w:val="nil"/>
        </w:pBdr>
        <w:spacing w:after="200"/>
        <w:rPr>
          <w:b/>
          <w:color w:val="000000"/>
        </w:rPr>
      </w:pPr>
      <w:r w:rsidRPr="00957CD5">
        <w:rPr>
          <w:b/>
          <w:color w:val="000000"/>
        </w:rPr>
        <w:t>Table S1: Reference assignments for the tested experimental data sets.</w:t>
      </w:r>
    </w:p>
    <w:tbl>
      <w:tblPr>
        <w:tblStyle w:val="a"/>
        <w:tblW w:w="9066" w:type="dxa"/>
        <w:tblInd w:w="0" w:type="dxa"/>
        <w:tblLayout w:type="fixed"/>
        <w:tblLook w:val="0400" w:firstRow="0" w:lastRow="0" w:firstColumn="0" w:lastColumn="0" w:noHBand="0" w:noVBand="1"/>
      </w:tblPr>
      <w:tblGrid>
        <w:gridCol w:w="848"/>
        <w:gridCol w:w="1559"/>
        <w:gridCol w:w="4111"/>
        <w:gridCol w:w="2548"/>
      </w:tblGrid>
      <w:tr w:rsidR="00DD0CC6" w:rsidRPr="00957CD5" w14:paraId="6829E1B5" w14:textId="77777777">
        <w:tc>
          <w:tcPr>
            <w:tcW w:w="848" w:type="dxa"/>
            <w:tcBorders>
              <w:top w:val="single" w:sz="4" w:space="0" w:color="000000"/>
              <w:left w:val="single" w:sz="4" w:space="0" w:color="000000"/>
              <w:bottom w:val="single" w:sz="4" w:space="0" w:color="000000"/>
            </w:tcBorders>
          </w:tcPr>
          <w:p w14:paraId="00000147" w14:textId="77777777" w:rsidR="00DD0CC6" w:rsidRPr="00957CD5" w:rsidRDefault="003771BF">
            <w:pPr>
              <w:pBdr>
                <w:top w:val="nil"/>
                <w:left w:val="nil"/>
                <w:bottom w:val="nil"/>
                <w:right w:val="nil"/>
                <w:between w:val="nil"/>
              </w:pBdr>
              <w:rPr>
                <w:b/>
                <w:color w:val="000000"/>
                <w:sz w:val="20"/>
                <w:szCs w:val="20"/>
              </w:rPr>
            </w:pPr>
            <w:r w:rsidRPr="00957CD5">
              <w:rPr>
                <w:b/>
                <w:color w:val="000000"/>
                <w:sz w:val="20"/>
                <w:szCs w:val="20"/>
              </w:rPr>
              <w:t>Entry N°</w:t>
            </w:r>
          </w:p>
        </w:tc>
        <w:tc>
          <w:tcPr>
            <w:tcW w:w="1559" w:type="dxa"/>
            <w:tcBorders>
              <w:top w:val="single" w:sz="4" w:space="0" w:color="000000"/>
              <w:left w:val="single" w:sz="4" w:space="0" w:color="000000"/>
              <w:bottom w:val="single" w:sz="4" w:space="0" w:color="000000"/>
            </w:tcBorders>
            <w:tcMar>
              <w:top w:w="55" w:type="dxa"/>
              <w:left w:w="55" w:type="dxa"/>
              <w:bottom w:w="55" w:type="dxa"/>
              <w:right w:w="55" w:type="dxa"/>
            </w:tcMar>
          </w:tcPr>
          <w:p w14:paraId="00000148" w14:textId="77777777" w:rsidR="00DD0CC6" w:rsidRPr="00957CD5" w:rsidRDefault="003771BF">
            <w:pPr>
              <w:pBdr>
                <w:top w:val="nil"/>
                <w:left w:val="nil"/>
                <w:bottom w:val="nil"/>
                <w:right w:val="nil"/>
                <w:between w:val="nil"/>
              </w:pBdr>
              <w:rPr>
                <w:b/>
                <w:color w:val="000000"/>
                <w:sz w:val="20"/>
                <w:szCs w:val="20"/>
              </w:rPr>
            </w:pPr>
            <w:r w:rsidRPr="00957CD5">
              <w:rPr>
                <w:b/>
                <w:color w:val="000000"/>
                <w:sz w:val="20"/>
                <w:szCs w:val="20"/>
              </w:rPr>
              <w:t>Protein</w:t>
            </w:r>
          </w:p>
        </w:tc>
        <w:tc>
          <w:tcPr>
            <w:tcW w:w="411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0000149" w14:textId="77777777" w:rsidR="00DD0CC6" w:rsidRPr="00957CD5" w:rsidRDefault="003771BF">
            <w:pPr>
              <w:pBdr>
                <w:top w:val="nil"/>
                <w:left w:val="nil"/>
                <w:bottom w:val="nil"/>
                <w:right w:val="nil"/>
                <w:between w:val="nil"/>
              </w:pBdr>
              <w:tabs>
                <w:tab w:val="left" w:pos="1252"/>
              </w:tabs>
              <w:rPr>
                <w:b/>
                <w:color w:val="000000"/>
                <w:sz w:val="20"/>
                <w:szCs w:val="20"/>
              </w:rPr>
            </w:pPr>
            <w:r w:rsidRPr="00957CD5">
              <w:rPr>
                <w:b/>
                <w:color w:val="000000"/>
                <w:sz w:val="20"/>
                <w:szCs w:val="20"/>
              </w:rPr>
              <w:t>References for data and assignment</w:t>
            </w:r>
          </w:p>
        </w:tc>
        <w:tc>
          <w:tcPr>
            <w:tcW w:w="2548" w:type="dxa"/>
            <w:tcBorders>
              <w:top w:val="single" w:sz="4" w:space="0" w:color="000000"/>
              <w:left w:val="single" w:sz="4" w:space="0" w:color="000000"/>
              <w:bottom w:val="single" w:sz="4" w:space="0" w:color="000000"/>
              <w:right w:val="single" w:sz="4" w:space="0" w:color="000000"/>
            </w:tcBorders>
          </w:tcPr>
          <w:p w14:paraId="0000014A" w14:textId="77777777" w:rsidR="00DD0CC6" w:rsidRPr="00957CD5" w:rsidRDefault="003771BF">
            <w:pPr>
              <w:pBdr>
                <w:top w:val="nil"/>
                <w:left w:val="nil"/>
                <w:bottom w:val="nil"/>
                <w:right w:val="nil"/>
                <w:between w:val="nil"/>
              </w:pBdr>
              <w:tabs>
                <w:tab w:val="left" w:pos="1252"/>
              </w:tabs>
              <w:rPr>
                <w:b/>
                <w:color w:val="000000"/>
                <w:sz w:val="20"/>
                <w:szCs w:val="20"/>
              </w:rPr>
            </w:pPr>
            <w:r w:rsidRPr="00957CD5">
              <w:rPr>
                <w:b/>
                <w:color w:val="000000"/>
                <w:sz w:val="20"/>
                <w:szCs w:val="20"/>
              </w:rPr>
              <w:t>PDB code of structural model</w:t>
            </w:r>
          </w:p>
        </w:tc>
      </w:tr>
      <w:tr w:rsidR="00DD0CC6" w:rsidRPr="00957CD5" w14:paraId="29C4DA69" w14:textId="77777777">
        <w:tc>
          <w:tcPr>
            <w:tcW w:w="848" w:type="dxa"/>
            <w:tcBorders>
              <w:top w:val="single" w:sz="4" w:space="0" w:color="000000"/>
              <w:left w:val="single" w:sz="4" w:space="0" w:color="000000"/>
              <w:bottom w:val="single" w:sz="4" w:space="0" w:color="000000"/>
            </w:tcBorders>
          </w:tcPr>
          <w:p w14:paraId="0000014B"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w:t>
            </w:r>
          </w:p>
        </w:tc>
        <w:tc>
          <w:tcPr>
            <w:tcW w:w="1559" w:type="dxa"/>
            <w:tcBorders>
              <w:top w:val="single" w:sz="4" w:space="0" w:color="000000"/>
              <w:left w:val="single" w:sz="4" w:space="0" w:color="000000"/>
              <w:bottom w:val="single" w:sz="4" w:space="0" w:color="000000"/>
            </w:tcBorders>
            <w:tcMar>
              <w:top w:w="55" w:type="dxa"/>
              <w:left w:w="55" w:type="dxa"/>
              <w:bottom w:w="55" w:type="dxa"/>
              <w:right w:w="55" w:type="dxa"/>
            </w:tcMar>
          </w:tcPr>
          <w:p w14:paraId="0000014C" w14:textId="77777777" w:rsidR="00DD0CC6" w:rsidRPr="00957CD5" w:rsidRDefault="003771BF">
            <w:pPr>
              <w:pBdr>
                <w:top w:val="nil"/>
                <w:left w:val="nil"/>
                <w:bottom w:val="nil"/>
                <w:right w:val="nil"/>
                <w:between w:val="nil"/>
              </w:pBdr>
              <w:rPr>
                <w:color w:val="000000"/>
                <w:sz w:val="20"/>
                <w:szCs w:val="20"/>
              </w:rPr>
            </w:pPr>
            <w:proofErr w:type="spellStart"/>
            <w:r w:rsidRPr="00957CD5">
              <w:rPr>
                <w:color w:val="000000"/>
                <w:sz w:val="20"/>
                <w:szCs w:val="20"/>
              </w:rPr>
              <w:t>mrsB</w:t>
            </w:r>
            <w:proofErr w:type="spellEnd"/>
          </w:p>
        </w:tc>
        <w:tc>
          <w:tcPr>
            <w:tcW w:w="4111"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000014D" w14:textId="77777777" w:rsidR="00DD0CC6" w:rsidRPr="00957CD5" w:rsidRDefault="003771BF">
            <w:pPr>
              <w:pBdr>
                <w:top w:val="nil"/>
                <w:left w:val="nil"/>
                <w:bottom w:val="nil"/>
                <w:right w:val="nil"/>
                <w:between w:val="nil"/>
              </w:pBdr>
              <w:tabs>
                <w:tab w:val="left" w:pos="1252"/>
              </w:tabs>
              <w:rPr>
                <w:color w:val="000000"/>
                <w:sz w:val="20"/>
                <w:szCs w:val="20"/>
                <w:lang w:val="de-DE"/>
              </w:rPr>
            </w:pPr>
            <w:r w:rsidRPr="00957CD5">
              <w:rPr>
                <w:color w:val="000000"/>
                <w:sz w:val="20"/>
                <w:szCs w:val="20"/>
                <w:lang w:val="de-DE"/>
              </w:rPr>
              <w:t xml:space="preserve">(Lange et al. 2012; </w:t>
            </w:r>
            <w:proofErr w:type="spellStart"/>
            <w:r w:rsidRPr="00957CD5">
              <w:rPr>
                <w:color w:val="000000"/>
                <w:sz w:val="20"/>
                <w:szCs w:val="20"/>
                <w:lang w:val="de-DE"/>
              </w:rPr>
              <w:t>Pritišanac</w:t>
            </w:r>
            <w:proofErr w:type="spellEnd"/>
            <w:r w:rsidRPr="00957CD5">
              <w:rPr>
                <w:color w:val="000000"/>
                <w:sz w:val="20"/>
                <w:szCs w:val="20"/>
                <w:lang w:val="de-DE"/>
              </w:rPr>
              <w:t xml:space="preserve"> et al. 2017)   </w:t>
            </w:r>
          </w:p>
        </w:tc>
        <w:tc>
          <w:tcPr>
            <w:tcW w:w="2548" w:type="dxa"/>
            <w:tcBorders>
              <w:top w:val="single" w:sz="4" w:space="0" w:color="000000"/>
              <w:left w:val="single" w:sz="4" w:space="0" w:color="000000"/>
              <w:bottom w:val="single" w:sz="4" w:space="0" w:color="000000"/>
              <w:right w:val="single" w:sz="4" w:space="0" w:color="000000"/>
            </w:tcBorders>
          </w:tcPr>
          <w:p w14:paraId="0000014E" w14:textId="77777777" w:rsidR="00DD0CC6" w:rsidRPr="00957CD5" w:rsidRDefault="003771BF">
            <w:pPr>
              <w:pBdr>
                <w:top w:val="nil"/>
                <w:left w:val="nil"/>
                <w:bottom w:val="nil"/>
                <w:right w:val="nil"/>
                <w:between w:val="nil"/>
              </w:pBdr>
              <w:tabs>
                <w:tab w:val="left" w:pos="1252"/>
              </w:tabs>
              <w:rPr>
                <w:color w:val="000000"/>
                <w:sz w:val="20"/>
                <w:szCs w:val="20"/>
              </w:rPr>
            </w:pPr>
            <w:r w:rsidRPr="00957CD5">
              <w:rPr>
                <w:color w:val="000000"/>
                <w:sz w:val="20"/>
                <w:szCs w:val="20"/>
              </w:rPr>
              <w:t>3e0o (Kim et al. 2009)</w:t>
            </w:r>
          </w:p>
        </w:tc>
      </w:tr>
      <w:tr w:rsidR="00DD0CC6" w:rsidRPr="00957CD5" w14:paraId="7FFBB912" w14:textId="77777777">
        <w:tc>
          <w:tcPr>
            <w:tcW w:w="848" w:type="dxa"/>
            <w:tcBorders>
              <w:left w:val="single" w:sz="4" w:space="0" w:color="000000"/>
              <w:bottom w:val="single" w:sz="4" w:space="0" w:color="000000"/>
            </w:tcBorders>
          </w:tcPr>
          <w:p w14:paraId="0000014F"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2</w:t>
            </w:r>
          </w:p>
        </w:tc>
        <w:tc>
          <w:tcPr>
            <w:tcW w:w="1559" w:type="dxa"/>
            <w:tcBorders>
              <w:left w:val="single" w:sz="4" w:space="0" w:color="000000"/>
              <w:bottom w:val="single" w:sz="4" w:space="0" w:color="000000"/>
            </w:tcBorders>
            <w:tcMar>
              <w:top w:w="55" w:type="dxa"/>
              <w:left w:w="55" w:type="dxa"/>
              <w:bottom w:w="55" w:type="dxa"/>
              <w:right w:w="55" w:type="dxa"/>
            </w:tcMar>
          </w:tcPr>
          <w:p w14:paraId="00000150"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Ubiquitin</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51"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 xml:space="preserve">(Chao et al. 2012; </w:t>
            </w:r>
            <w:proofErr w:type="spellStart"/>
            <w:r w:rsidRPr="00957CD5">
              <w:rPr>
                <w:color w:val="000000"/>
                <w:sz w:val="20"/>
                <w:szCs w:val="20"/>
              </w:rPr>
              <w:t>Pritišanac</w:t>
            </w:r>
            <w:proofErr w:type="spellEnd"/>
            <w:r w:rsidRPr="00957CD5">
              <w:rPr>
                <w:color w:val="000000"/>
                <w:sz w:val="20"/>
                <w:szCs w:val="20"/>
              </w:rPr>
              <w:t xml:space="preserve"> et al. 2017)</w:t>
            </w:r>
          </w:p>
        </w:tc>
        <w:tc>
          <w:tcPr>
            <w:tcW w:w="2548" w:type="dxa"/>
            <w:tcBorders>
              <w:left w:val="single" w:sz="4" w:space="0" w:color="000000"/>
              <w:bottom w:val="single" w:sz="4" w:space="0" w:color="000000"/>
              <w:right w:val="single" w:sz="4" w:space="0" w:color="000000"/>
            </w:tcBorders>
          </w:tcPr>
          <w:p w14:paraId="00000152" w14:textId="77777777" w:rsidR="00DD0CC6" w:rsidRPr="00957CD5" w:rsidRDefault="003771BF">
            <w:pPr>
              <w:pBdr>
                <w:top w:val="nil"/>
                <w:left w:val="nil"/>
                <w:bottom w:val="nil"/>
                <w:right w:val="nil"/>
                <w:between w:val="nil"/>
              </w:pBdr>
              <w:rPr>
                <w:color w:val="000000"/>
                <w:sz w:val="20"/>
                <w:szCs w:val="20"/>
                <w:lang w:val="de-DE"/>
              </w:rPr>
            </w:pPr>
            <w:r w:rsidRPr="00957CD5">
              <w:rPr>
                <w:color w:val="000000"/>
                <w:sz w:val="20"/>
                <w:szCs w:val="20"/>
                <w:lang w:val="de-DE"/>
              </w:rPr>
              <w:t>1ubq (Vijay-</w:t>
            </w:r>
            <w:proofErr w:type="spellStart"/>
            <w:r w:rsidRPr="00957CD5">
              <w:rPr>
                <w:color w:val="000000"/>
                <w:sz w:val="20"/>
                <w:szCs w:val="20"/>
                <w:lang w:val="de-DE"/>
              </w:rPr>
              <w:t>kumar</w:t>
            </w:r>
            <w:proofErr w:type="spellEnd"/>
            <w:r w:rsidRPr="00957CD5">
              <w:rPr>
                <w:color w:val="000000"/>
                <w:sz w:val="20"/>
                <w:szCs w:val="20"/>
                <w:lang w:val="de-DE"/>
              </w:rPr>
              <w:t xml:space="preserve"> et al. 1987)</w:t>
            </w:r>
          </w:p>
        </w:tc>
      </w:tr>
      <w:tr w:rsidR="00DD0CC6" w:rsidRPr="00957CD5" w14:paraId="76F7D9F4" w14:textId="77777777">
        <w:tc>
          <w:tcPr>
            <w:tcW w:w="848" w:type="dxa"/>
            <w:tcBorders>
              <w:left w:val="single" w:sz="4" w:space="0" w:color="000000"/>
              <w:bottom w:val="single" w:sz="4" w:space="0" w:color="000000"/>
            </w:tcBorders>
          </w:tcPr>
          <w:p w14:paraId="00000153"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3</w:t>
            </w:r>
          </w:p>
        </w:tc>
        <w:tc>
          <w:tcPr>
            <w:tcW w:w="1559" w:type="dxa"/>
            <w:tcBorders>
              <w:left w:val="single" w:sz="4" w:space="0" w:color="000000"/>
              <w:bottom w:val="single" w:sz="4" w:space="0" w:color="000000"/>
            </w:tcBorders>
            <w:tcMar>
              <w:top w:w="55" w:type="dxa"/>
              <w:left w:w="55" w:type="dxa"/>
              <w:bottom w:w="55" w:type="dxa"/>
              <w:right w:w="55" w:type="dxa"/>
            </w:tcMar>
          </w:tcPr>
          <w:p w14:paraId="00000154"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EIN</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55"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 xml:space="preserve">(Venditti et al. 2011; </w:t>
            </w:r>
            <w:proofErr w:type="spellStart"/>
            <w:r w:rsidRPr="00957CD5">
              <w:rPr>
                <w:color w:val="000000"/>
                <w:sz w:val="20"/>
                <w:szCs w:val="20"/>
              </w:rPr>
              <w:t>Pritišanac</w:t>
            </w:r>
            <w:proofErr w:type="spellEnd"/>
            <w:r w:rsidRPr="00957CD5">
              <w:rPr>
                <w:color w:val="000000"/>
                <w:sz w:val="20"/>
                <w:szCs w:val="20"/>
              </w:rPr>
              <w:t xml:space="preserve"> et al. 2017)</w:t>
            </w:r>
          </w:p>
        </w:tc>
        <w:tc>
          <w:tcPr>
            <w:tcW w:w="2548" w:type="dxa"/>
            <w:tcBorders>
              <w:left w:val="single" w:sz="4" w:space="0" w:color="000000"/>
              <w:bottom w:val="single" w:sz="4" w:space="0" w:color="000000"/>
              <w:right w:val="single" w:sz="4" w:space="0" w:color="000000"/>
            </w:tcBorders>
          </w:tcPr>
          <w:p w14:paraId="00000156"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1eza (Garrett et al. 1997)</w:t>
            </w:r>
          </w:p>
        </w:tc>
      </w:tr>
      <w:tr w:rsidR="00DD0CC6" w:rsidRPr="00957CD5" w14:paraId="1D714D92" w14:textId="77777777">
        <w:tc>
          <w:tcPr>
            <w:tcW w:w="848" w:type="dxa"/>
            <w:tcBorders>
              <w:left w:val="single" w:sz="4" w:space="0" w:color="000000"/>
              <w:bottom w:val="single" w:sz="4" w:space="0" w:color="000000"/>
            </w:tcBorders>
          </w:tcPr>
          <w:p w14:paraId="00000157"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4</w:t>
            </w:r>
          </w:p>
        </w:tc>
        <w:tc>
          <w:tcPr>
            <w:tcW w:w="1559" w:type="dxa"/>
            <w:tcBorders>
              <w:left w:val="single" w:sz="4" w:space="0" w:color="000000"/>
              <w:bottom w:val="single" w:sz="4" w:space="0" w:color="000000"/>
            </w:tcBorders>
            <w:tcMar>
              <w:top w:w="55" w:type="dxa"/>
              <w:left w:w="55" w:type="dxa"/>
              <w:bottom w:w="55" w:type="dxa"/>
              <w:right w:w="55" w:type="dxa"/>
            </w:tcMar>
          </w:tcPr>
          <w:p w14:paraId="00000158"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MBP</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59" w14:textId="77777777" w:rsidR="00DD0CC6" w:rsidRPr="00957CD5" w:rsidRDefault="003771BF">
            <w:pPr>
              <w:pBdr>
                <w:top w:val="nil"/>
                <w:left w:val="nil"/>
                <w:bottom w:val="nil"/>
                <w:right w:val="nil"/>
                <w:between w:val="nil"/>
              </w:pBdr>
              <w:rPr>
                <w:color w:val="000000"/>
                <w:sz w:val="20"/>
                <w:szCs w:val="20"/>
                <w:lang w:val="de-DE"/>
              </w:rPr>
            </w:pPr>
            <w:r w:rsidRPr="00957CD5">
              <w:rPr>
                <w:color w:val="000000"/>
                <w:sz w:val="20"/>
                <w:szCs w:val="20"/>
                <w:lang w:val="de-DE"/>
              </w:rPr>
              <w:t xml:space="preserve">(Lange et al. 2012; </w:t>
            </w:r>
            <w:proofErr w:type="spellStart"/>
            <w:r w:rsidRPr="00957CD5">
              <w:rPr>
                <w:color w:val="000000"/>
                <w:sz w:val="20"/>
                <w:szCs w:val="20"/>
                <w:lang w:val="de-DE"/>
              </w:rPr>
              <w:t>Pritišanac</w:t>
            </w:r>
            <w:proofErr w:type="spellEnd"/>
            <w:r w:rsidRPr="00957CD5">
              <w:rPr>
                <w:color w:val="000000"/>
                <w:sz w:val="20"/>
                <w:szCs w:val="20"/>
                <w:lang w:val="de-DE"/>
              </w:rPr>
              <w:t xml:space="preserve"> et al. 2017)   </w:t>
            </w:r>
          </w:p>
        </w:tc>
        <w:tc>
          <w:tcPr>
            <w:tcW w:w="2548" w:type="dxa"/>
            <w:tcBorders>
              <w:left w:val="single" w:sz="4" w:space="0" w:color="000000"/>
              <w:bottom w:val="single" w:sz="4" w:space="0" w:color="000000"/>
              <w:right w:val="single" w:sz="4" w:space="0" w:color="000000"/>
            </w:tcBorders>
          </w:tcPr>
          <w:p w14:paraId="0000015A"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1ez9 (Duan and Quiocho 2002)</w:t>
            </w:r>
          </w:p>
        </w:tc>
      </w:tr>
      <w:tr w:rsidR="00DD0CC6" w:rsidRPr="00957CD5" w14:paraId="1EB98B1F" w14:textId="77777777">
        <w:tc>
          <w:tcPr>
            <w:tcW w:w="848" w:type="dxa"/>
            <w:tcBorders>
              <w:left w:val="single" w:sz="4" w:space="0" w:color="000000"/>
              <w:bottom w:val="single" w:sz="4" w:space="0" w:color="000000"/>
            </w:tcBorders>
          </w:tcPr>
          <w:p w14:paraId="0000015B"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5</w:t>
            </w:r>
          </w:p>
        </w:tc>
        <w:tc>
          <w:tcPr>
            <w:tcW w:w="1559" w:type="dxa"/>
            <w:tcBorders>
              <w:left w:val="single" w:sz="4" w:space="0" w:color="000000"/>
              <w:bottom w:val="single" w:sz="4" w:space="0" w:color="000000"/>
            </w:tcBorders>
            <w:tcMar>
              <w:top w:w="55" w:type="dxa"/>
              <w:left w:w="55" w:type="dxa"/>
              <w:bottom w:w="55" w:type="dxa"/>
              <w:right w:w="55" w:type="dxa"/>
            </w:tcMar>
          </w:tcPr>
          <w:p w14:paraId="0000015C" w14:textId="77777777" w:rsidR="00DD0CC6" w:rsidRPr="00957CD5" w:rsidRDefault="003771BF">
            <w:pPr>
              <w:pBdr>
                <w:top w:val="nil"/>
                <w:left w:val="nil"/>
                <w:bottom w:val="nil"/>
                <w:right w:val="nil"/>
                <w:between w:val="nil"/>
              </w:pBdr>
              <w:rPr>
                <w:color w:val="000000"/>
                <w:sz w:val="20"/>
                <w:szCs w:val="20"/>
              </w:rPr>
            </w:pPr>
            <w:proofErr w:type="spellStart"/>
            <w:r w:rsidRPr="00957CD5">
              <w:rPr>
                <w:color w:val="000000"/>
                <w:sz w:val="20"/>
                <w:szCs w:val="20"/>
              </w:rPr>
              <w:t>msg</w:t>
            </w:r>
            <w:proofErr w:type="spellEnd"/>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5D"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w:t>
            </w:r>
            <w:proofErr w:type="spellStart"/>
            <w:r w:rsidRPr="00957CD5">
              <w:rPr>
                <w:color w:val="000000"/>
                <w:sz w:val="20"/>
                <w:szCs w:val="20"/>
              </w:rPr>
              <w:t>Tugarinov</w:t>
            </w:r>
            <w:proofErr w:type="spellEnd"/>
            <w:r w:rsidRPr="00957CD5">
              <w:rPr>
                <w:color w:val="000000"/>
                <w:sz w:val="20"/>
                <w:szCs w:val="20"/>
              </w:rPr>
              <w:t xml:space="preserve"> and Kay 2003; </w:t>
            </w:r>
            <w:proofErr w:type="spellStart"/>
            <w:r w:rsidRPr="00957CD5">
              <w:rPr>
                <w:color w:val="000000"/>
                <w:sz w:val="20"/>
                <w:szCs w:val="20"/>
              </w:rPr>
              <w:t>Tugarinov</w:t>
            </w:r>
            <w:proofErr w:type="spellEnd"/>
            <w:r w:rsidRPr="00957CD5">
              <w:rPr>
                <w:color w:val="000000"/>
                <w:sz w:val="20"/>
                <w:szCs w:val="20"/>
              </w:rPr>
              <w:t xml:space="preserve"> et al. 2005; </w:t>
            </w:r>
            <w:proofErr w:type="spellStart"/>
            <w:r w:rsidRPr="00957CD5">
              <w:rPr>
                <w:color w:val="000000"/>
                <w:sz w:val="20"/>
                <w:szCs w:val="20"/>
              </w:rPr>
              <w:t>Pritišanac</w:t>
            </w:r>
            <w:proofErr w:type="spellEnd"/>
            <w:r w:rsidRPr="00957CD5">
              <w:rPr>
                <w:color w:val="000000"/>
                <w:sz w:val="20"/>
                <w:szCs w:val="20"/>
              </w:rPr>
              <w:t xml:space="preserve"> et al. 2017)</w:t>
            </w:r>
          </w:p>
        </w:tc>
        <w:tc>
          <w:tcPr>
            <w:tcW w:w="2548" w:type="dxa"/>
            <w:tcBorders>
              <w:left w:val="single" w:sz="4" w:space="0" w:color="000000"/>
              <w:bottom w:val="single" w:sz="4" w:space="0" w:color="000000"/>
              <w:right w:val="single" w:sz="4" w:space="0" w:color="000000"/>
            </w:tcBorders>
          </w:tcPr>
          <w:p w14:paraId="0000015E"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1y8b (</w:t>
            </w:r>
            <w:proofErr w:type="spellStart"/>
            <w:r w:rsidRPr="00957CD5">
              <w:rPr>
                <w:color w:val="000000"/>
                <w:sz w:val="20"/>
                <w:szCs w:val="20"/>
              </w:rPr>
              <w:t>Tugarinov</w:t>
            </w:r>
            <w:proofErr w:type="spellEnd"/>
            <w:r w:rsidRPr="00957CD5">
              <w:rPr>
                <w:color w:val="000000"/>
                <w:sz w:val="20"/>
                <w:szCs w:val="20"/>
              </w:rPr>
              <w:t xml:space="preserve"> et al. 2005)</w:t>
            </w:r>
          </w:p>
        </w:tc>
      </w:tr>
      <w:tr w:rsidR="00DD0CC6" w:rsidRPr="00957CD5" w14:paraId="4F1AD6C3" w14:textId="77777777">
        <w:tc>
          <w:tcPr>
            <w:tcW w:w="848" w:type="dxa"/>
            <w:tcBorders>
              <w:left w:val="single" w:sz="4" w:space="0" w:color="000000"/>
              <w:bottom w:val="single" w:sz="4" w:space="0" w:color="000000"/>
            </w:tcBorders>
          </w:tcPr>
          <w:p w14:paraId="0000015F"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6</w:t>
            </w:r>
          </w:p>
        </w:tc>
        <w:tc>
          <w:tcPr>
            <w:tcW w:w="1559" w:type="dxa"/>
            <w:tcBorders>
              <w:left w:val="single" w:sz="4" w:space="0" w:color="000000"/>
              <w:bottom w:val="single" w:sz="4" w:space="0" w:color="000000"/>
            </w:tcBorders>
            <w:tcMar>
              <w:top w:w="55" w:type="dxa"/>
              <w:left w:w="55" w:type="dxa"/>
              <w:bottom w:w="55" w:type="dxa"/>
              <w:right w:w="55" w:type="dxa"/>
            </w:tcMar>
          </w:tcPr>
          <w:p w14:paraId="00000160" w14:textId="77777777" w:rsidR="00DD0CC6" w:rsidRPr="00957CD5" w:rsidRDefault="003771BF">
            <w:pPr>
              <w:pBdr>
                <w:top w:val="nil"/>
                <w:left w:val="nil"/>
                <w:bottom w:val="nil"/>
                <w:right w:val="nil"/>
                <w:between w:val="nil"/>
              </w:pBdr>
              <w:rPr>
                <w:color w:val="000000"/>
                <w:sz w:val="20"/>
                <w:szCs w:val="20"/>
              </w:rPr>
            </w:pPr>
            <w:proofErr w:type="spellStart"/>
            <w:r w:rsidRPr="00957CD5">
              <w:rPr>
                <w:color w:val="000000"/>
                <w:sz w:val="20"/>
                <w:szCs w:val="20"/>
              </w:rPr>
              <w:t>ATCase</w:t>
            </w:r>
            <w:proofErr w:type="spellEnd"/>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61"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w:t>
            </w:r>
            <w:proofErr w:type="spellStart"/>
            <w:r w:rsidRPr="00957CD5">
              <w:rPr>
                <w:color w:val="000000"/>
                <w:sz w:val="20"/>
                <w:szCs w:val="20"/>
              </w:rPr>
              <w:t>Velyvis</w:t>
            </w:r>
            <w:proofErr w:type="spellEnd"/>
            <w:r w:rsidRPr="00957CD5">
              <w:rPr>
                <w:color w:val="000000"/>
                <w:sz w:val="20"/>
                <w:szCs w:val="20"/>
              </w:rPr>
              <w:t xml:space="preserve"> et al. 2009; </w:t>
            </w:r>
            <w:proofErr w:type="spellStart"/>
            <w:r w:rsidRPr="00957CD5">
              <w:rPr>
                <w:color w:val="000000"/>
                <w:sz w:val="20"/>
                <w:szCs w:val="20"/>
              </w:rPr>
              <w:t>Pritišanac</w:t>
            </w:r>
            <w:proofErr w:type="spellEnd"/>
            <w:r w:rsidRPr="00957CD5">
              <w:rPr>
                <w:color w:val="000000"/>
                <w:sz w:val="20"/>
                <w:szCs w:val="20"/>
              </w:rPr>
              <w:t xml:space="preserve"> et al. 2017)</w:t>
            </w:r>
          </w:p>
        </w:tc>
        <w:tc>
          <w:tcPr>
            <w:tcW w:w="2548" w:type="dxa"/>
            <w:tcBorders>
              <w:left w:val="single" w:sz="4" w:space="0" w:color="000000"/>
              <w:bottom w:val="single" w:sz="4" w:space="0" w:color="000000"/>
              <w:right w:val="single" w:sz="4" w:space="0" w:color="000000"/>
            </w:tcBorders>
          </w:tcPr>
          <w:p w14:paraId="00000162"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1d09 (Jin et al. 1999)</w:t>
            </w:r>
          </w:p>
        </w:tc>
      </w:tr>
      <w:tr w:rsidR="00DD0CC6" w:rsidRPr="00957CD5" w14:paraId="53ADE103" w14:textId="77777777">
        <w:tc>
          <w:tcPr>
            <w:tcW w:w="848" w:type="dxa"/>
            <w:tcBorders>
              <w:left w:val="single" w:sz="4" w:space="0" w:color="000000"/>
              <w:bottom w:val="single" w:sz="4" w:space="0" w:color="000000"/>
            </w:tcBorders>
          </w:tcPr>
          <w:p w14:paraId="00000163"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7</w:t>
            </w:r>
          </w:p>
        </w:tc>
        <w:tc>
          <w:tcPr>
            <w:tcW w:w="1559" w:type="dxa"/>
            <w:tcBorders>
              <w:left w:val="single" w:sz="4" w:space="0" w:color="000000"/>
              <w:bottom w:val="single" w:sz="4" w:space="0" w:color="000000"/>
            </w:tcBorders>
            <w:tcMar>
              <w:top w:w="55" w:type="dxa"/>
              <w:left w:w="55" w:type="dxa"/>
              <w:bottom w:w="55" w:type="dxa"/>
              <w:right w:w="55" w:type="dxa"/>
            </w:tcMar>
          </w:tcPr>
          <w:p w14:paraId="00000164"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a7a7</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65"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w:t>
            </w:r>
            <w:proofErr w:type="spellStart"/>
            <w:r w:rsidRPr="00957CD5">
              <w:rPr>
                <w:color w:val="000000"/>
                <w:sz w:val="20"/>
                <w:szCs w:val="20"/>
              </w:rPr>
              <w:t>Tugarinov</w:t>
            </w:r>
            <w:proofErr w:type="spellEnd"/>
            <w:r w:rsidRPr="00957CD5">
              <w:rPr>
                <w:color w:val="000000"/>
                <w:sz w:val="20"/>
                <w:szCs w:val="20"/>
              </w:rPr>
              <w:t xml:space="preserve"> et al. 2007; </w:t>
            </w:r>
            <w:proofErr w:type="spellStart"/>
            <w:r w:rsidRPr="00957CD5">
              <w:rPr>
                <w:color w:val="000000"/>
                <w:sz w:val="20"/>
                <w:szCs w:val="20"/>
              </w:rPr>
              <w:t>Pritišanac</w:t>
            </w:r>
            <w:proofErr w:type="spellEnd"/>
            <w:r w:rsidRPr="00957CD5">
              <w:rPr>
                <w:color w:val="000000"/>
                <w:sz w:val="20"/>
                <w:szCs w:val="20"/>
              </w:rPr>
              <w:t xml:space="preserve"> et al. 2017)</w:t>
            </w:r>
          </w:p>
        </w:tc>
        <w:tc>
          <w:tcPr>
            <w:tcW w:w="2548" w:type="dxa"/>
            <w:tcBorders>
              <w:left w:val="single" w:sz="4" w:space="0" w:color="000000"/>
              <w:bottom w:val="single" w:sz="4" w:space="0" w:color="000000"/>
              <w:right w:val="single" w:sz="4" w:space="0" w:color="000000"/>
            </w:tcBorders>
          </w:tcPr>
          <w:p w14:paraId="00000166"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1yau (Förster et al. 2005)</w:t>
            </w:r>
          </w:p>
        </w:tc>
      </w:tr>
      <w:tr w:rsidR="00DD0CC6" w:rsidRPr="00957CD5" w14:paraId="509E18B0" w14:textId="77777777">
        <w:tc>
          <w:tcPr>
            <w:tcW w:w="848" w:type="dxa"/>
            <w:tcBorders>
              <w:left w:val="single" w:sz="4" w:space="0" w:color="000000"/>
              <w:bottom w:val="single" w:sz="4" w:space="0" w:color="000000"/>
            </w:tcBorders>
          </w:tcPr>
          <w:p w14:paraId="00000167"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8</w:t>
            </w:r>
          </w:p>
        </w:tc>
        <w:tc>
          <w:tcPr>
            <w:tcW w:w="1559" w:type="dxa"/>
            <w:tcBorders>
              <w:left w:val="single" w:sz="4" w:space="0" w:color="000000"/>
              <w:bottom w:val="single" w:sz="4" w:space="0" w:color="000000"/>
            </w:tcBorders>
            <w:tcMar>
              <w:top w:w="55" w:type="dxa"/>
              <w:left w:w="55" w:type="dxa"/>
              <w:bottom w:w="55" w:type="dxa"/>
              <w:right w:w="55" w:type="dxa"/>
            </w:tcMar>
          </w:tcPr>
          <w:p w14:paraId="00000168"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HuNoV P-domain</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69"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(Müller-Hermes et al. 2020)</w:t>
            </w:r>
          </w:p>
        </w:tc>
        <w:tc>
          <w:tcPr>
            <w:tcW w:w="2548" w:type="dxa"/>
            <w:tcBorders>
              <w:left w:val="single" w:sz="4" w:space="0" w:color="000000"/>
              <w:bottom w:val="single" w:sz="4" w:space="0" w:color="000000"/>
              <w:right w:val="single" w:sz="4" w:space="0" w:color="000000"/>
            </w:tcBorders>
          </w:tcPr>
          <w:p w14:paraId="0000016A"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 xml:space="preserve">4x06 (Singh et al. </w:t>
            </w:r>
            <w:proofErr w:type="gramStart"/>
            <w:r w:rsidRPr="00957CD5">
              <w:rPr>
                <w:color w:val="000000"/>
                <w:sz w:val="20"/>
                <w:szCs w:val="20"/>
              </w:rPr>
              <w:t>2015)*</w:t>
            </w:r>
            <w:proofErr w:type="gramEnd"/>
          </w:p>
        </w:tc>
      </w:tr>
      <w:tr w:rsidR="00DD0CC6" w:rsidRPr="00957CD5" w14:paraId="5C2607A7" w14:textId="77777777">
        <w:tc>
          <w:tcPr>
            <w:tcW w:w="848" w:type="dxa"/>
            <w:tcBorders>
              <w:left w:val="single" w:sz="4" w:space="0" w:color="000000"/>
              <w:bottom w:val="single" w:sz="4" w:space="0" w:color="000000"/>
            </w:tcBorders>
          </w:tcPr>
          <w:p w14:paraId="0000016B"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9</w:t>
            </w:r>
          </w:p>
        </w:tc>
        <w:tc>
          <w:tcPr>
            <w:tcW w:w="1559" w:type="dxa"/>
            <w:tcBorders>
              <w:left w:val="single" w:sz="4" w:space="0" w:color="000000"/>
              <w:bottom w:val="single" w:sz="4" w:space="0" w:color="000000"/>
            </w:tcBorders>
            <w:tcMar>
              <w:top w:w="55" w:type="dxa"/>
              <w:left w:w="55" w:type="dxa"/>
              <w:bottom w:w="55" w:type="dxa"/>
              <w:right w:w="55" w:type="dxa"/>
            </w:tcMar>
          </w:tcPr>
          <w:p w14:paraId="0000016C"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MNV P-domain</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6D"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(Maass et al. 2022)</w:t>
            </w:r>
          </w:p>
        </w:tc>
        <w:tc>
          <w:tcPr>
            <w:tcW w:w="2548" w:type="dxa"/>
            <w:tcBorders>
              <w:left w:val="single" w:sz="4" w:space="0" w:color="000000"/>
              <w:bottom w:val="single" w:sz="4" w:space="0" w:color="000000"/>
              <w:right w:val="single" w:sz="4" w:space="0" w:color="000000"/>
            </w:tcBorders>
          </w:tcPr>
          <w:p w14:paraId="0000016E"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6e47 (Nelson et al. 2018)</w:t>
            </w:r>
          </w:p>
        </w:tc>
      </w:tr>
      <w:tr w:rsidR="00DD0CC6" w:rsidRPr="00957CD5" w14:paraId="3A008B34" w14:textId="77777777">
        <w:tc>
          <w:tcPr>
            <w:tcW w:w="848" w:type="dxa"/>
            <w:tcBorders>
              <w:left w:val="single" w:sz="4" w:space="0" w:color="000000"/>
              <w:bottom w:val="single" w:sz="4" w:space="0" w:color="000000"/>
            </w:tcBorders>
          </w:tcPr>
          <w:p w14:paraId="0000016F"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10</w:t>
            </w:r>
          </w:p>
        </w:tc>
        <w:tc>
          <w:tcPr>
            <w:tcW w:w="1559" w:type="dxa"/>
            <w:tcBorders>
              <w:left w:val="single" w:sz="4" w:space="0" w:color="000000"/>
              <w:bottom w:val="single" w:sz="4" w:space="0" w:color="000000"/>
            </w:tcBorders>
            <w:tcMar>
              <w:top w:w="55" w:type="dxa"/>
              <w:left w:w="55" w:type="dxa"/>
              <w:bottom w:w="55" w:type="dxa"/>
              <w:right w:w="55" w:type="dxa"/>
            </w:tcMar>
          </w:tcPr>
          <w:p w14:paraId="00000170" w14:textId="77777777" w:rsidR="00DD0CC6" w:rsidRPr="00957CD5" w:rsidRDefault="003771BF">
            <w:pPr>
              <w:pBdr>
                <w:top w:val="nil"/>
                <w:left w:val="nil"/>
                <w:bottom w:val="nil"/>
                <w:right w:val="nil"/>
                <w:between w:val="nil"/>
              </w:pBdr>
              <w:rPr>
                <w:color w:val="000000"/>
                <w:sz w:val="20"/>
                <w:szCs w:val="20"/>
              </w:rPr>
            </w:pPr>
            <w:proofErr w:type="spellStart"/>
            <w:r w:rsidRPr="00957CD5">
              <w:rPr>
                <w:color w:val="000000"/>
                <w:sz w:val="20"/>
                <w:szCs w:val="20"/>
              </w:rPr>
              <w:t>LmUGP</w:t>
            </w:r>
            <w:proofErr w:type="spellEnd"/>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71"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(Mühlberg et al. 2022)</w:t>
            </w:r>
          </w:p>
        </w:tc>
        <w:tc>
          <w:tcPr>
            <w:tcW w:w="2548" w:type="dxa"/>
            <w:tcBorders>
              <w:left w:val="single" w:sz="4" w:space="0" w:color="000000"/>
              <w:bottom w:val="single" w:sz="4" w:space="0" w:color="000000"/>
              <w:right w:val="single" w:sz="4" w:space="0" w:color="000000"/>
            </w:tcBorders>
          </w:tcPr>
          <w:p w14:paraId="00000172"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4m2a (</w:t>
            </w:r>
            <w:proofErr w:type="spellStart"/>
            <w:r w:rsidRPr="00957CD5">
              <w:rPr>
                <w:color w:val="000000"/>
                <w:sz w:val="20"/>
                <w:szCs w:val="20"/>
              </w:rPr>
              <w:t>Führing</w:t>
            </w:r>
            <w:proofErr w:type="spellEnd"/>
            <w:r w:rsidRPr="00957CD5">
              <w:rPr>
                <w:color w:val="000000"/>
                <w:sz w:val="20"/>
                <w:szCs w:val="20"/>
              </w:rPr>
              <w:t xml:space="preserve"> et al. </w:t>
            </w:r>
            <w:proofErr w:type="gramStart"/>
            <w:r w:rsidRPr="00957CD5">
              <w:rPr>
                <w:color w:val="000000"/>
                <w:sz w:val="20"/>
                <w:szCs w:val="20"/>
              </w:rPr>
              <w:t>2013)*</w:t>
            </w:r>
            <w:proofErr w:type="gramEnd"/>
            <w:r w:rsidRPr="00957CD5">
              <w:rPr>
                <w:color w:val="000000"/>
                <w:sz w:val="20"/>
                <w:szCs w:val="20"/>
              </w:rPr>
              <w:t>*</w:t>
            </w:r>
          </w:p>
        </w:tc>
      </w:tr>
      <w:tr w:rsidR="00DD0CC6" w:rsidRPr="00957CD5" w14:paraId="41E91532" w14:textId="77777777">
        <w:trPr>
          <w:trHeight w:val="317"/>
        </w:trPr>
        <w:tc>
          <w:tcPr>
            <w:tcW w:w="848" w:type="dxa"/>
            <w:tcBorders>
              <w:left w:val="single" w:sz="4" w:space="0" w:color="000000"/>
              <w:bottom w:val="single" w:sz="4" w:space="0" w:color="000000"/>
            </w:tcBorders>
          </w:tcPr>
          <w:p w14:paraId="00000173"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11</w:t>
            </w:r>
          </w:p>
        </w:tc>
        <w:tc>
          <w:tcPr>
            <w:tcW w:w="1559" w:type="dxa"/>
            <w:tcBorders>
              <w:left w:val="single" w:sz="4" w:space="0" w:color="000000"/>
              <w:bottom w:val="single" w:sz="4" w:space="0" w:color="000000"/>
            </w:tcBorders>
            <w:tcMar>
              <w:top w:w="55" w:type="dxa"/>
              <w:left w:w="55" w:type="dxa"/>
              <w:bottom w:w="55" w:type="dxa"/>
              <w:right w:w="55" w:type="dxa"/>
            </w:tcMar>
          </w:tcPr>
          <w:p w14:paraId="00000174"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GTB</w:t>
            </w:r>
          </w:p>
        </w:tc>
        <w:tc>
          <w:tcPr>
            <w:tcW w:w="4111" w:type="dxa"/>
            <w:tcBorders>
              <w:left w:val="single" w:sz="4" w:space="0" w:color="000000"/>
              <w:bottom w:val="single" w:sz="4" w:space="0" w:color="000000"/>
              <w:right w:val="single" w:sz="4" w:space="0" w:color="000000"/>
            </w:tcBorders>
            <w:tcMar>
              <w:top w:w="55" w:type="dxa"/>
              <w:left w:w="55" w:type="dxa"/>
              <w:bottom w:w="55" w:type="dxa"/>
              <w:right w:w="55" w:type="dxa"/>
            </w:tcMar>
          </w:tcPr>
          <w:p w14:paraId="00000175"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(Flügge and Peters 2018, 2019)</w:t>
            </w:r>
          </w:p>
        </w:tc>
        <w:tc>
          <w:tcPr>
            <w:tcW w:w="2548" w:type="dxa"/>
            <w:tcBorders>
              <w:left w:val="single" w:sz="4" w:space="0" w:color="000000"/>
              <w:bottom w:val="single" w:sz="4" w:space="0" w:color="000000"/>
              <w:right w:val="single" w:sz="4" w:space="0" w:color="000000"/>
            </w:tcBorders>
          </w:tcPr>
          <w:p w14:paraId="00000176" w14:textId="77777777" w:rsidR="00DD0CC6" w:rsidRPr="00957CD5" w:rsidRDefault="003771BF">
            <w:pPr>
              <w:pBdr>
                <w:top w:val="nil"/>
                <w:left w:val="nil"/>
                <w:bottom w:val="nil"/>
                <w:right w:val="nil"/>
                <w:between w:val="nil"/>
              </w:pBdr>
              <w:rPr>
                <w:color w:val="000000"/>
                <w:sz w:val="20"/>
                <w:szCs w:val="20"/>
              </w:rPr>
            </w:pPr>
            <w:r w:rsidRPr="00957CD5">
              <w:rPr>
                <w:color w:val="000000"/>
                <w:sz w:val="20"/>
                <w:szCs w:val="20"/>
              </w:rPr>
              <w:t xml:space="preserve">2rit (Alfaro et al. </w:t>
            </w:r>
            <w:proofErr w:type="gramStart"/>
            <w:r w:rsidRPr="00957CD5">
              <w:rPr>
                <w:color w:val="000000"/>
                <w:sz w:val="20"/>
                <w:szCs w:val="20"/>
              </w:rPr>
              <w:t>2008)*</w:t>
            </w:r>
            <w:proofErr w:type="gramEnd"/>
            <w:r w:rsidRPr="00957CD5">
              <w:rPr>
                <w:color w:val="000000"/>
                <w:sz w:val="20"/>
                <w:szCs w:val="20"/>
              </w:rPr>
              <w:t>*</w:t>
            </w:r>
          </w:p>
        </w:tc>
      </w:tr>
    </w:tbl>
    <w:p w14:paraId="00000177" w14:textId="77777777" w:rsidR="00DD0CC6" w:rsidRPr="00957CD5" w:rsidRDefault="003771BF">
      <w:r w:rsidRPr="00957CD5">
        <w:t>*Crystal structure was minimized using Maestro as described in the corresponding manuscript.</w:t>
      </w:r>
    </w:p>
    <w:p w14:paraId="00000178" w14:textId="77777777" w:rsidR="00DD0CC6" w:rsidRPr="00957CD5" w:rsidRDefault="003771BF">
      <w:r w:rsidRPr="00957CD5">
        <w:t>**Crystal structures were modified as described in the corresponding manuscript.</w:t>
      </w:r>
    </w:p>
    <w:p w14:paraId="00000179" w14:textId="77777777" w:rsidR="00DD0CC6" w:rsidRPr="00957CD5" w:rsidRDefault="00DD0CC6"/>
    <w:p w14:paraId="0000017A" w14:textId="77777777" w:rsidR="00DD0CC6" w:rsidRPr="00957CD5" w:rsidRDefault="00DD0CC6">
      <w:pPr>
        <w:rPr>
          <w:sz w:val="20"/>
          <w:szCs w:val="20"/>
        </w:rPr>
      </w:pPr>
    </w:p>
    <w:p w14:paraId="0000017B" w14:textId="77777777" w:rsidR="00DD0CC6" w:rsidRPr="00957CD5" w:rsidRDefault="00DD0CC6">
      <w:pPr>
        <w:rPr>
          <w:sz w:val="20"/>
          <w:szCs w:val="20"/>
        </w:rPr>
      </w:pPr>
    </w:p>
    <w:p w14:paraId="0000017C" w14:textId="77777777" w:rsidR="00DD0CC6" w:rsidRPr="00957CD5" w:rsidRDefault="003771BF">
      <w:pPr>
        <w:keepNext/>
        <w:pBdr>
          <w:top w:val="nil"/>
          <w:left w:val="nil"/>
          <w:bottom w:val="nil"/>
          <w:right w:val="nil"/>
          <w:between w:val="nil"/>
        </w:pBdr>
        <w:spacing w:after="200"/>
        <w:rPr>
          <w:b/>
          <w:color w:val="000000"/>
        </w:rPr>
      </w:pPr>
      <w:r w:rsidRPr="00957CD5">
        <w:rPr>
          <w:b/>
          <w:color w:val="000000"/>
        </w:rPr>
        <w:t>Table S2: Proteins used to create PDB-based synthetic NOE networks.</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6"/>
        <w:gridCol w:w="3761"/>
        <w:gridCol w:w="2046"/>
        <w:gridCol w:w="2409"/>
      </w:tblGrid>
      <w:tr w:rsidR="00DD0CC6" w:rsidRPr="00957CD5" w14:paraId="25DEE7B2" w14:textId="77777777">
        <w:tc>
          <w:tcPr>
            <w:tcW w:w="846" w:type="dxa"/>
          </w:tcPr>
          <w:p w14:paraId="0000017D" w14:textId="77777777" w:rsidR="00DD0CC6" w:rsidRPr="00957CD5" w:rsidRDefault="003771BF">
            <w:pPr>
              <w:spacing w:before="20" w:after="20"/>
              <w:rPr>
                <w:b/>
                <w:sz w:val="20"/>
                <w:szCs w:val="20"/>
              </w:rPr>
            </w:pPr>
            <w:r w:rsidRPr="00957CD5">
              <w:rPr>
                <w:b/>
                <w:sz w:val="20"/>
                <w:szCs w:val="20"/>
              </w:rPr>
              <w:t>Entry N°</w:t>
            </w:r>
          </w:p>
        </w:tc>
        <w:tc>
          <w:tcPr>
            <w:tcW w:w="3761" w:type="dxa"/>
          </w:tcPr>
          <w:p w14:paraId="0000017E" w14:textId="77777777" w:rsidR="00DD0CC6" w:rsidRPr="00957CD5" w:rsidRDefault="003771BF">
            <w:pPr>
              <w:spacing w:before="20" w:after="20"/>
              <w:rPr>
                <w:b/>
                <w:sz w:val="20"/>
                <w:szCs w:val="20"/>
              </w:rPr>
            </w:pPr>
            <w:r w:rsidRPr="00957CD5">
              <w:rPr>
                <w:b/>
                <w:sz w:val="20"/>
                <w:szCs w:val="20"/>
              </w:rPr>
              <w:t>Protein</w:t>
            </w:r>
          </w:p>
        </w:tc>
        <w:tc>
          <w:tcPr>
            <w:tcW w:w="2046" w:type="dxa"/>
          </w:tcPr>
          <w:p w14:paraId="0000017F" w14:textId="77777777" w:rsidR="00DD0CC6" w:rsidRPr="00957CD5" w:rsidRDefault="003771BF">
            <w:pPr>
              <w:spacing w:before="20" w:after="20"/>
              <w:rPr>
                <w:b/>
                <w:sz w:val="20"/>
                <w:szCs w:val="20"/>
              </w:rPr>
            </w:pPr>
            <w:r w:rsidRPr="00957CD5">
              <w:rPr>
                <w:b/>
                <w:sz w:val="20"/>
                <w:szCs w:val="20"/>
              </w:rPr>
              <w:t>Molecular weight (</w:t>
            </w:r>
            <w:proofErr w:type="spellStart"/>
            <w:r w:rsidRPr="00957CD5">
              <w:rPr>
                <w:b/>
                <w:sz w:val="20"/>
                <w:szCs w:val="20"/>
              </w:rPr>
              <w:t>kDa</w:t>
            </w:r>
            <w:proofErr w:type="spellEnd"/>
            <w:r w:rsidRPr="00957CD5">
              <w:rPr>
                <w:b/>
                <w:sz w:val="20"/>
                <w:szCs w:val="20"/>
              </w:rPr>
              <w:t>)</w:t>
            </w:r>
          </w:p>
        </w:tc>
        <w:tc>
          <w:tcPr>
            <w:tcW w:w="2409" w:type="dxa"/>
          </w:tcPr>
          <w:p w14:paraId="00000180" w14:textId="77777777" w:rsidR="00DD0CC6" w:rsidRPr="00957CD5" w:rsidRDefault="003771BF">
            <w:pPr>
              <w:spacing w:before="20" w:after="20"/>
              <w:rPr>
                <w:b/>
                <w:sz w:val="20"/>
                <w:szCs w:val="20"/>
              </w:rPr>
            </w:pPr>
            <w:r w:rsidRPr="00957CD5">
              <w:rPr>
                <w:b/>
                <w:sz w:val="20"/>
                <w:szCs w:val="20"/>
              </w:rPr>
              <w:t>PDB code of structural model</w:t>
            </w:r>
          </w:p>
        </w:tc>
      </w:tr>
      <w:tr w:rsidR="00DD0CC6" w:rsidRPr="00957CD5" w14:paraId="736B6AE8" w14:textId="77777777">
        <w:tc>
          <w:tcPr>
            <w:tcW w:w="846" w:type="dxa"/>
          </w:tcPr>
          <w:p w14:paraId="00000181" w14:textId="77777777" w:rsidR="00DD0CC6" w:rsidRPr="00957CD5" w:rsidRDefault="003771BF">
            <w:pPr>
              <w:spacing w:before="20" w:after="20"/>
              <w:rPr>
                <w:sz w:val="20"/>
                <w:szCs w:val="20"/>
              </w:rPr>
            </w:pPr>
            <w:r w:rsidRPr="00957CD5">
              <w:rPr>
                <w:sz w:val="20"/>
                <w:szCs w:val="20"/>
              </w:rPr>
              <w:t>1</w:t>
            </w:r>
          </w:p>
        </w:tc>
        <w:tc>
          <w:tcPr>
            <w:tcW w:w="3761" w:type="dxa"/>
          </w:tcPr>
          <w:p w14:paraId="00000182" w14:textId="77777777" w:rsidR="00DD0CC6" w:rsidRPr="00957CD5" w:rsidRDefault="003771BF">
            <w:pPr>
              <w:spacing w:before="20" w:after="20"/>
              <w:rPr>
                <w:sz w:val="20"/>
                <w:szCs w:val="20"/>
              </w:rPr>
            </w:pPr>
            <w:r w:rsidRPr="00957CD5">
              <w:rPr>
                <w:sz w:val="20"/>
                <w:szCs w:val="20"/>
              </w:rPr>
              <w:t>Trypsin</w:t>
            </w:r>
          </w:p>
        </w:tc>
        <w:tc>
          <w:tcPr>
            <w:tcW w:w="2046" w:type="dxa"/>
          </w:tcPr>
          <w:p w14:paraId="00000183" w14:textId="77777777" w:rsidR="00DD0CC6" w:rsidRPr="00957CD5" w:rsidRDefault="003771BF">
            <w:pPr>
              <w:spacing w:before="20" w:after="20"/>
              <w:rPr>
                <w:sz w:val="20"/>
                <w:szCs w:val="20"/>
              </w:rPr>
            </w:pPr>
            <w:r w:rsidRPr="00957CD5">
              <w:rPr>
                <w:sz w:val="20"/>
                <w:szCs w:val="20"/>
              </w:rPr>
              <w:t>23.7</w:t>
            </w:r>
          </w:p>
        </w:tc>
        <w:tc>
          <w:tcPr>
            <w:tcW w:w="2409" w:type="dxa"/>
          </w:tcPr>
          <w:p w14:paraId="00000184" w14:textId="77777777" w:rsidR="00DD0CC6" w:rsidRPr="00957CD5" w:rsidRDefault="003771BF">
            <w:pPr>
              <w:spacing w:before="20" w:after="20"/>
              <w:rPr>
                <w:sz w:val="20"/>
                <w:szCs w:val="20"/>
              </w:rPr>
            </w:pPr>
            <w:r w:rsidRPr="00957CD5">
              <w:rPr>
                <w:sz w:val="20"/>
                <w:szCs w:val="20"/>
              </w:rPr>
              <w:t>8izk</w:t>
            </w:r>
          </w:p>
        </w:tc>
      </w:tr>
      <w:tr w:rsidR="00DD0CC6" w:rsidRPr="00957CD5" w14:paraId="7AF13EEA" w14:textId="77777777">
        <w:tc>
          <w:tcPr>
            <w:tcW w:w="846" w:type="dxa"/>
          </w:tcPr>
          <w:p w14:paraId="00000185" w14:textId="77777777" w:rsidR="00DD0CC6" w:rsidRPr="00957CD5" w:rsidRDefault="003771BF">
            <w:pPr>
              <w:spacing w:before="20" w:after="20"/>
              <w:rPr>
                <w:sz w:val="20"/>
                <w:szCs w:val="20"/>
              </w:rPr>
            </w:pPr>
            <w:r w:rsidRPr="00957CD5">
              <w:rPr>
                <w:sz w:val="20"/>
                <w:szCs w:val="20"/>
              </w:rPr>
              <w:t>2</w:t>
            </w:r>
          </w:p>
        </w:tc>
        <w:tc>
          <w:tcPr>
            <w:tcW w:w="3761" w:type="dxa"/>
          </w:tcPr>
          <w:p w14:paraId="00000186" w14:textId="77777777" w:rsidR="00DD0CC6" w:rsidRPr="00957CD5" w:rsidRDefault="003771BF">
            <w:pPr>
              <w:spacing w:before="20" w:after="20"/>
              <w:rPr>
                <w:sz w:val="20"/>
                <w:szCs w:val="20"/>
              </w:rPr>
            </w:pPr>
            <w:r w:rsidRPr="00957CD5">
              <w:rPr>
                <w:sz w:val="20"/>
                <w:szCs w:val="20"/>
              </w:rPr>
              <w:t>Tetanus toxin c</w:t>
            </w:r>
          </w:p>
        </w:tc>
        <w:tc>
          <w:tcPr>
            <w:tcW w:w="2046" w:type="dxa"/>
          </w:tcPr>
          <w:p w14:paraId="00000187" w14:textId="77777777" w:rsidR="00DD0CC6" w:rsidRPr="00957CD5" w:rsidRDefault="003771BF">
            <w:pPr>
              <w:spacing w:before="20" w:after="20"/>
              <w:rPr>
                <w:sz w:val="20"/>
                <w:szCs w:val="20"/>
              </w:rPr>
            </w:pPr>
            <w:r w:rsidRPr="00957CD5">
              <w:rPr>
                <w:sz w:val="20"/>
                <w:szCs w:val="20"/>
              </w:rPr>
              <w:t>52.2</w:t>
            </w:r>
          </w:p>
        </w:tc>
        <w:tc>
          <w:tcPr>
            <w:tcW w:w="2409" w:type="dxa"/>
          </w:tcPr>
          <w:p w14:paraId="00000188" w14:textId="77777777" w:rsidR="00DD0CC6" w:rsidRPr="00957CD5" w:rsidRDefault="003771BF">
            <w:pPr>
              <w:spacing w:before="20" w:after="20"/>
              <w:rPr>
                <w:sz w:val="20"/>
                <w:szCs w:val="20"/>
              </w:rPr>
            </w:pPr>
            <w:r w:rsidRPr="00957CD5">
              <w:rPr>
                <w:sz w:val="20"/>
                <w:szCs w:val="20"/>
              </w:rPr>
              <w:t>1a8d</w:t>
            </w:r>
          </w:p>
        </w:tc>
      </w:tr>
      <w:tr w:rsidR="00DD0CC6" w:rsidRPr="00957CD5" w14:paraId="140781C9" w14:textId="77777777">
        <w:tc>
          <w:tcPr>
            <w:tcW w:w="846" w:type="dxa"/>
          </w:tcPr>
          <w:p w14:paraId="00000189" w14:textId="77777777" w:rsidR="00DD0CC6" w:rsidRPr="00957CD5" w:rsidRDefault="003771BF">
            <w:pPr>
              <w:spacing w:before="20" w:after="20"/>
              <w:rPr>
                <w:sz w:val="20"/>
                <w:szCs w:val="20"/>
              </w:rPr>
            </w:pPr>
            <w:r w:rsidRPr="00957CD5">
              <w:rPr>
                <w:sz w:val="20"/>
                <w:szCs w:val="20"/>
              </w:rPr>
              <w:t>3</w:t>
            </w:r>
          </w:p>
        </w:tc>
        <w:tc>
          <w:tcPr>
            <w:tcW w:w="3761" w:type="dxa"/>
          </w:tcPr>
          <w:p w14:paraId="0000018A" w14:textId="77777777" w:rsidR="00DD0CC6" w:rsidRPr="00957CD5" w:rsidRDefault="003771BF">
            <w:pPr>
              <w:spacing w:before="20" w:after="20"/>
              <w:rPr>
                <w:sz w:val="20"/>
                <w:szCs w:val="20"/>
              </w:rPr>
            </w:pPr>
            <w:r w:rsidRPr="00957CD5">
              <w:rPr>
                <w:sz w:val="20"/>
                <w:szCs w:val="20"/>
              </w:rPr>
              <w:t>Phosphorylase</w:t>
            </w:r>
          </w:p>
        </w:tc>
        <w:tc>
          <w:tcPr>
            <w:tcW w:w="2046" w:type="dxa"/>
          </w:tcPr>
          <w:p w14:paraId="0000018B" w14:textId="77777777" w:rsidR="00DD0CC6" w:rsidRPr="00957CD5" w:rsidRDefault="003771BF">
            <w:pPr>
              <w:spacing w:before="20" w:after="20"/>
              <w:rPr>
                <w:sz w:val="20"/>
                <w:szCs w:val="20"/>
              </w:rPr>
            </w:pPr>
            <w:r w:rsidRPr="00957CD5">
              <w:rPr>
                <w:sz w:val="20"/>
                <w:szCs w:val="20"/>
              </w:rPr>
              <w:t>91.4</w:t>
            </w:r>
          </w:p>
        </w:tc>
        <w:tc>
          <w:tcPr>
            <w:tcW w:w="2409" w:type="dxa"/>
          </w:tcPr>
          <w:p w14:paraId="0000018C" w14:textId="77777777" w:rsidR="00DD0CC6" w:rsidRPr="00957CD5" w:rsidRDefault="003771BF">
            <w:pPr>
              <w:spacing w:before="20" w:after="20"/>
              <w:rPr>
                <w:sz w:val="20"/>
                <w:szCs w:val="20"/>
              </w:rPr>
            </w:pPr>
            <w:r w:rsidRPr="00957CD5">
              <w:rPr>
                <w:sz w:val="20"/>
                <w:szCs w:val="20"/>
              </w:rPr>
              <w:t>1v7v</w:t>
            </w:r>
          </w:p>
        </w:tc>
      </w:tr>
      <w:tr w:rsidR="00DD0CC6" w:rsidRPr="00957CD5" w14:paraId="7F0AA959" w14:textId="77777777">
        <w:tc>
          <w:tcPr>
            <w:tcW w:w="846" w:type="dxa"/>
          </w:tcPr>
          <w:p w14:paraId="0000018D" w14:textId="77777777" w:rsidR="00DD0CC6" w:rsidRPr="00957CD5" w:rsidRDefault="003771BF">
            <w:pPr>
              <w:spacing w:before="20" w:after="20"/>
              <w:rPr>
                <w:sz w:val="20"/>
                <w:szCs w:val="20"/>
              </w:rPr>
            </w:pPr>
            <w:r w:rsidRPr="00957CD5">
              <w:rPr>
                <w:sz w:val="20"/>
                <w:szCs w:val="20"/>
              </w:rPr>
              <w:t>4</w:t>
            </w:r>
          </w:p>
        </w:tc>
        <w:tc>
          <w:tcPr>
            <w:tcW w:w="3761" w:type="dxa"/>
          </w:tcPr>
          <w:p w14:paraId="0000018E" w14:textId="77777777" w:rsidR="00DD0CC6" w:rsidRPr="00957CD5" w:rsidRDefault="003771BF">
            <w:pPr>
              <w:spacing w:before="20" w:after="20"/>
              <w:rPr>
                <w:sz w:val="20"/>
                <w:szCs w:val="20"/>
              </w:rPr>
            </w:pPr>
            <w:r w:rsidRPr="00957CD5">
              <w:rPr>
                <w:sz w:val="20"/>
                <w:szCs w:val="20"/>
              </w:rPr>
              <w:t>TYRP1</w:t>
            </w:r>
          </w:p>
        </w:tc>
        <w:tc>
          <w:tcPr>
            <w:tcW w:w="2046" w:type="dxa"/>
          </w:tcPr>
          <w:p w14:paraId="0000018F" w14:textId="77777777" w:rsidR="00DD0CC6" w:rsidRPr="00957CD5" w:rsidRDefault="003771BF">
            <w:pPr>
              <w:spacing w:before="20" w:after="20"/>
              <w:rPr>
                <w:sz w:val="20"/>
                <w:szCs w:val="20"/>
              </w:rPr>
            </w:pPr>
            <w:r w:rsidRPr="00957CD5">
              <w:rPr>
                <w:sz w:val="20"/>
                <w:szCs w:val="20"/>
              </w:rPr>
              <w:t>54.2</w:t>
            </w:r>
          </w:p>
        </w:tc>
        <w:tc>
          <w:tcPr>
            <w:tcW w:w="2409" w:type="dxa"/>
          </w:tcPr>
          <w:p w14:paraId="00000190" w14:textId="77777777" w:rsidR="00DD0CC6" w:rsidRPr="00957CD5" w:rsidRDefault="003771BF">
            <w:pPr>
              <w:spacing w:before="20" w:after="20"/>
              <w:rPr>
                <w:sz w:val="20"/>
                <w:szCs w:val="20"/>
              </w:rPr>
            </w:pPr>
            <w:r w:rsidRPr="00957CD5">
              <w:rPr>
                <w:sz w:val="20"/>
                <w:szCs w:val="20"/>
              </w:rPr>
              <w:t>9ey7</w:t>
            </w:r>
          </w:p>
        </w:tc>
      </w:tr>
      <w:tr w:rsidR="00DD0CC6" w:rsidRPr="00957CD5" w14:paraId="570FB76A" w14:textId="77777777">
        <w:tc>
          <w:tcPr>
            <w:tcW w:w="846" w:type="dxa"/>
          </w:tcPr>
          <w:p w14:paraId="00000191" w14:textId="77777777" w:rsidR="00DD0CC6" w:rsidRPr="00957CD5" w:rsidRDefault="003771BF">
            <w:pPr>
              <w:spacing w:before="20" w:after="20"/>
              <w:rPr>
                <w:sz w:val="20"/>
                <w:szCs w:val="20"/>
              </w:rPr>
            </w:pPr>
            <w:r w:rsidRPr="00957CD5">
              <w:rPr>
                <w:sz w:val="20"/>
                <w:szCs w:val="20"/>
              </w:rPr>
              <w:t>5</w:t>
            </w:r>
          </w:p>
        </w:tc>
        <w:tc>
          <w:tcPr>
            <w:tcW w:w="3761" w:type="dxa"/>
          </w:tcPr>
          <w:p w14:paraId="00000192" w14:textId="77777777" w:rsidR="00DD0CC6" w:rsidRPr="00957CD5" w:rsidRDefault="003771BF">
            <w:pPr>
              <w:spacing w:before="20" w:after="20"/>
              <w:rPr>
                <w:sz w:val="20"/>
                <w:szCs w:val="20"/>
              </w:rPr>
            </w:pPr>
            <w:r w:rsidRPr="00957CD5">
              <w:rPr>
                <w:sz w:val="20"/>
                <w:szCs w:val="20"/>
              </w:rPr>
              <w:t>TEAD1 chain A</w:t>
            </w:r>
          </w:p>
        </w:tc>
        <w:tc>
          <w:tcPr>
            <w:tcW w:w="2046" w:type="dxa"/>
          </w:tcPr>
          <w:p w14:paraId="00000193" w14:textId="77777777" w:rsidR="00DD0CC6" w:rsidRPr="00957CD5" w:rsidRDefault="003771BF">
            <w:pPr>
              <w:spacing w:before="20" w:after="20"/>
              <w:rPr>
                <w:sz w:val="20"/>
                <w:szCs w:val="20"/>
              </w:rPr>
            </w:pPr>
            <w:r w:rsidRPr="00957CD5">
              <w:rPr>
                <w:sz w:val="20"/>
                <w:szCs w:val="20"/>
              </w:rPr>
              <w:t>52.1</w:t>
            </w:r>
          </w:p>
        </w:tc>
        <w:tc>
          <w:tcPr>
            <w:tcW w:w="2409" w:type="dxa"/>
          </w:tcPr>
          <w:p w14:paraId="00000194" w14:textId="77777777" w:rsidR="00DD0CC6" w:rsidRPr="00957CD5" w:rsidRDefault="003771BF">
            <w:pPr>
              <w:spacing w:before="20" w:after="20"/>
              <w:rPr>
                <w:sz w:val="20"/>
                <w:szCs w:val="20"/>
              </w:rPr>
            </w:pPr>
            <w:r w:rsidRPr="00957CD5">
              <w:rPr>
                <w:sz w:val="20"/>
                <w:szCs w:val="20"/>
              </w:rPr>
              <w:t>7li5</w:t>
            </w:r>
          </w:p>
        </w:tc>
      </w:tr>
      <w:tr w:rsidR="00DD0CC6" w:rsidRPr="00957CD5" w14:paraId="10FC2F8F" w14:textId="77777777">
        <w:tc>
          <w:tcPr>
            <w:tcW w:w="846" w:type="dxa"/>
          </w:tcPr>
          <w:p w14:paraId="00000195" w14:textId="77777777" w:rsidR="00DD0CC6" w:rsidRPr="00957CD5" w:rsidRDefault="003771BF">
            <w:pPr>
              <w:spacing w:before="20" w:after="20"/>
              <w:rPr>
                <w:sz w:val="20"/>
                <w:szCs w:val="20"/>
              </w:rPr>
            </w:pPr>
            <w:r w:rsidRPr="00957CD5">
              <w:rPr>
                <w:sz w:val="20"/>
                <w:szCs w:val="20"/>
              </w:rPr>
              <w:t>6</w:t>
            </w:r>
          </w:p>
        </w:tc>
        <w:tc>
          <w:tcPr>
            <w:tcW w:w="3761" w:type="dxa"/>
          </w:tcPr>
          <w:p w14:paraId="00000196" w14:textId="77777777" w:rsidR="00DD0CC6" w:rsidRPr="00957CD5" w:rsidRDefault="003771BF">
            <w:pPr>
              <w:spacing w:before="20" w:after="20"/>
              <w:rPr>
                <w:sz w:val="20"/>
                <w:szCs w:val="20"/>
              </w:rPr>
            </w:pPr>
            <w:r w:rsidRPr="00957CD5">
              <w:rPr>
                <w:sz w:val="20"/>
                <w:szCs w:val="20"/>
              </w:rPr>
              <w:t>Glu cyclase apo chain A</w:t>
            </w:r>
          </w:p>
        </w:tc>
        <w:tc>
          <w:tcPr>
            <w:tcW w:w="2046" w:type="dxa"/>
          </w:tcPr>
          <w:p w14:paraId="00000197" w14:textId="77777777" w:rsidR="00DD0CC6" w:rsidRPr="00957CD5" w:rsidRDefault="003771BF">
            <w:pPr>
              <w:spacing w:before="20" w:after="20"/>
              <w:rPr>
                <w:sz w:val="20"/>
                <w:szCs w:val="20"/>
              </w:rPr>
            </w:pPr>
            <w:r w:rsidRPr="00957CD5">
              <w:rPr>
                <w:sz w:val="20"/>
                <w:szCs w:val="20"/>
              </w:rPr>
              <w:t>117.6</w:t>
            </w:r>
          </w:p>
        </w:tc>
        <w:tc>
          <w:tcPr>
            <w:tcW w:w="2409" w:type="dxa"/>
          </w:tcPr>
          <w:p w14:paraId="00000198" w14:textId="77777777" w:rsidR="00DD0CC6" w:rsidRPr="00957CD5" w:rsidRDefault="003771BF">
            <w:pPr>
              <w:spacing w:before="20" w:after="20"/>
              <w:rPr>
                <w:sz w:val="20"/>
                <w:szCs w:val="20"/>
              </w:rPr>
            </w:pPr>
            <w:r w:rsidRPr="00957CD5">
              <w:rPr>
                <w:sz w:val="20"/>
                <w:szCs w:val="20"/>
              </w:rPr>
              <w:t>9fxg</w:t>
            </w:r>
          </w:p>
        </w:tc>
      </w:tr>
      <w:tr w:rsidR="00DD0CC6" w:rsidRPr="00957CD5" w14:paraId="35B93074" w14:textId="77777777">
        <w:tc>
          <w:tcPr>
            <w:tcW w:w="846" w:type="dxa"/>
          </w:tcPr>
          <w:p w14:paraId="00000199" w14:textId="77777777" w:rsidR="00DD0CC6" w:rsidRPr="00957CD5" w:rsidRDefault="003771BF">
            <w:pPr>
              <w:spacing w:before="20" w:after="20"/>
              <w:rPr>
                <w:sz w:val="20"/>
                <w:szCs w:val="20"/>
              </w:rPr>
            </w:pPr>
            <w:r w:rsidRPr="00957CD5">
              <w:rPr>
                <w:sz w:val="20"/>
                <w:szCs w:val="20"/>
              </w:rPr>
              <w:t>7</w:t>
            </w:r>
          </w:p>
        </w:tc>
        <w:tc>
          <w:tcPr>
            <w:tcW w:w="3761" w:type="dxa"/>
          </w:tcPr>
          <w:p w14:paraId="0000019A" w14:textId="77777777" w:rsidR="00DD0CC6" w:rsidRPr="00957CD5" w:rsidRDefault="003771BF">
            <w:pPr>
              <w:spacing w:before="20" w:after="20"/>
              <w:rPr>
                <w:sz w:val="20"/>
                <w:szCs w:val="20"/>
              </w:rPr>
            </w:pPr>
            <w:r w:rsidRPr="00957CD5">
              <w:rPr>
                <w:sz w:val="20"/>
                <w:szCs w:val="20"/>
              </w:rPr>
              <w:t xml:space="preserve">Fatty acid </w:t>
            </w:r>
            <w:proofErr w:type="spellStart"/>
            <w:r w:rsidRPr="00957CD5">
              <w:rPr>
                <w:sz w:val="20"/>
                <w:szCs w:val="20"/>
              </w:rPr>
              <w:t>elongase</w:t>
            </w:r>
            <w:proofErr w:type="spellEnd"/>
            <w:r w:rsidRPr="00957CD5">
              <w:rPr>
                <w:sz w:val="20"/>
                <w:szCs w:val="20"/>
              </w:rPr>
              <w:t xml:space="preserve"> chain A</w:t>
            </w:r>
          </w:p>
        </w:tc>
        <w:tc>
          <w:tcPr>
            <w:tcW w:w="2046" w:type="dxa"/>
          </w:tcPr>
          <w:p w14:paraId="0000019B" w14:textId="77777777" w:rsidR="00DD0CC6" w:rsidRPr="00957CD5" w:rsidRDefault="003771BF">
            <w:pPr>
              <w:spacing w:before="20" w:after="20"/>
              <w:rPr>
                <w:sz w:val="20"/>
                <w:szCs w:val="20"/>
              </w:rPr>
            </w:pPr>
            <w:r w:rsidRPr="00957CD5">
              <w:rPr>
                <w:sz w:val="20"/>
                <w:szCs w:val="20"/>
              </w:rPr>
              <w:t>73.0</w:t>
            </w:r>
          </w:p>
        </w:tc>
        <w:tc>
          <w:tcPr>
            <w:tcW w:w="2409" w:type="dxa"/>
          </w:tcPr>
          <w:p w14:paraId="0000019C" w14:textId="77777777" w:rsidR="00DD0CC6" w:rsidRPr="00957CD5" w:rsidRDefault="003771BF">
            <w:pPr>
              <w:spacing w:before="20" w:after="20"/>
              <w:rPr>
                <w:sz w:val="20"/>
                <w:szCs w:val="20"/>
              </w:rPr>
            </w:pPr>
            <w:r w:rsidRPr="00957CD5">
              <w:rPr>
                <w:sz w:val="20"/>
                <w:szCs w:val="20"/>
              </w:rPr>
              <w:t>6y7f</w:t>
            </w:r>
          </w:p>
        </w:tc>
      </w:tr>
      <w:tr w:rsidR="00DD0CC6" w:rsidRPr="00957CD5" w14:paraId="1C84B220" w14:textId="77777777">
        <w:tc>
          <w:tcPr>
            <w:tcW w:w="846" w:type="dxa"/>
          </w:tcPr>
          <w:p w14:paraId="0000019D" w14:textId="77777777" w:rsidR="00DD0CC6" w:rsidRPr="00957CD5" w:rsidRDefault="003771BF">
            <w:pPr>
              <w:spacing w:before="20" w:after="20"/>
              <w:rPr>
                <w:sz w:val="20"/>
                <w:szCs w:val="20"/>
              </w:rPr>
            </w:pPr>
            <w:r w:rsidRPr="00957CD5">
              <w:rPr>
                <w:sz w:val="20"/>
                <w:szCs w:val="20"/>
              </w:rPr>
              <w:t>8</w:t>
            </w:r>
          </w:p>
        </w:tc>
        <w:tc>
          <w:tcPr>
            <w:tcW w:w="3761" w:type="dxa"/>
          </w:tcPr>
          <w:p w14:paraId="0000019E" w14:textId="77777777" w:rsidR="00DD0CC6" w:rsidRPr="00957CD5" w:rsidRDefault="003771BF">
            <w:pPr>
              <w:spacing w:before="20" w:after="20"/>
              <w:rPr>
                <w:sz w:val="20"/>
                <w:szCs w:val="20"/>
              </w:rPr>
            </w:pPr>
            <w:r w:rsidRPr="00957CD5">
              <w:rPr>
                <w:sz w:val="20"/>
                <w:szCs w:val="20"/>
              </w:rPr>
              <w:t>Carbonic anhydrase XIII</w:t>
            </w:r>
          </w:p>
        </w:tc>
        <w:tc>
          <w:tcPr>
            <w:tcW w:w="2046" w:type="dxa"/>
          </w:tcPr>
          <w:p w14:paraId="0000019F" w14:textId="77777777" w:rsidR="00DD0CC6" w:rsidRPr="00957CD5" w:rsidRDefault="003771BF">
            <w:pPr>
              <w:spacing w:before="20" w:after="20"/>
              <w:rPr>
                <w:sz w:val="20"/>
                <w:szCs w:val="20"/>
              </w:rPr>
            </w:pPr>
            <w:r w:rsidRPr="00957CD5">
              <w:rPr>
                <w:sz w:val="20"/>
                <w:szCs w:val="20"/>
              </w:rPr>
              <w:t>60.0</w:t>
            </w:r>
          </w:p>
        </w:tc>
        <w:tc>
          <w:tcPr>
            <w:tcW w:w="2409" w:type="dxa"/>
          </w:tcPr>
          <w:p w14:paraId="000001A0" w14:textId="77777777" w:rsidR="00DD0CC6" w:rsidRPr="00957CD5" w:rsidRDefault="003771BF">
            <w:pPr>
              <w:spacing w:before="20" w:after="20"/>
              <w:rPr>
                <w:sz w:val="20"/>
                <w:szCs w:val="20"/>
              </w:rPr>
            </w:pPr>
            <w:r w:rsidRPr="00957CD5">
              <w:rPr>
                <w:sz w:val="20"/>
                <w:szCs w:val="20"/>
              </w:rPr>
              <w:t>3d0n</w:t>
            </w:r>
          </w:p>
        </w:tc>
      </w:tr>
    </w:tbl>
    <w:p w14:paraId="000001A1" w14:textId="77777777" w:rsidR="00DD0CC6" w:rsidRPr="00957CD5" w:rsidRDefault="00DD0CC6">
      <w:pPr>
        <w:spacing w:before="20" w:after="20"/>
        <w:rPr>
          <w:sz w:val="20"/>
          <w:szCs w:val="20"/>
        </w:rPr>
      </w:pPr>
    </w:p>
    <w:p w14:paraId="000001A2" w14:textId="77777777" w:rsidR="00DD0CC6" w:rsidRPr="00957CD5" w:rsidRDefault="00DD0CC6">
      <w:pPr>
        <w:rPr>
          <w:sz w:val="20"/>
          <w:szCs w:val="20"/>
        </w:rPr>
      </w:pPr>
    </w:p>
    <w:p w14:paraId="000001A3" w14:textId="77777777" w:rsidR="00DD0CC6" w:rsidRPr="00957CD5" w:rsidRDefault="00DD0CC6">
      <w:pPr>
        <w:rPr>
          <w:sz w:val="20"/>
          <w:szCs w:val="20"/>
        </w:rPr>
      </w:pPr>
    </w:p>
    <w:p w14:paraId="000001A4" w14:textId="77777777" w:rsidR="00DD0CC6" w:rsidRPr="00957CD5" w:rsidRDefault="00DD0CC6">
      <w:pPr>
        <w:rPr>
          <w:rFonts w:ascii="Calibri" w:eastAsia="Calibri" w:hAnsi="Calibri" w:cs="Calibri"/>
          <w:sz w:val="20"/>
          <w:szCs w:val="20"/>
        </w:rPr>
      </w:pPr>
    </w:p>
    <w:p w14:paraId="000001A5" w14:textId="77777777" w:rsidR="00DD0CC6" w:rsidRPr="00957CD5" w:rsidRDefault="00DD0CC6">
      <w:pPr>
        <w:rPr>
          <w:rFonts w:ascii="Calibri" w:eastAsia="Calibri" w:hAnsi="Calibri" w:cs="Calibri"/>
          <w:sz w:val="20"/>
          <w:szCs w:val="20"/>
        </w:rPr>
      </w:pPr>
    </w:p>
    <w:p w14:paraId="000001A6" w14:textId="77777777" w:rsidR="00DD0CC6" w:rsidRPr="00957CD5" w:rsidRDefault="00DD0CC6"/>
    <w:p w14:paraId="000001A7" w14:textId="77777777" w:rsidR="00DD0CC6" w:rsidRPr="00957CD5" w:rsidRDefault="00DD0CC6"/>
    <w:p w14:paraId="000001A8" w14:textId="77777777" w:rsidR="00DD0CC6" w:rsidRPr="00957CD5" w:rsidRDefault="00DD0CC6"/>
    <w:p w14:paraId="000001A9" w14:textId="77777777" w:rsidR="00DD0CC6" w:rsidRPr="00957CD5" w:rsidRDefault="00DD0CC6"/>
    <w:p w14:paraId="000001AA" w14:textId="77777777" w:rsidR="00DD0CC6" w:rsidRPr="00957CD5" w:rsidRDefault="00DD0CC6"/>
    <w:p w14:paraId="000001AB" w14:textId="77777777" w:rsidR="00DD0CC6" w:rsidRPr="00957CD5" w:rsidRDefault="00DD0CC6"/>
    <w:p w14:paraId="000001AC" w14:textId="77777777" w:rsidR="00DD0CC6" w:rsidRPr="00957CD5" w:rsidRDefault="00DD0CC6"/>
    <w:p w14:paraId="000001AD" w14:textId="77777777" w:rsidR="00DD0CC6" w:rsidRPr="00957CD5" w:rsidRDefault="00DD0CC6"/>
    <w:p w14:paraId="000001AE" w14:textId="77777777" w:rsidR="00DD0CC6" w:rsidRPr="00957CD5" w:rsidRDefault="00DD0CC6"/>
    <w:p w14:paraId="000001AF" w14:textId="77777777" w:rsidR="00DD0CC6" w:rsidRPr="00957CD5" w:rsidRDefault="00DD0CC6"/>
    <w:p w14:paraId="000001B0" w14:textId="77777777" w:rsidR="00DD0CC6" w:rsidRPr="00957CD5" w:rsidRDefault="00DD0CC6"/>
    <w:p w14:paraId="000001B1" w14:textId="77777777" w:rsidR="00DD0CC6" w:rsidRPr="00957CD5" w:rsidRDefault="003771BF">
      <w:pPr>
        <w:rPr>
          <w:b/>
        </w:rPr>
      </w:pPr>
      <w:r w:rsidRPr="00957CD5">
        <w:rPr>
          <w:b/>
        </w:rPr>
        <w:t xml:space="preserve">Bibliography: </w:t>
      </w:r>
    </w:p>
    <w:p w14:paraId="000001B2"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Alfaro JA, Zheng RB, Persson M, et al (2008) ABO(H) Blood Group A and B Glycosyltransferases Recognize Substrate via Specific Conformational Changes. Journal of Biological Chemistry 283:10097–10108. https://doi.org/10.1074/jbc.M708669200</w:t>
      </w:r>
    </w:p>
    <w:p w14:paraId="000001B3"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Chao F-A, Shi L, Masterson LR, Veglia G (2012) </w:t>
      </w:r>
      <w:proofErr w:type="spellStart"/>
      <w:r w:rsidRPr="00957CD5">
        <w:rPr>
          <w:rFonts w:ascii="Calibri" w:eastAsia="Calibri" w:hAnsi="Calibri" w:cs="Calibri"/>
          <w:color w:val="000000"/>
        </w:rPr>
        <w:t>FLAMEnGO</w:t>
      </w:r>
      <w:proofErr w:type="spellEnd"/>
      <w:r w:rsidRPr="00957CD5">
        <w:rPr>
          <w:rFonts w:ascii="Calibri" w:eastAsia="Calibri" w:hAnsi="Calibri" w:cs="Calibri"/>
          <w:color w:val="000000"/>
        </w:rPr>
        <w:t>: A fuzzy logic approach for methyl group assignment using NOESY and paramagnetic relaxation enhancement data. Journal of Magnetic Resonance 214:103–110. https://doi.org/10.1016/j.jmr.2011.10.008</w:t>
      </w:r>
    </w:p>
    <w:p w14:paraId="000001B4"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Duan X, Quiocho FA (2002) Structural Evidence for a Dominant Role of Nonpolar Interactions in the Binding of a Transport/Chemosensory Receptor to Its Highly Polar </w:t>
      </w:r>
      <w:proofErr w:type="gramStart"/>
      <w:r w:rsidRPr="00957CD5">
        <w:rPr>
          <w:rFonts w:ascii="Calibri" w:eastAsia="Calibri" w:hAnsi="Calibri" w:cs="Calibri"/>
          <w:color w:val="000000"/>
        </w:rPr>
        <w:t xml:space="preserve">Ligands </w:t>
      </w:r>
      <w:r w:rsidRPr="00957CD5">
        <w:rPr>
          <w:rFonts w:ascii="Calibri" w:eastAsia="Calibri" w:hAnsi="Calibri" w:cs="Calibri"/>
          <w:color w:val="000000"/>
          <w:vertAlign w:val="superscript"/>
        </w:rPr>
        <w:t>,</w:t>
      </w:r>
      <w:proofErr w:type="gramEnd"/>
      <w:r w:rsidRPr="00957CD5">
        <w:rPr>
          <w:rFonts w:ascii="Calibri" w:eastAsia="Calibri" w:hAnsi="Calibri" w:cs="Calibri"/>
          <w:color w:val="000000"/>
        </w:rPr>
        <w:t>. Biochemistry 41:706–712. https://doi.org/10.1021/bi015784n</w:t>
      </w:r>
    </w:p>
    <w:p w14:paraId="000001B5"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Flügge F, Peters T (2018) Complete assignment of Ala, Ile, Leu, Met and Val methyl groups of human blood group A and B glycosyltransferases using lanthanide-induced </w:t>
      </w:r>
      <w:proofErr w:type="spellStart"/>
      <w:r w:rsidRPr="00957CD5">
        <w:rPr>
          <w:rFonts w:ascii="Calibri" w:eastAsia="Calibri" w:hAnsi="Calibri" w:cs="Calibri"/>
          <w:color w:val="000000"/>
        </w:rPr>
        <w:t>pseudocontact</w:t>
      </w:r>
      <w:proofErr w:type="spellEnd"/>
      <w:r w:rsidRPr="00957CD5">
        <w:rPr>
          <w:rFonts w:ascii="Calibri" w:eastAsia="Calibri" w:hAnsi="Calibri" w:cs="Calibri"/>
          <w:color w:val="000000"/>
        </w:rPr>
        <w:t xml:space="preserve"> shifts and methyl–methyl NOESY. J </w:t>
      </w:r>
      <w:proofErr w:type="spellStart"/>
      <w:r w:rsidRPr="00957CD5">
        <w:rPr>
          <w:rFonts w:ascii="Calibri" w:eastAsia="Calibri" w:hAnsi="Calibri" w:cs="Calibri"/>
          <w:color w:val="000000"/>
        </w:rPr>
        <w:t>Biomol</w:t>
      </w:r>
      <w:proofErr w:type="spellEnd"/>
      <w:r w:rsidRPr="00957CD5">
        <w:rPr>
          <w:rFonts w:ascii="Calibri" w:eastAsia="Calibri" w:hAnsi="Calibri" w:cs="Calibri"/>
          <w:color w:val="000000"/>
        </w:rPr>
        <w:t xml:space="preserve"> NMR 70:245–259. https://doi.org/10.1007/s10858-018-0183-4</w:t>
      </w:r>
    </w:p>
    <w:p w14:paraId="000001B6"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Flügge F, Peters T (2019) Insights into Allosteric Control of Human Blood Group A and B Glycosyltransferases from Dynamic NMR. </w:t>
      </w:r>
      <w:proofErr w:type="spellStart"/>
      <w:r w:rsidRPr="00957CD5">
        <w:rPr>
          <w:rFonts w:ascii="Calibri" w:eastAsia="Calibri" w:hAnsi="Calibri" w:cs="Calibri"/>
          <w:color w:val="000000"/>
        </w:rPr>
        <w:t>ChemistryOpen</w:t>
      </w:r>
      <w:proofErr w:type="spellEnd"/>
      <w:r w:rsidRPr="00957CD5">
        <w:rPr>
          <w:rFonts w:ascii="Calibri" w:eastAsia="Calibri" w:hAnsi="Calibri" w:cs="Calibri"/>
          <w:color w:val="000000"/>
        </w:rPr>
        <w:t xml:space="preserve"> 8:760–769. https://doi.org/10.1002/open.201900116</w:t>
      </w:r>
    </w:p>
    <w:p w14:paraId="000001B7"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Förster A, Masters EI, Whitby FG, et al (2005) The 1.9 Å Structure of a Proteasome-11S Activator Complex and Implications for Proteasome-PAN/PA700 Interactions. Molecular Cell 18:589–599. https://doi.org/10.1016/j.molcel.2005.04.016</w:t>
      </w:r>
    </w:p>
    <w:p w14:paraId="000001B8"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Führing</w:t>
      </w:r>
      <w:proofErr w:type="spellEnd"/>
      <w:r w:rsidRPr="00957CD5">
        <w:rPr>
          <w:rFonts w:ascii="Calibri" w:eastAsia="Calibri" w:hAnsi="Calibri" w:cs="Calibri"/>
          <w:color w:val="000000"/>
        </w:rPr>
        <w:t xml:space="preserve"> J, Cramer JT, Routier FH, et al (2013) Catalytic Mechanism and Allosteric Regulation of UDP-Glucose </w:t>
      </w:r>
      <w:proofErr w:type="spellStart"/>
      <w:r w:rsidRPr="00957CD5">
        <w:rPr>
          <w:rFonts w:ascii="Calibri" w:eastAsia="Calibri" w:hAnsi="Calibri" w:cs="Calibri"/>
          <w:color w:val="000000"/>
        </w:rPr>
        <w:t>Pyrophosphorylase</w:t>
      </w:r>
      <w:proofErr w:type="spellEnd"/>
      <w:r w:rsidRPr="00957CD5">
        <w:rPr>
          <w:rFonts w:ascii="Calibri" w:eastAsia="Calibri" w:hAnsi="Calibri" w:cs="Calibri"/>
          <w:color w:val="000000"/>
        </w:rPr>
        <w:t xml:space="preserve"> from Leishmania major. ACS </w:t>
      </w:r>
      <w:proofErr w:type="spellStart"/>
      <w:r w:rsidRPr="00957CD5">
        <w:rPr>
          <w:rFonts w:ascii="Calibri" w:eastAsia="Calibri" w:hAnsi="Calibri" w:cs="Calibri"/>
          <w:color w:val="000000"/>
        </w:rPr>
        <w:t>Catal</w:t>
      </w:r>
      <w:proofErr w:type="spellEnd"/>
      <w:r w:rsidRPr="00957CD5">
        <w:rPr>
          <w:rFonts w:ascii="Calibri" w:eastAsia="Calibri" w:hAnsi="Calibri" w:cs="Calibri"/>
          <w:color w:val="000000"/>
        </w:rPr>
        <w:t xml:space="preserve"> 3:2976–2985. https://doi.org/10.1021/cs4007777</w:t>
      </w:r>
    </w:p>
    <w:p w14:paraId="000001B9"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Garrett DS, Seok Y-J, Liao D-I, et al (1997) Solution Structure of the 30 </w:t>
      </w:r>
      <w:proofErr w:type="spellStart"/>
      <w:r w:rsidRPr="00957CD5">
        <w:rPr>
          <w:rFonts w:ascii="Calibri" w:eastAsia="Calibri" w:hAnsi="Calibri" w:cs="Calibri"/>
          <w:color w:val="000000"/>
        </w:rPr>
        <w:t>kDa</w:t>
      </w:r>
      <w:proofErr w:type="spellEnd"/>
      <w:r w:rsidRPr="00957CD5">
        <w:rPr>
          <w:rFonts w:ascii="Calibri" w:eastAsia="Calibri" w:hAnsi="Calibri" w:cs="Calibri"/>
          <w:color w:val="000000"/>
        </w:rPr>
        <w:t xml:space="preserve"> N-Terminal Domain of Enzyme I of the </w:t>
      </w:r>
      <w:r w:rsidRPr="00957CD5">
        <w:rPr>
          <w:rFonts w:ascii="Calibri" w:eastAsia="Calibri" w:hAnsi="Calibri" w:cs="Calibri"/>
          <w:i/>
          <w:color w:val="000000"/>
        </w:rPr>
        <w:t>Escherichia coli</w:t>
      </w:r>
      <w:r w:rsidRPr="00957CD5">
        <w:rPr>
          <w:rFonts w:ascii="Calibri" w:eastAsia="Calibri" w:hAnsi="Calibri" w:cs="Calibri"/>
          <w:color w:val="000000"/>
        </w:rPr>
        <w:t xml:space="preserve"> </w:t>
      </w:r>
      <w:proofErr w:type="spellStart"/>
      <w:proofErr w:type="gramStart"/>
      <w:r w:rsidRPr="00957CD5">
        <w:rPr>
          <w:rFonts w:ascii="Calibri" w:eastAsia="Calibri" w:hAnsi="Calibri" w:cs="Calibri"/>
          <w:color w:val="000000"/>
        </w:rPr>
        <w:t>Phosphoenolpyruvate:Sugar</w:t>
      </w:r>
      <w:proofErr w:type="spellEnd"/>
      <w:proofErr w:type="gramEnd"/>
      <w:r w:rsidRPr="00957CD5">
        <w:rPr>
          <w:rFonts w:ascii="Calibri" w:eastAsia="Calibri" w:hAnsi="Calibri" w:cs="Calibri"/>
          <w:color w:val="000000"/>
        </w:rPr>
        <w:t xml:space="preserve"> Phosphotransferase System by Multidimensional NMR. Biochemistry 36:2517–2530. https://doi.org/10.1021/bi962924y</w:t>
      </w:r>
    </w:p>
    <w:p w14:paraId="000001BA"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Jin L, Stec B, Lipscomb WN, Kantrowitz ER (1999) Insights into the mechanisms of catalysis and </w:t>
      </w:r>
      <w:proofErr w:type="spellStart"/>
      <w:r w:rsidRPr="00957CD5">
        <w:rPr>
          <w:rFonts w:ascii="Calibri" w:eastAsia="Calibri" w:hAnsi="Calibri" w:cs="Calibri"/>
          <w:color w:val="000000"/>
        </w:rPr>
        <w:t>heterotropic</w:t>
      </w:r>
      <w:proofErr w:type="spellEnd"/>
      <w:r w:rsidRPr="00957CD5">
        <w:rPr>
          <w:rFonts w:ascii="Calibri" w:eastAsia="Calibri" w:hAnsi="Calibri" w:cs="Calibri"/>
          <w:color w:val="000000"/>
        </w:rPr>
        <w:t xml:space="preserve"> regulation </w:t>
      </w:r>
      <w:proofErr w:type="spellStart"/>
      <w:r w:rsidRPr="00957CD5">
        <w:rPr>
          <w:rFonts w:ascii="Calibri" w:eastAsia="Calibri" w:hAnsi="Calibri" w:cs="Calibri"/>
          <w:color w:val="000000"/>
        </w:rPr>
        <w:t>ofEscherichia</w:t>
      </w:r>
      <w:proofErr w:type="spellEnd"/>
      <w:r w:rsidRPr="00957CD5">
        <w:rPr>
          <w:rFonts w:ascii="Calibri" w:eastAsia="Calibri" w:hAnsi="Calibri" w:cs="Calibri"/>
          <w:color w:val="000000"/>
        </w:rPr>
        <w:t xml:space="preserve"> coli aspartate </w:t>
      </w:r>
      <w:proofErr w:type="spellStart"/>
      <w:r w:rsidRPr="00957CD5">
        <w:rPr>
          <w:rFonts w:ascii="Calibri" w:eastAsia="Calibri" w:hAnsi="Calibri" w:cs="Calibri"/>
          <w:color w:val="000000"/>
        </w:rPr>
        <w:t>transcarbamoylase</w:t>
      </w:r>
      <w:proofErr w:type="spellEnd"/>
      <w:r w:rsidRPr="00957CD5">
        <w:rPr>
          <w:rFonts w:ascii="Calibri" w:eastAsia="Calibri" w:hAnsi="Calibri" w:cs="Calibri"/>
          <w:color w:val="000000"/>
        </w:rPr>
        <w:t xml:space="preserve"> based upon a structure of the enzyme complexed with the </w:t>
      </w:r>
      <w:proofErr w:type="spellStart"/>
      <w:r w:rsidRPr="00957CD5">
        <w:rPr>
          <w:rFonts w:ascii="Calibri" w:eastAsia="Calibri" w:hAnsi="Calibri" w:cs="Calibri"/>
          <w:color w:val="000000"/>
        </w:rPr>
        <w:t>bisubstrate</w:t>
      </w:r>
      <w:proofErr w:type="spellEnd"/>
      <w:r w:rsidRPr="00957CD5">
        <w:rPr>
          <w:rFonts w:ascii="Calibri" w:eastAsia="Calibri" w:hAnsi="Calibri" w:cs="Calibri"/>
          <w:color w:val="000000"/>
        </w:rPr>
        <w:t xml:space="preserve"> </w:t>
      </w:r>
      <w:proofErr w:type="spellStart"/>
      <w:r w:rsidRPr="00957CD5">
        <w:rPr>
          <w:rFonts w:ascii="Calibri" w:eastAsia="Calibri" w:hAnsi="Calibri" w:cs="Calibri"/>
          <w:color w:val="000000"/>
        </w:rPr>
        <w:t>analogueN</w:t>
      </w:r>
      <w:proofErr w:type="spellEnd"/>
      <w:r w:rsidRPr="00957CD5">
        <w:rPr>
          <w:rFonts w:ascii="Calibri" w:eastAsia="Calibri" w:hAnsi="Calibri" w:cs="Calibri"/>
          <w:color w:val="000000"/>
        </w:rPr>
        <w:t>-</w:t>
      </w:r>
      <w:proofErr w:type="spellStart"/>
      <w:r w:rsidRPr="00957CD5">
        <w:rPr>
          <w:rFonts w:ascii="Calibri" w:eastAsia="Calibri" w:hAnsi="Calibri" w:cs="Calibri"/>
          <w:color w:val="000000"/>
        </w:rPr>
        <w:t>phosphonacetyl</w:t>
      </w:r>
      <w:proofErr w:type="spellEnd"/>
      <w:r w:rsidRPr="00957CD5">
        <w:rPr>
          <w:rFonts w:ascii="Calibri" w:eastAsia="Calibri" w:hAnsi="Calibri" w:cs="Calibri"/>
          <w:color w:val="000000"/>
        </w:rPr>
        <w:t xml:space="preserve">-L-aspartate at </w:t>
      </w:r>
      <w:proofErr w:type="gramStart"/>
      <w:r w:rsidRPr="00957CD5">
        <w:rPr>
          <w:rFonts w:ascii="Calibri" w:eastAsia="Calibri" w:hAnsi="Calibri" w:cs="Calibri"/>
          <w:color w:val="000000"/>
        </w:rPr>
        <w:t>2.1 ?</w:t>
      </w:r>
      <w:proofErr w:type="gramEnd"/>
      <w:r w:rsidRPr="00957CD5">
        <w:rPr>
          <w:rFonts w:ascii="Calibri" w:eastAsia="Calibri" w:hAnsi="Calibri" w:cs="Calibri"/>
          <w:color w:val="000000"/>
        </w:rPr>
        <w:t xml:space="preserve"> Proteins 37:729–742. https://doi.org/10.1002/(SICI)1097-0134(19991201)37:4&lt;</w:t>
      </w:r>
      <w:proofErr w:type="gramStart"/>
      <w:r w:rsidRPr="00957CD5">
        <w:rPr>
          <w:rFonts w:ascii="Calibri" w:eastAsia="Calibri" w:hAnsi="Calibri" w:cs="Calibri"/>
          <w:color w:val="000000"/>
        </w:rPr>
        <w:t>729::</w:t>
      </w:r>
      <w:proofErr w:type="gramEnd"/>
      <w:r w:rsidRPr="00957CD5">
        <w:rPr>
          <w:rFonts w:ascii="Calibri" w:eastAsia="Calibri" w:hAnsi="Calibri" w:cs="Calibri"/>
          <w:color w:val="000000"/>
        </w:rPr>
        <w:t>AID-PROT21&gt;3.0.CO;2-F</w:t>
      </w:r>
    </w:p>
    <w:p w14:paraId="000001BB"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Kim YK, Shin YJ, Lee W, et al (2009) Structural and kinetic analysis of an </w:t>
      </w:r>
      <w:proofErr w:type="spellStart"/>
      <w:r w:rsidRPr="00957CD5">
        <w:rPr>
          <w:rFonts w:ascii="Calibri" w:eastAsia="Calibri" w:hAnsi="Calibri" w:cs="Calibri"/>
          <w:color w:val="000000"/>
        </w:rPr>
        <w:t>MsrA</w:t>
      </w:r>
      <w:proofErr w:type="spellEnd"/>
      <w:r w:rsidRPr="00957CD5">
        <w:rPr>
          <w:rFonts w:ascii="Calibri" w:eastAsia="Calibri" w:hAnsi="Calibri" w:cs="Calibri"/>
          <w:color w:val="000000"/>
        </w:rPr>
        <w:t>–</w:t>
      </w:r>
      <w:proofErr w:type="spellStart"/>
      <w:r w:rsidRPr="00957CD5">
        <w:rPr>
          <w:rFonts w:ascii="Calibri" w:eastAsia="Calibri" w:hAnsi="Calibri" w:cs="Calibri"/>
          <w:color w:val="000000"/>
        </w:rPr>
        <w:t>MsrB</w:t>
      </w:r>
      <w:proofErr w:type="spellEnd"/>
      <w:r w:rsidRPr="00957CD5">
        <w:rPr>
          <w:rFonts w:ascii="Calibri" w:eastAsia="Calibri" w:hAnsi="Calibri" w:cs="Calibri"/>
          <w:color w:val="000000"/>
        </w:rPr>
        <w:t xml:space="preserve"> fusion protein from </w:t>
      </w:r>
      <w:r w:rsidRPr="00957CD5">
        <w:rPr>
          <w:rFonts w:ascii="Calibri" w:eastAsia="Calibri" w:hAnsi="Calibri" w:cs="Calibri"/>
          <w:i/>
          <w:color w:val="000000"/>
        </w:rPr>
        <w:t>Streptococcus pneumoniae</w:t>
      </w:r>
      <w:r w:rsidRPr="00957CD5">
        <w:rPr>
          <w:rFonts w:ascii="Calibri" w:eastAsia="Calibri" w:hAnsi="Calibri" w:cs="Calibri"/>
          <w:color w:val="000000"/>
        </w:rPr>
        <w:t>. Molecular Microbiology 72:699–709. https://doi.org/10.1111/j.1365-2958.2009.06680.x</w:t>
      </w:r>
    </w:p>
    <w:p w14:paraId="000001BC"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lastRenderedPageBreak/>
        <w:t xml:space="preserve">Lange OF, Rossi P, </w:t>
      </w:r>
      <w:proofErr w:type="spellStart"/>
      <w:r w:rsidRPr="00957CD5">
        <w:rPr>
          <w:rFonts w:ascii="Calibri" w:eastAsia="Calibri" w:hAnsi="Calibri" w:cs="Calibri"/>
          <w:color w:val="000000"/>
        </w:rPr>
        <w:t>Sgourakis</w:t>
      </w:r>
      <w:proofErr w:type="spellEnd"/>
      <w:r w:rsidRPr="00957CD5">
        <w:rPr>
          <w:rFonts w:ascii="Calibri" w:eastAsia="Calibri" w:hAnsi="Calibri" w:cs="Calibri"/>
          <w:color w:val="000000"/>
        </w:rPr>
        <w:t xml:space="preserve"> NG, et al (2012) Determination of solution structures of proteins up to 40 </w:t>
      </w:r>
      <w:proofErr w:type="spellStart"/>
      <w:r w:rsidRPr="00957CD5">
        <w:rPr>
          <w:rFonts w:ascii="Calibri" w:eastAsia="Calibri" w:hAnsi="Calibri" w:cs="Calibri"/>
          <w:color w:val="000000"/>
        </w:rPr>
        <w:t>kDa</w:t>
      </w:r>
      <w:proofErr w:type="spellEnd"/>
      <w:r w:rsidRPr="00957CD5">
        <w:rPr>
          <w:rFonts w:ascii="Calibri" w:eastAsia="Calibri" w:hAnsi="Calibri" w:cs="Calibri"/>
          <w:color w:val="000000"/>
        </w:rPr>
        <w:t xml:space="preserve"> using CS-Rosetta with sparse NMR data from deuterated samples. Proc Natl </w:t>
      </w:r>
      <w:proofErr w:type="spellStart"/>
      <w:r w:rsidRPr="00957CD5">
        <w:rPr>
          <w:rFonts w:ascii="Calibri" w:eastAsia="Calibri" w:hAnsi="Calibri" w:cs="Calibri"/>
          <w:color w:val="000000"/>
        </w:rPr>
        <w:t>Acad</w:t>
      </w:r>
      <w:proofErr w:type="spellEnd"/>
      <w:r w:rsidRPr="00957CD5">
        <w:rPr>
          <w:rFonts w:ascii="Calibri" w:eastAsia="Calibri" w:hAnsi="Calibri" w:cs="Calibri"/>
          <w:color w:val="000000"/>
        </w:rPr>
        <w:t xml:space="preserve"> Sci USA 109:10873–10878. https://doi.org/10.1073/pnas.1203013109</w:t>
      </w:r>
    </w:p>
    <w:p w14:paraId="000001BD"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Maass T, Westermann LT, </w:t>
      </w:r>
      <w:proofErr w:type="spellStart"/>
      <w:r w:rsidRPr="00957CD5">
        <w:rPr>
          <w:rFonts w:ascii="Calibri" w:eastAsia="Calibri" w:hAnsi="Calibri" w:cs="Calibri"/>
          <w:color w:val="000000"/>
        </w:rPr>
        <w:t>Creutznacher</w:t>
      </w:r>
      <w:proofErr w:type="spellEnd"/>
      <w:r w:rsidRPr="00957CD5">
        <w:rPr>
          <w:rFonts w:ascii="Calibri" w:eastAsia="Calibri" w:hAnsi="Calibri" w:cs="Calibri"/>
          <w:color w:val="000000"/>
        </w:rPr>
        <w:t xml:space="preserve"> R, et al (2022) Assignment of Ala, Ile, </w:t>
      </w:r>
      <w:proofErr w:type="spellStart"/>
      <w:r w:rsidRPr="00957CD5">
        <w:rPr>
          <w:rFonts w:ascii="Calibri" w:eastAsia="Calibri" w:hAnsi="Calibri" w:cs="Calibri"/>
          <w:color w:val="000000"/>
        </w:rPr>
        <w:t>LeuproS</w:t>
      </w:r>
      <w:proofErr w:type="spellEnd"/>
      <w:r w:rsidRPr="00957CD5">
        <w:rPr>
          <w:rFonts w:ascii="Calibri" w:eastAsia="Calibri" w:hAnsi="Calibri" w:cs="Calibri"/>
          <w:color w:val="000000"/>
        </w:rPr>
        <w:t xml:space="preserve">, Met, and </w:t>
      </w:r>
      <w:proofErr w:type="spellStart"/>
      <w:r w:rsidRPr="00957CD5">
        <w:rPr>
          <w:rFonts w:ascii="Calibri" w:eastAsia="Calibri" w:hAnsi="Calibri" w:cs="Calibri"/>
          <w:color w:val="000000"/>
        </w:rPr>
        <w:t>ValproS</w:t>
      </w:r>
      <w:proofErr w:type="spellEnd"/>
      <w:r w:rsidRPr="00957CD5">
        <w:rPr>
          <w:rFonts w:ascii="Calibri" w:eastAsia="Calibri" w:hAnsi="Calibri" w:cs="Calibri"/>
          <w:color w:val="000000"/>
        </w:rPr>
        <w:t xml:space="preserve"> methyl groups of the protruding domain of murine norovirus capsid protein VP1 using methyl–methyl NOEs, site directed mutagenesis, and </w:t>
      </w:r>
      <w:proofErr w:type="spellStart"/>
      <w:r w:rsidRPr="00957CD5">
        <w:rPr>
          <w:rFonts w:ascii="Calibri" w:eastAsia="Calibri" w:hAnsi="Calibri" w:cs="Calibri"/>
          <w:color w:val="000000"/>
        </w:rPr>
        <w:t>pseudocontact</w:t>
      </w:r>
      <w:proofErr w:type="spellEnd"/>
      <w:r w:rsidRPr="00957CD5">
        <w:rPr>
          <w:rFonts w:ascii="Calibri" w:eastAsia="Calibri" w:hAnsi="Calibri" w:cs="Calibri"/>
          <w:color w:val="000000"/>
        </w:rPr>
        <w:t xml:space="preserve"> shifts. </w:t>
      </w:r>
      <w:proofErr w:type="spellStart"/>
      <w:r w:rsidRPr="00957CD5">
        <w:rPr>
          <w:rFonts w:ascii="Calibri" w:eastAsia="Calibri" w:hAnsi="Calibri" w:cs="Calibri"/>
          <w:color w:val="000000"/>
        </w:rPr>
        <w:t>Biomol</w:t>
      </w:r>
      <w:proofErr w:type="spellEnd"/>
      <w:r w:rsidRPr="00957CD5">
        <w:rPr>
          <w:rFonts w:ascii="Calibri" w:eastAsia="Calibri" w:hAnsi="Calibri" w:cs="Calibri"/>
          <w:color w:val="000000"/>
        </w:rPr>
        <w:t xml:space="preserve"> NMR Assign 16:97–107. https://doi.org/10.1007/s12104-022-10066-7</w:t>
      </w:r>
    </w:p>
    <w:p w14:paraId="000001BE"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Mühlberg L, </w:t>
      </w:r>
      <w:proofErr w:type="spellStart"/>
      <w:r w:rsidRPr="00957CD5">
        <w:rPr>
          <w:rFonts w:ascii="Calibri" w:eastAsia="Calibri" w:hAnsi="Calibri" w:cs="Calibri"/>
          <w:color w:val="000000"/>
        </w:rPr>
        <w:t>Alarcin</w:t>
      </w:r>
      <w:proofErr w:type="spellEnd"/>
      <w:r w:rsidRPr="00957CD5">
        <w:rPr>
          <w:rFonts w:ascii="Calibri" w:eastAsia="Calibri" w:hAnsi="Calibri" w:cs="Calibri"/>
          <w:color w:val="000000"/>
        </w:rPr>
        <w:t xml:space="preserve"> T, Maass T, et al (2022) Ligand-induced structural transitions combined with paramagnetic ions facilitate unambiguous NMR assignments of methyl groups in large proteins. J </w:t>
      </w:r>
      <w:proofErr w:type="spellStart"/>
      <w:r w:rsidRPr="00957CD5">
        <w:rPr>
          <w:rFonts w:ascii="Calibri" w:eastAsia="Calibri" w:hAnsi="Calibri" w:cs="Calibri"/>
          <w:color w:val="000000"/>
        </w:rPr>
        <w:t>Biomol</w:t>
      </w:r>
      <w:proofErr w:type="spellEnd"/>
      <w:r w:rsidRPr="00957CD5">
        <w:rPr>
          <w:rFonts w:ascii="Calibri" w:eastAsia="Calibri" w:hAnsi="Calibri" w:cs="Calibri"/>
          <w:color w:val="000000"/>
        </w:rPr>
        <w:t xml:space="preserve"> NMR 76:59–74. https://doi.org/10.1007/s10858-022-00394-0</w:t>
      </w:r>
    </w:p>
    <w:p w14:paraId="000001BF"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Müller-Hermes C, </w:t>
      </w:r>
      <w:proofErr w:type="spellStart"/>
      <w:r w:rsidRPr="00957CD5">
        <w:rPr>
          <w:rFonts w:ascii="Calibri" w:eastAsia="Calibri" w:hAnsi="Calibri" w:cs="Calibri"/>
          <w:color w:val="000000"/>
        </w:rPr>
        <w:t>Creutznacher</w:t>
      </w:r>
      <w:proofErr w:type="spellEnd"/>
      <w:r w:rsidRPr="00957CD5">
        <w:rPr>
          <w:rFonts w:ascii="Calibri" w:eastAsia="Calibri" w:hAnsi="Calibri" w:cs="Calibri"/>
          <w:color w:val="000000"/>
        </w:rPr>
        <w:t xml:space="preserve"> R, Mallagaray A (2020) Complete assignment of Ala, Ile, </w:t>
      </w:r>
      <w:proofErr w:type="spellStart"/>
      <w:r w:rsidRPr="00957CD5">
        <w:rPr>
          <w:rFonts w:ascii="Calibri" w:eastAsia="Calibri" w:hAnsi="Calibri" w:cs="Calibri"/>
          <w:color w:val="000000"/>
        </w:rPr>
        <w:t>LeuProS</w:t>
      </w:r>
      <w:proofErr w:type="spellEnd"/>
      <w:r w:rsidRPr="00957CD5">
        <w:rPr>
          <w:rFonts w:ascii="Calibri" w:eastAsia="Calibri" w:hAnsi="Calibri" w:cs="Calibri"/>
          <w:color w:val="000000"/>
        </w:rPr>
        <w:t xml:space="preserve">, Met and </w:t>
      </w:r>
      <w:proofErr w:type="spellStart"/>
      <w:r w:rsidRPr="00957CD5">
        <w:rPr>
          <w:rFonts w:ascii="Calibri" w:eastAsia="Calibri" w:hAnsi="Calibri" w:cs="Calibri"/>
          <w:color w:val="000000"/>
        </w:rPr>
        <w:t>ValProS</w:t>
      </w:r>
      <w:proofErr w:type="spellEnd"/>
      <w:r w:rsidRPr="00957CD5">
        <w:rPr>
          <w:rFonts w:ascii="Calibri" w:eastAsia="Calibri" w:hAnsi="Calibri" w:cs="Calibri"/>
          <w:color w:val="000000"/>
        </w:rPr>
        <w:t xml:space="preserve"> methyl groups of the protruding domain from human norovirus GII.4 Saga. </w:t>
      </w:r>
      <w:proofErr w:type="spellStart"/>
      <w:r w:rsidRPr="00957CD5">
        <w:rPr>
          <w:rFonts w:ascii="Calibri" w:eastAsia="Calibri" w:hAnsi="Calibri" w:cs="Calibri"/>
          <w:color w:val="000000"/>
        </w:rPr>
        <w:t>Biomol</w:t>
      </w:r>
      <w:proofErr w:type="spellEnd"/>
      <w:r w:rsidRPr="00957CD5">
        <w:rPr>
          <w:rFonts w:ascii="Calibri" w:eastAsia="Calibri" w:hAnsi="Calibri" w:cs="Calibri"/>
          <w:color w:val="000000"/>
        </w:rPr>
        <w:t xml:space="preserve"> NMR Assign 14:123–130. https://doi.org/10.1007/s12104-020-09932-z</w:t>
      </w:r>
    </w:p>
    <w:p w14:paraId="000001C0"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Nelson CA, Wilen CB, Dai Y-N, et al (2018) Structural basis for murine norovirus engagement of bile acids and the CD300lf receptor. Proc Natl </w:t>
      </w:r>
      <w:proofErr w:type="spellStart"/>
      <w:r w:rsidRPr="00957CD5">
        <w:rPr>
          <w:rFonts w:ascii="Calibri" w:eastAsia="Calibri" w:hAnsi="Calibri" w:cs="Calibri"/>
          <w:color w:val="000000"/>
        </w:rPr>
        <w:t>Acad</w:t>
      </w:r>
      <w:proofErr w:type="spellEnd"/>
      <w:r w:rsidRPr="00957CD5">
        <w:rPr>
          <w:rFonts w:ascii="Calibri" w:eastAsia="Calibri" w:hAnsi="Calibri" w:cs="Calibri"/>
          <w:color w:val="000000"/>
        </w:rPr>
        <w:t xml:space="preserve"> Sci USA </w:t>
      </w:r>
      <w:proofErr w:type="gramStart"/>
      <w:r w:rsidRPr="00957CD5">
        <w:rPr>
          <w:rFonts w:ascii="Calibri" w:eastAsia="Calibri" w:hAnsi="Calibri" w:cs="Calibri"/>
          <w:color w:val="000000"/>
        </w:rPr>
        <w:t>115:.</w:t>
      </w:r>
      <w:proofErr w:type="gramEnd"/>
      <w:r w:rsidRPr="00957CD5">
        <w:rPr>
          <w:rFonts w:ascii="Calibri" w:eastAsia="Calibri" w:hAnsi="Calibri" w:cs="Calibri"/>
          <w:color w:val="000000"/>
        </w:rPr>
        <w:t xml:space="preserve"> https://doi.org/10.1073/pnas.1805797115</w:t>
      </w:r>
    </w:p>
    <w:p w14:paraId="000001C1"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Pritišanac</w:t>
      </w:r>
      <w:proofErr w:type="spellEnd"/>
      <w:r w:rsidRPr="00957CD5">
        <w:rPr>
          <w:rFonts w:ascii="Calibri" w:eastAsia="Calibri" w:hAnsi="Calibri" w:cs="Calibri"/>
          <w:color w:val="000000"/>
        </w:rPr>
        <w:t xml:space="preserve"> I, </w:t>
      </w:r>
      <w:proofErr w:type="spellStart"/>
      <w:r w:rsidRPr="00957CD5">
        <w:rPr>
          <w:rFonts w:ascii="Calibri" w:eastAsia="Calibri" w:hAnsi="Calibri" w:cs="Calibri"/>
          <w:color w:val="000000"/>
        </w:rPr>
        <w:t>Degiacomi</w:t>
      </w:r>
      <w:proofErr w:type="spellEnd"/>
      <w:r w:rsidRPr="00957CD5">
        <w:rPr>
          <w:rFonts w:ascii="Calibri" w:eastAsia="Calibri" w:hAnsi="Calibri" w:cs="Calibri"/>
          <w:color w:val="000000"/>
        </w:rPr>
        <w:t xml:space="preserve"> MT, Alderson TR, et al (2017) Automatic Assignment of Methyl-NMR Spectra of Supramolecular Machines Using Graph Theory. J Am Chem Soc 139:9523–9533. https://doi.org/10.1021/jacs.6b11358</w:t>
      </w:r>
    </w:p>
    <w:p w14:paraId="000001C2"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 xml:space="preserve">Singh BK, Leuthold MM, Hansman GS (2015) Human Noroviruses’ Fondness for </w:t>
      </w:r>
      <w:proofErr w:type="spellStart"/>
      <w:r w:rsidRPr="00957CD5">
        <w:rPr>
          <w:rFonts w:ascii="Calibri" w:eastAsia="Calibri" w:hAnsi="Calibri" w:cs="Calibri"/>
          <w:color w:val="000000"/>
        </w:rPr>
        <w:t>Histo</w:t>
      </w:r>
      <w:proofErr w:type="spellEnd"/>
      <w:r w:rsidRPr="00957CD5">
        <w:rPr>
          <w:rFonts w:ascii="Calibri" w:eastAsia="Calibri" w:hAnsi="Calibri" w:cs="Calibri"/>
          <w:color w:val="000000"/>
        </w:rPr>
        <w:t xml:space="preserve">-Blood Group Antigens. J </w:t>
      </w:r>
      <w:proofErr w:type="spellStart"/>
      <w:r w:rsidRPr="00957CD5">
        <w:rPr>
          <w:rFonts w:ascii="Calibri" w:eastAsia="Calibri" w:hAnsi="Calibri" w:cs="Calibri"/>
          <w:color w:val="000000"/>
        </w:rPr>
        <w:t>Virol</w:t>
      </w:r>
      <w:proofErr w:type="spellEnd"/>
      <w:r w:rsidRPr="00957CD5">
        <w:rPr>
          <w:rFonts w:ascii="Calibri" w:eastAsia="Calibri" w:hAnsi="Calibri" w:cs="Calibri"/>
          <w:color w:val="000000"/>
        </w:rPr>
        <w:t xml:space="preserve"> 89:2024–2040. https://doi.org/10.1128/JVI.02968-14</w:t>
      </w:r>
    </w:p>
    <w:p w14:paraId="000001C3"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Tugarinov</w:t>
      </w:r>
      <w:proofErr w:type="spellEnd"/>
      <w:r w:rsidRPr="00957CD5">
        <w:rPr>
          <w:rFonts w:ascii="Calibri" w:eastAsia="Calibri" w:hAnsi="Calibri" w:cs="Calibri"/>
          <w:color w:val="000000"/>
        </w:rPr>
        <w:t xml:space="preserve"> V, Choy W-Y, Orekhov </w:t>
      </w:r>
      <w:proofErr w:type="spellStart"/>
      <w:r w:rsidRPr="00957CD5">
        <w:rPr>
          <w:rFonts w:ascii="Calibri" w:eastAsia="Calibri" w:hAnsi="Calibri" w:cs="Calibri"/>
          <w:color w:val="000000"/>
        </w:rPr>
        <w:t>VYu</w:t>
      </w:r>
      <w:proofErr w:type="spellEnd"/>
      <w:r w:rsidRPr="00957CD5">
        <w:rPr>
          <w:rFonts w:ascii="Calibri" w:eastAsia="Calibri" w:hAnsi="Calibri" w:cs="Calibri"/>
          <w:color w:val="000000"/>
        </w:rPr>
        <w:t xml:space="preserve">, Kay LE (2005) Solution NMR-derived global fold of a monomeric 82-kDa enzyme. Proc Natl </w:t>
      </w:r>
      <w:proofErr w:type="spellStart"/>
      <w:r w:rsidRPr="00957CD5">
        <w:rPr>
          <w:rFonts w:ascii="Calibri" w:eastAsia="Calibri" w:hAnsi="Calibri" w:cs="Calibri"/>
          <w:color w:val="000000"/>
        </w:rPr>
        <w:t>Acad</w:t>
      </w:r>
      <w:proofErr w:type="spellEnd"/>
      <w:r w:rsidRPr="00957CD5">
        <w:rPr>
          <w:rFonts w:ascii="Calibri" w:eastAsia="Calibri" w:hAnsi="Calibri" w:cs="Calibri"/>
          <w:color w:val="000000"/>
        </w:rPr>
        <w:t xml:space="preserve"> Sci USA 102:622–627. https://doi.org/10.1073/pnas.0407792102</w:t>
      </w:r>
    </w:p>
    <w:p w14:paraId="000001C4"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Tugarinov</w:t>
      </w:r>
      <w:proofErr w:type="spellEnd"/>
      <w:r w:rsidRPr="00957CD5">
        <w:rPr>
          <w:rFonts w:ascii="Calibri" w:eastAsia="Calibri" w:hAnsi="Calibri" w:cs="Calibri"/>
          <w:color w:val="000000"/>
        </w:rPr>
        <w:t xml:space="preserve"> V, Kay LE (2003) Ile, Leu, and Val Methyl Assignments of the 723-Residue Malate Synthase G Using a New </w:t>
      </w:r>
      <w:proofErr w:type="spellStart"/>
      <w:r w:rsidRPr="00957CD5">
        <w:rPr>
          <w:rFonts w:ascii="Calibri" w:eastAsia="Calibri" w:hAnsi="Calibri" w:cs="Calibri"/>
          <w:color w:val="000000"/>
        </w:rPr>
        <w:t>Labeling</w:t>
      </w:r>
      <w:proofErr w:type="spellEnd"/>
      <w:r w:rsidRPr="00957CD5">
        <w:rPr>
          <w:rFonts w:ascii="Calibri" w:eastAsia="Calibri" w:hAnsi="Calibri" w:cs="Calibri"/>
          <w:color w:val="000000"/>
        </w:rPr>
        <w:t xml:space="preserve"> Strategy and Novel NMR Methods. J Am Chem Soc 125:13868–13878. https://doi.org/10.1021/ja030345s</w:t>
      </w:r>
    </w:p>
    <w:p w14:paraId="000001C5"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Tugarinov</w:t>
      </w:r>
      <w:proofErr w:type="spellEnd"/>
      <w:r w:rsidRPr="00957CD5">
        <w:rPr>
          <w:rFonts w:ascii="Calibri" w:eastAsia="Calibri" w:hAnsi="Calibri" w:cs="Calibri"/>
          <w:color w:val="000000"/>
        </w:rPr>
        <w:t xml:space="preserve"> V, Sprangers R, Kay LE (2007) Probing Side-Chain Dynamics in the Proteasome by Relaxation Violated Coherence Transfer NMR Spectroscopy. J Am Chem Soc 129:1743–1750. https://doi.org/10.1021/ja067827z</w:t>
      </w:r>
    </w:p>
    <w:p w14:paraId="000001C6"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proofErr w:type="spellStart"/>
      <w:r w:rsidRPr="00957CD5">
        <w:rPr>
          <w:rFonts w:ascii="Calibri" w:eastAsia="Calibri" w:hAnsi="Calibri" w:cs="Calibri"/>
          <w:color w:val="000000"/>
        </w:rPr>
        <w:t>Velyvis</w:t>
      </w:r>
      <w:proofErr w:type="spellEnd"/>
      <w:r w:rsidRPr="00957CD5">
        <w:rPr>
          <w:rFonts w:ascii="Calibri" w:eastAsia="Calibri" w:hAnsi="Calibri" w:cs="Calibri"/>
          <w:color w:val="000000"/>
        </w:rPr>
        <w:t xml:space="preserve"> A, Schachman HK, Kay LE (2009) Assignment of Ile, Leu, and Val Methyl Correlations in Supra-Molecular Systems: An Application to Aspartate </w:t>
      </w:r>
      <w:proofErr w:type="spellStart"/>
      <w:r w:rsidRPr="00957CD5">
        <w:rPr>
          <w:rFonts w:ascii="Calibri" w:eastAsia="Calibri" w:hAnsi="Calibri" w:cs="Calibri"/>
          <w:color w:val="000000"/>
        </w:rPr>
        <w:t>Transcarbamoylase</w:t>
      </w:r>
      <w:proofErr w:type="spellEnd"/>
      <w:r w:rsidRPr="00957CD5">
        <w:rPr>
          <w:rFonts w:ascii="Calibri" w:eastAsia="Calibri" w:hAnsi="Calibri" w:cs="Calibri"/>
          <w:color w:val="000000"/>
        </w:rPr>
        <w:t>. J Am Chem Soc 131:16534–16543. https://doi.org/10.1021/ja906978r</w:t>
      </w:r>
    </w:p>
    <w:p w14:paraId="000001C7" w14:textId="77777777" w:rsidR="00DD0CC6" w:rsidRPr="00957CD5"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t>Venditti V, Fawzi NL, Clore GM (2011) Automated sequence- and stereo-specific assignment of methyl-</w:t>
      </w:r>
      <w:proofErr w:type="spellStart"/>
      <w:r w:rsidRPr="00957CD5">
        <w:rPr>
          <w:rFonts w:ascii="Calibri" w:eastAsia="Calibri" w:hAnsi="Calibri" w:cs="Calibri"/>
          <w:color w:val="000000"/>
        </w:rPr>
        <w:t>labeled</w:t>
      </w:r>
      <w:proofErr w:type="spellEnd"/>
      <w:r w:rsidRPr="00957CD5">
        <w:rPr>
          <w:rFonts w:ascii="Calibri" w:eastAsia="Calibri" w:hAnsi="Calibri" w:cs="Calibri"/>
          <w:color w:val="000000"/>
        </w:rPr>
        <w:t xml:space="preserve"> proteins by paramagnetic relaxation and methyl–methyl nuclear </w:t>
      </w:r>
      <w:proofErr w:type="spellStart"/>
      <w:r w:rsidRPr="00957CD5">
        <w:rPr>
          <w:rFonts w:ascii="Calibri" w:eastAsia="Calibri" w:hAnsi="Calibri" w:cs="Calibri"/>
          <w:color w:val="000000"/>
        </w:rPr>
        <w:t>overhauser</w:t>
      </w:r>
      <w:proofErr w:type="spellEnd"/>
      <w:r w:rsidRPr="00957CD5">
        <w:rPr>
          <w:rFonts w:ascii="Calibri" w:eastAsia="Calibri" w:hAnsi="Calibri" w:cs="Calibri"/>
          <w:color w:val="000000"/>
        </w:rPr>
        <w:t xml:space="preserve"> enhancement spectroscopy. J </w:t>
      </w:r>
      <w:proofErr w:type="spellStart"/>
      <w:r w:rsidRPr="00957CD5">
        <w:rPr>
          <w:rFonts w:ascii="Calibri" w:eastAsia="Calibri" w:hAnsi="Calibri" w:cs="Calibri"/>
          <w:color w:val="000000"/>
        </w:rPr>
        <w:t>Biomol</w:t>
      </w:r>
      <w:proofErr w:type="spellEnd"/>
      <w:r w:rsidRPr="00957CD5">
        <w:rPr>
          <w:rFonts w:ascii="Calibri" w:eastAsia="Calibri" w:hAnsi="Calibri" w:cs="Calibri"/>
          <w:color w:val="000000"/>
        </w:rPr>
        <w:t xml:space="preserve"> NMR 51:319–328. https://doi.org/10.1007/s10858-011-9559-4</w:t>
      </w:r>
    </w:p>
    <w:p w14:paraId="000001C8" w14:textId="77777777" w:rsidR="00DD0CC6" w:rsidRDefault="003771BF">
      <w:pPr>
        <w:pBdr>
          <w:top w:val="nil"/>
          <w:left w:val="nil"/>
          <w:bottom w:val="nil"/>
          <w:right w:val="nil"/>
          <w:between w:val="nil"/>
        </w:pBdr>
        <w:spacing w:after="240"/>
        <w:ind w:left="720" w:hanging="720"/>
        <w:rPr>
          <w:rFonts w:ascii="Calibri" w:eastAsia="Calibri" w:hAnsi="Calibri" w:cs="Calibri"/>
          <w:color w:val="000000"/>
        </w:rPr>
      </w:pPr>
      <w:r w:rsidRPr="00957CD5">
        <w:rPr>
          <w:rFonts w:ascii="Calibri" w:eastAsia="Calibri" w:hAnsi="Calibri" w:cs="Calibri"/>
          <w:color w:val="000000"/>
        </w:rPr>
        <w:lastRenderedPageBreak/>
        <w:t>Vijay-</w:t>
      </w:r>
      <w:proofErr w:type="spellStart"/>
      <w:r w:rsidRPr="00957CD5">
        <w:rPr>
          <w:rFonts w:ascii="Calibri" w:eastAsia="Calibri" w:hAnsi="Calibri" w:cs="Calibri"/>
          <w:color w:val="000000"/>
        </w:rPr>
        <w:t>kumar</w:t>
      </w:r>
      <w:proofErr w:type="spellEnd"/>
      <w:r w:rsidRPr="00957CD5">
        <w:rPr>
          <w:rFonts w:ascii="Calibri" w:eastAsia="Calibri" w:hAnsi="Calibri" w:cs="Calibri"/>
          <w:color w:val="000000"/>
        </w:rPr>
        <w:t xml:space="preserve"> S, Bugg CE, Cook WJ (1987) Structure of ubiquitin refined at 1.8 Å resolution. Journal of Molecular Biology 194:531–544. https://doi.org/10.1016/0022-2836(87)90679-6</w:t>
      </w:r>
    </w:p>
    <w:p w14:paraId="000001C9" w14:textId="77777777" w:rsidR="00DD0CC6" w:rsidRDefault="00DD0CC6">
      <w:pPr>
        <w:rPr>
          <w:b/>
        </w:rPr>
      </w:pPr>
    </w:p>
    <w:sectPr w:rsidR="00DD0CC6">
      <w:pgSz w:w="11906" w:h="16838"/>
      <w:pgMar w:top="1417" w:right="1417" w:bottom="113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74E8" w14:textId="77777777" w:rsidR="0057483A" w:rsidRDefault="0057483A">
      <w:r>
        <w:separator/>
      </w:r>
    </w:p>
  </w:endnote>
  <w:endnote w:type="continuationSeparator" w:id="0">
    <w:p w14:paraId="5F535347" w14:textId="77777777" w:rsidR="0057483A" w:rsidRDefault="00574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5C2377D-D135-6748-A73A-896F710B37DB}"/>
    <w:embedBold r:id="rId2" w:fontKey="{7E4DDF58-8A9F-3049-873D-687343947A61}"/>
    <w:embedItalic r:id="rId3" w:fontKey="{A5D81934-18A9-D64F-9F08-CD55B1303E8E}"/>
    <w:embedBoldItalic r:id="rId4" w:fontKey="{13184FDE-147D-684E-922E-5433B2C4F57A}"/>
  </w:font>
  <w:font w:name="Calibri">
    <w:panose1 w:val="020F0502020204030204"/>
    <w:charset w:val="00"/>
    <w:family w:val="swiss"/>
    <w:pitch w:val="variable"/>
    <w:sig w:usb0="E0002AFF" w:usb1="C000247B" w:usb2="00000009" w:usb3="00000000" w:csb0="000001FF" w:csb1="00000000"/>
    <w:embedRegular r:id="rId5" w:fontKey="{B54B3635-1A60-D546-A2D4-D27D76A65A1C}"/>
    <w:embedBold r:id="rId6" w:fontKey="{77B33AA7-92CF-E246-ACCD-675AEAF745AC}"/>
    <w:embedItalic r:id="rId7" w:fontKey="{CF77397B-C544-6B47-A5FB-71E47211A415}"/>
  </w:font>
  <w:font w:name="Calibri Light">
    <w:panose1 w:val="020F0302020204030204"/>
    <w:charset w:val="00"/>
    <w:family w:val="swiss"/>
    <w:pitch w:val="variable"/>
    <w:sig w:usb0="E0002AFF" w:usb1="C000247B" w:usb2="00000009" w:usb3="00000000" w:csb0="000001FF" w:csb1="00000000"/>
    <w:embedRegular r:id="rId8" w:fontKey="{7A116FB8-8304-6546-9D7D-B19D22D86AB2}"/>
    <w:embedItalic r:id="rId9" w:fontKey="{24A14350-6FF0-0542-8CA4-817A45A775AD}"/>
  </w:font>
  <w:font w:name="Yu Gothic Light">
    <w:panose1 w:val="020B0300000000000000"/>
    <w:charset w:val="80"/>
    <w:family w:val="swiss"/>
    <w:pitch w:val="variable"/>
    <w:sig w:usb0="E00002FF" w:usb1="2AC7FDFF" w:usb2="00000016" w:usb3="00000000" w:csb0="0002009F" w:csb1="00000000"/>
  </w:font>
  <w:font w:name="Liberation Serif">
    <w:panose1 w:val="020B0604020202020204"/>
    <w:charset w:val="00"/>
    <w:family w:val="roman"/>
    <w:pitch w:val="default"/>
  </w:font>
  <w:font w:name="Noto Serif CJK SC">
    <w:panose1 w:val="020B0604020202020204"/>
    <w:charset w:val="00"/>
    <w:family w:val="roman"/>
    <w:pitch w:val="default"/>
  </w:font>
  <w:font w:name="Lohit Devanagari">
    <w:panose1 w:val="020B0604020202020204"/>
    <w:charset w:val="00"/>
    <w:family w:val="roman"/>
    <w:pitch w:val="default"/>
  </w:font>
  <w:font w:name="Courier New">
    <w:panose1 w:val="02070309020205020404"/>
    <w:charset w:val="00"/>
    <w:family w:val="modern"/>
    <w:pitch w:val="fixed"/>
    <w:sig w:usb0="E0002AFF" w:usb1="C0007843" w:usb2="00000009" w:usb3="00000000" w:csb0="000001FF" w:csb1="00000000"/>
    <w:embedRegular r:id="rId13" w:fontKey="{8910DC76-195A-5545-A722-3143BB0CD3F2}"/>
  </w:font>
  <w:font w:name="Georgia">
    <w:panose1 w:val="02040502050405020303"/>
    <w:charset w:val="00"/>
    <w:family w:val="roman"/>
    <w:pitch w:val="variable"/>
    <w:sig w:usb0="00000287" w:usb1="00000000" w:usb2="00000000" w:usb3="00000000" w:csb0="0000009F" w:csb1="00000000"/>
    <w:embedRegular r:id="rId14" w:fontKey="{64101BD0-1DCA-6A42-939A-F6F4813B79D2}"/>
    <w:embedItalic r:id="rId15" w:fontKey="{22F9766F-3349-B54C-89F0-72D6A9744331}"/>
  </w:font>
  <w:font w:name="Cambria Math">
    <w:panose1 w:val="02040503050406030204"/>
    <w:charset w:val="00"/>
    <w:family w:val="roman"/>
    <w:pitch w:val="variable"/>
    <w:sig w:usb0="E00002FF" w:usb1="420024FF" w:usb2="00000000" w:usb3="00000000" w:csb0="0000019F" w:csb1="00000000"/>
    <w:embedRegular r:id="rId16" w:fontKey="{09B01B24-7D6A-7842-ADB0-D04BA3045388}"/>
    <w:embedItalic r:id="rId17" w:fontKey="{1D3A45E5-B518-924E-915C-A0E6FF368EC5}"/>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embedRegular r:id="rId18" w:fontKey="{1714E823-9B61-3740-B08A-DE9A3B071B0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A" w14:textId="77777777" w:rsidR="00DD0CC6" w:rsidRDefault="003771BF">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00001CB" w14:textId="77777777" w:rsidR="00DD0CC6" w:rsidRDefault="00DD0CC6">
    <w:pPr>
      <w:pBdr>
        <w:top w:val="nil"/>
        <w:left w:val="nil"/>
        <w:bottom w:val="nil"/>
        <w:right w:val="nil"/>
        <w:between w:val="nil"/>
      </w:pBdr>
      <w:tabs>
        <w:tab w:val="center" w:pos="4513"/>
        <w:tab w:val="right" w:pos="902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CC" w14:textId="75C8CBBE" w:rsidR="00DD0CC6" w:rsidRDefault="003771BF">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457713">
      <w:rPr>
        <w:noProof/>
        <w:color w:val="000000"/>
      </w:rPr>
      <w:t>1</w:t>
    </w:r>
    <w:r>
      <w:rPr>
        <w:color w:val="000000"/>
      </w:rPr>
      <w:fldChar w:fldCharType="end"/>
    </w:r>
  </w:p>
  <w:p w14:paraId="000001CD" w14:textId="77777777" w:rsidR="00DD0CC6" w:rsidRDefault="00DD0CC6">
    <w:pPr>
      <w:pBdr>
        <w:top w:val="nil"/>
        <w:left w:val="nil"/>
        <w:bottom w:val="nil"/>
        <w:right w:val="nil"/>
        <w:between w:val="nil"/>
      </w:pBdr>
      <w:tabs>
        <w:tab w:val="center" w:pos="4513"/>
        <w:tab w:val="right" w:pos="9026"/>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F522" w14:textId="77777777" w:rsidR="0057483A" w:rsidRDefault="0057483A">
      <w:r>
        <w:separator/>
      </w:r>
    </w:p>
  </w:footnote>
  <w:footnote w:type="continuationSeparator" w:id="0">
    <w:p w14:paraId="0E753870" w14:textId="77777777" w:rsidR="0057483A" w:rsidRDefault="00574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A201A"/>
    <w:multiLevelType w:val="multilevel"/>
    <w:tmpl w:val="96C44120"/>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pStyle w:val="berschrift7"/>
      <w:lvlText w:val="%1.%2.%3.%4.%5.%6.%7"/>
      <w:lvlJc w:val="left"/>
      <w:pPr>
        <w:ind w:left="3600" w:hanging="1440"/>
      </w:pPr>
    </w:lvl>
    <w:lvl w:ilvl="7">
      <w:start w:val="1"/>
      <w:numFmt w:val="decimal"/>
      <w:pStyle w:val="berschrift8"/>
      <w:lvlText w:val="%1.%2.%3.%4.%5.%6.%7.%8"/>
      <w:lvlJc w:val="left"/>
      <w:pPr>
        <w:ind w:left="3960" w:hanging="1440"/>
      </w:pPr>
    </w:lvl>
    <w:lvl w:ilvl="8">
      <w:start w:val="1"/>
      <w:numFmt w:val="decimal"/>
      <w:pStyle w:val="berschrift9"/>
      <w:lvlText w:val="%1.%2.%3.%4.%5.%6.%7.%8.%9"/>
      <w:lvlJc w:val="left"/>
      <w:pPr>
        <w:ind w:left="4680" w:hanging="1800"/>
      </w:pPr>
    </w:lvl>
  </w:abstractNum>
  <w:abstractNum w:abstractNumId="1" w15:restartNumberingAfterBreak="0">
    <w:nsid w:val="73363F10"/>
    <w:multiLevelType w:val="multilevel"/>
    <w:tmpl w:val="1D4659D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431198808">
    <w:abstractNumId w:val="0"/>
  </w:num>
  <w:num w:numId="2" w16cid:durableId="822817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CC6"/>
    <w:rsid w:val="00101887"/>
    <w:rsid w:val="00157E67"/>
    <w:rsid w:val="001656E9"/>
    <w:rsid w:val="00187526"/>
    <w:rsid w:val="001E5C2A"/>
    <w:rsid w:val="0022348D"/>
    <w:rsid w:val="002A4237"/>
    <w:rsid w:val="002C1ED2"/>
    <w:rsid w:val="00364853"/>
    <w:rsid w:val="003771BF"/>
    <w:rsid w:val="00410465"/>
    <w:rsid w:val="004200DA"/>
    <w:rsid w:val="0044514C"/>
    <w:rsid w:val="00457713"/>
    <w:rsid w:val="004D7D82"/>
    <w:rsid w:val="005644E3"/>
    <w:rsid w:val="00567123"/>
    <w:rsid w:val="0057483A"/>
    <w:rsid w:val="005E4392"/>
    <w:rsid w:val="006223BE"/>
    <w:rsid w:val="00622886"/>
    <w:rsid w:val="00674CC8"/>
    <w:rsid w:val="00686BC0"/>
    <w:rsid w:val="0069434F"/>
    <w:rsid w:val="00717C4E"/>
    <w:rsid w:val="0076620D"/>
    <w:rsid w:val="0077349C"/>
    <w:rsid w:val="007A0778"/>
    <w:rsid w:val="008109DA"/>
    <w:rsid w:val="008113B4"/>
    <w:rsid w:val="008F4571"/>
    <w:rsid w:val="00900DCA"/>
    <w:rsid w:val="00940285"/>
    <w:rsid w:val="00957CD5"/>
    <w:rsid w:val="009B56FB"/>
    <w:rsid w:val="009E0C14"/>
    <w:rsid w:val="009E58A3"/>
    <w:rsid w:val="009E6A38"/>
    <w:rsid w:val="00A01BCD"/>
    <w:rsid w:val="00A27853"/>
    <w:rsid w:val="00A80A3C"/>
    <w:rsid w:val="00AA69FC"/>
    <w:rsid w:val="00AB4EF0"/>
    <w:rsid w:val="00AD24B7"/>
    <w:rsid w:val="00AF4BF9"/>
    <w:rsid w:val="00AF5222"/>
    <w:rsid w:val="00BB156F"/>
    <w:rsid w:val="00BC3C8E"/>
    <w:rsid w:val="00C4668A"/>
    <w:rsid w:val="00CE3121"/>
    <w:rsid w:val="00D639CE"/>
    <w:rsid w:val="00DA53D6"/>
    <w:rsid w:val="00DB582A"/>
    <w:rsid w:val="00DD0CC6"/>
    <w:rsid w:val="00E17479"/>
    <w:rsid w:val="00E34CAD"/>
    <w:rsid w:val="00E5166E"/>
    <w:rsid w:val="00E51BD4"/>
    <w:rsid w:val="00EB1CC3"/>
    <w:rsid w:val="00F34F00"/>
    <w:rsid w:val="00F4598B"/>
    <w:rsid w:val="00F76686"/>
    <w:rsid w:val="00FD17B5"/>
    <w:rsid w:val="00FD3734"/>
    <w:rsid w:val="02378D6B"/>
    <w:rsid w:val="03F76B33"/>
    <w:rsid w:val="092F1FF8"/>
    <w:rsid w:val="118B4108"/>
    <w:rsid w:val="1CEE0F77"/>
    <w:rsid w:val="2097018B"/>
    <w:rsid w:val="2804F4A7"/>
    <w:rsid w:val="29FD737D"/>
    <w:rsid w:val="2C2C5430"/>
    <w:rsid w:val="32B048B6"/>
    <w:rsid w:val="33199D46"/>
    <w:rsid w:val="3430A6DB"/>
    <w:rsid w:val="36167113"/>
    <w:rsid w:val="396E2090"/>
    <w:rsid w:val="3B33FCF6"/>
    <w:rsid w:val="443A34C7"/>
    <w:rsid w:val="452E8C49"/>
    <w:rsid w:val="4752F313"/>
    <w:rsid w:val="478C35E8"/>
    <w:rsid w:val="4D7B1E14"/>
    <w:rsid w:val="533D6534"/>
    <w:rsid w:val="55362DC3"/>
    <w:rsid w:val="5D851BCD"/>
    <w:rsid w:val="5EA41F47"/>
    <w:rsid w:val="5F5F2750"/>
    <w:rsid w:val="64168429"/>
    <w:rsid w:val="64905898"/>
    <w:rsid w:val="67C9D2A3"/>
    <w:rsid w:val="688439DA"/>
    <w:rsid w:val="69D86565"/>
    <w:rsid w:val="6FC13E35"/>
    <w:rsid w:val="72A3571E"/>
    <w:rsid w:val="72CA4772"/>
    <w:rsid w:val="72FABD07"/>
    <w:rsid w:val="73A5AFE5"/>
    <w:rsid w:val="75A8B159"/>
    <w:rsid w:val="79B48ED6"/>
    <w:rsid w:val="7B1CC263"/>
    <w:rsid w:val="7EA39C5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A18A947"/>
  <w15:docId w15:val="{D761E52C-EE9B-4ED5-AF61-F894F8D1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240"/>
      <w:ind w:left="432" w:hanging="432"/>
      <w:outlineLvl w:val="0"/>
    </w:pPr>
    <w:rPr>
      <w:rFonts w:ascii="Calibri" w:eastAsia="Calibri" w:hAnsi="Calibri" w:cs="Calibri"/>
      <w:color w:val="2F5496"/>
      <w:sz w:val="32"/>
      <w:szCs w:val="32"/>
    </w:rPr>
  </w:style>
  <w:style w:type="paragraph" w:styleId="berschrift2">
    <w:name w:val="heading 2"/>
    <w:basedOn w:val="Standard"/>
    <w:next w:val="Standard"/>
    <w:uiPriority w:val="9"/>
    <w:unhideWhenUsed/>
    <w:qFormat/>
    <w:pPr>
      <w:keepNext/>
      <w:keepLines/>
      <w:spacing w:before="40"/>
      <w:ind w:left="576" w:hanging="576"/>
      <w:outlineLvl w:val="1"/>
    </w:pPr>
    <w:rPr>
      <w:rFonts w:ascii="Calibri" w:eastAsia="Calibri" w:hAnsi="Calibri" w:cs="Calibri"/>
      <w:color w:val="2F5496"/>
      <w:sz w:val="26"/>
      <w:szCs w:val="26"/>
    </w:rPr>
  </w:style>
  <w:style w:type="paragraph" w:styleId="berschrift3">
    <w:name w:val="heading 3"/>
    <w:basedOn w:val="Standard"/>
    <w:next w:val="Standard"/>
    <w:uiPriority w:val="9"/>
    <w:unhideWhenUsed/>
    <w:qFormat/>
    <w:pPr>
      <w:keepNext/>
      <w:keepLines/>
      <w:spacing w:before="40"/>
      <w:ind w:left="720" w:hanging="720"/>
      <w:outlineLvl w:val="2"/>
    </w:pPr>
    <w:rPr>
      <w:rFonts w:ascii="Calibri" w:eastAsia="Calibri" w:hAnsi="Calibri" w:cs="Calibri"/>
      <w:color w:val="1F3863"/>
    </w:rPr>
  </w:style>
  <w:style w:type="paragraph" w:styleId="berschrift4">
    <w:name w:val="heading 4"/>
    <w:basedOn w:val="Standard"/>
    <w:next w:val="Standard"/>
    <w:uiPriority w:val="9"/>
    <w:unhideWhenUsed/>
    <w:qFormat/>
    <w:pPr>
      <w:keepNext/>
      <w:keepLines/>
      <w:spacing w:before="40"/>
      <w:ind w:left="864" w:hanging="864"/>
      <w:outlineLvl w:val="3"/>
    </w:pPr>
    <w:rPr>
      <w:rFonts w:ascii="Calibri" w:eastAsia="Calibri" w:hAnsi="Calibri" w:cs="Calibri"/>
      <w:i/>
      <w:color w:val="2F5496"/>
    </w:rPr>
  </w:style>
  <w:style w:type="paragraph" w:styleId="berschrift5">
    <w:name w:val="heading 5"/>
    <w:basedOn w:val="Standard"/>
    <w:next w:val="Standard"/>
    <w:uiPriority w:val="9"/>
    <w:semiHidden/>
    <w:unhideWhenUsed/>
    <w:qFormat/>
    <w:pPr>
      <w:keepNext/>
      <w:keepLines/>
      <w:spacing w:before="40"/>
      <w:ind w:left="1008" w:hanging="1008"/>
      <w:outlineLvl w:val="4"/>
    </w:pPr>
    <w:rPr>
      <w:rFonts w:ascii="Calibri" w:eastAsia="Calibri" w:hAnsi="Calibri" w:cs="Calibri"/>
      <w:color w:val="2F5496"/>
    </w:rPr>
  </w:style>
  <w:style w:type="paragraph" w:styleId="berschrift6">
    <w:name w:val="heading 6"/>
    <w:basedOn w:val="Standard"/>
    <w:next w:val="Standard"/>
    <w:uiPriority w:val="9"/>
    <w:semiHidden/>
    <w:unhideWhenUsed/>
    <w:qFormat/>
    <w:pPr>
      <w:keepNext/>
      <w:keepLines/>
      <w:spacing w:before="40"/>
      <w:ind w:left="1152" w:hanging="1152"/>
      <w:outlineLvl w:val="5"/>
    </w:pPr>
    <w:rPr>
      <w:rFonts w:ascii="Calibri" w:eastAsia="Calibri" w:hAnsi="Calibri" w:cs="Calibri"/>
      <w:color w:val="1F3863"/>
    </w:rPr>
  </w:style>
  <w:style w:type="paragraph" w:styleId="berschrift7">
    <w:name w:val="heading 7"/>
    <w:link w:val="berschrift7Zchn"/>
    <w:uiPriority w:val="9"/>
    <w:semiHidden/>
    <w:unhideWhenUsed/>
    <w:qFormat/>
    <w:rsid w:val="007B2768"/>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link w:val="berschrift8Zchn"/>
    <w:uiPriority w:val="9"/>
    <w:semiHidden/>
    <w:unhideWhenUsed/>
    <w:qFormat/>
    <w:rsid w:val="007B2768"/>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link w:val="berschrift9Zchn"/>
    <w:uiPriority w:val="9"/>
    <w:semiHidden/>
    <w:unhideWhenUsed/>
    <w:qFormat/>
    <w:rsid w:val="007B2768"/>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el">
    <w:name w:val="Title"/>
    <w:basedOn w:val="Standard"/>
    <w:next w:val="Standard"/>
    <w:uiPriority w:val="10"/>
    <w:qFormat/>
    <w:rPr>
      <w:rFonts w:ascii="Calibri" w:eastAsia="Calibri" w:hAnsi="Calibri" w:cs="Calibri"/>
      <w:sz w:val="56"/>
      <w:szCs w:val="56"/>
    </w:rPr>
  </w:style>
  <w:style w:type="character" w:customStyle="1" w:styleId="berschrift1Zchn">
    <w:name w:val="Überschrift 1 Zchn"/>
    <w:basedOn w:val="Absatz-Standardschriftart"/>
    <w:uiPriority w:val="9"/>
    <w:qFormat/>
    <w:rsid w:val="007B2768"/>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uiPriority w:val="9"/>
    <w:qFormat/>
    <w:rsid w:val="007B2768"/>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uiPriority w:val="9"/>
    <w:rsid w:val="007B2768"/>
    <w:rPr>
      <w:rFonts w:asciiTheme="majorHAnsi" w:eastAsiaTheme="majorEastAsia" w:hAnsiTheme="majorHAnsi" w:cstheme="majorBidi"/>
      <w:color w:val="1F3763" w:themeColor="accent1" w:themeShade="7F"/>
      <w:sz w:val="24"/>
      <w:szCs w:val="24"/>
    </w:rPr>
  </w:style>
  <w:style w:type="character" w:customStyle="1" w:styleId="berschrift4Zchn">
    <w:name w:val="Überschrift 4 Zchn"/>
    <w:basedOn w:val="Absatz-Standardschriftart"/>
    <w:uiPriority w:val="9"/>
    <w:rsid w:val="007B2768"/>
    <w:rPr>
      <w:rFonts w:asciiTheme="majorHAnsi" w:eastAsiaTheme="majorEastAsia" w:hAnsiTheme="majorHAnsi" w:cstheme="majorBidi"/>
      <w:i/>
      <w:iCs/>
      <w:color w:val="2F5496" w:themeColor="accent1" w:themeShade="BF"/>
    </w:rPr>
  </w:style>
  <w:style w:type="character" w:customStyle="1" w:styleId="berschrift5Zchn">
    <w:name w:val="Überschrift 5 Zchn"/>
    <w:basedOn w:val="Absatz-Standardschriftart"/>
    <w:uiPriority w:val="9"/>
    <w:semiHidden/>
    <w:rsid w:val="007B2768"/>
    <w:rPr>
      <w:rFonts w:asciiTheme="majorHAnsi" w:eastAsiaTheme="majorEastAsia" w:hAnsiTheme="majorHAnsi" w:cstheme="majorBidi"/>
      <w:color w:val="2F5496" w:themeColor="accent1" w:themeShade="BF"/>
    </w:rPr>
  </w:style>
  <w:style w:type="character" w:customStyle="1" w:styleId="berschrift6Zchn">
    <w:name w:val="Überschrift 6 Zchn"/>
    <w:basedOn w:val="Absatz-Standardschriftart"/>
    <w:uiPriority w:val="9"/>
    <w:semiHidden/>
    <w:rsid w:val="007B2768"/>
    <w:rPr>
      <w:rFonts w:asciiTheme="majorHAnsi" w:eastAsiaTheme="majorEastAsia" w:hAnsiTheme="majorHAnsi" w:cstheme="majorBidi"/>
      <w:color w:val="1F3763" w:themeColor="accent1" w:themeShade="7F"/>
    </w:rPr>
  </w:style>
  <w:style w:type="character" w:customStyle="1" w:styleId="berschrift7Zchn">
    <w:name w:val="Überschrift 7 Zchn"/>
    <w:basedOn w:val="Absatz-Standardschriftart"/>
    <w:link w:val="berschrift7"/>
    <w:uiPriority w:val="9"/>
    <w:semiHidden/>
    <w:rsid w:val="007B2768"/>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semiHidden/>
    <w:rsid w:val="007B2768"/>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7B2768"/>
    <w:rPr>
      <w:rFonts w:asciiTheme="majorHAnsi" w:eastAsiaTheme="majorEastAsia" w:hAnsiTheme="majorHAnsi" w:cstheme="majorBidi"/>
      <w:i/>
      <w:iCs/>
      <w:color w:val="272727" w:themeColor="text1" w:themeTint="D8"/>
      <w:sz w:val="21"/>
      <w:szCs w:val="21"/>
    </w:rPr>
  </w:style>
  <w:style w:type="character" w:styleId="Kommentarzeichen">
    <w:name w:val="annotation reference"/>
    <w:basedOn w:val="Absatz-Standardschriftart"/>
    <w:uiPriority w:val="99"/>
    <w:semiHidden/>
    <w:unhideWhenUsed/>
    <w:qFormat/>
    <w:rsid w:val="007B2768"/>
    <w:rPr>
      <w:sz w:val="16"/>
      <w:szCs w:val="16"/>
    </w:rPr>
  </w:style>
  <w:style w:type="character" w:customStyle="1" w:styleId="KommentartextZchn">
    <w:name w:val="Kommentartext Zchn"/>
    <w:basedOn w:val="Absatz-Standardschriftart"/>
    <w:link w:val="Kommentartext"/>
    <w:uiPriority w:val="99"/>
    <w:qFormat/>
    <w:rsid w:val="007B2768"/>
    <w:rPr>
      <w:sz w:val="20"/>
      <w:szCs w:val="20"/>
    </w:rPr>
  </w:style>
  <w:style w:type="paragraph" w:styleId="Beschriftung">
    <w:name w:val="caption"/>
    <w:uiPriority w:val="35"/>
    <w:unhideWhenUsed/>
    <w:qFormat/>
    <w:rsid w:val="007B2768"/>
    <w:pPr>
      <w:spacing w:after="200"/>
    </w:pPr>
    <w:rPr>
      <w:b/>
      <w:iCs/>
      <w:szCs w:val="18"/>
    </w:rPr>
  </w:style>
  <w:style w:type="paragraph" w:styleId="Kommentartext">
    <w:name w:val="annotation text"/>
    <w:link w:val="KommentartextZchn"/>
    <w:uiPriority w:val="99"/>
    <w:unhideWhenUsed/>
    <w:qFormat/>
    <w:rsid w:val="007B2768"/>
    <w:rPr>
      <w:sz w:val="20"/>
      <w:szCs w:val="20"/>
    </w:rPr>
  </w:style>
  <w:style w:type="character" w:customStyle="1" w:styleId="KommentartextZchn1">
    <w:name w:val="Kommentartext Zchn1"/>
    <w:basedOn w:val="Absatz-Standardschriftart"/>
    <w:uiPriority w:val="99"/>
    <w:semiHidden/>
    <w:rsid w:val="007B2768"/>
    <w:rPr>
      <w:sz w:val="20"/>
      <w:szCs w:val="20"/>
    </w:rPr>
  </w:style>
  <w:style w:type="paragraph" w:customStyle="1" w:styleId="TableContents">
    <w:name w:val="Table Contents"/>
    <w:rsid w:val="007B2768"/>
    <w:pPr>
      <w:suppressLineNumbers/>
      <w:autoSpaceDN w:val="0"/>
      <w:textAlignment w:val="baseline"/>
    </w:pPr>
    <w:rPr>
      <w:rFonts w:ascii="Liberation Serif" w:eastAsia="Noto Serif CJK SC" w:hAnsi="Liberation Serif" w:cs="Lohit Devanagari"/>
      <w:kern w:val="3"/>
      <w:lang w:val="en-US" w:eastAsia="zh-CN" w:bidi="hi-IN"/>
    </w:rPr>
  </w:style>
  <w:style w:type="paragraph" w:styleId="Verzeichnis2">
    <w:name w:val="toc 2"/>
    <w:autoRedefine/>
    <w:uiPriority w:val="39"/>
    <w:unhideWhenUsed/>
    <w:rsid w:val="007B2768"/>
    <w:pPr>
      <w:spacing w:after="100"/>
      <w:ind w:left="220"/>
    </w:pPr>
  </w:style>
  <w:style w:type="paragraph" w:styleId="Verzeichnis1">
    <w:name w:val="toc 1"/>
    <w:autoRedefine/>
    <w:uiPriority w:val="39"/>
    <w:unhideWhenUsed/>
    <w:rsid w:val="007B2768"/>
    <w:pPr>
      <w:spacing w:after="100"/>
    </w:pPr>
  </w:style>
  <w:style w:type="character" w:styleId="Hyperlink">
    <w:name w:val="Hyperlink"/>
    <w:basedOn w:val="Absatz-Standardschriftart"/>
    <w:uiPriority w:val="99"/>
    <w:unhideWhenUsed/>
    <w:rsid w:val="007B2768"/>
    <w:rPr>
      <w:color w:val="0563C1" w:themeColor="hyperlink"/>
      <w:u w:val="single"/>
    </w:rPr>
  </w:style>
  <w:style w:type="paragraph" w:styleId="Fuzeile">
    <w:name w:val="footer"/>
    <w:link w:val="FuzeileZchn"/>
    <w:uiPriority w:val="99"/>
    <w:unhideWhenUsed/>
    <w:rsid w:val="00690B07"/>
    <w:pPr>
      <w:tabs>
        <w:tab w:val="center" w:pos="4513"/>
        <w:tab w:val="right" w:pos="9026"/>
      </w:tabs>
    </w:pPr>
  </w:style>
  <w:style w:type="character" w:customStyle="1" w:styleId="FuzeileZchn">
    <w:name w:val="Fußzeile Zchn"/>
    <w:basedOn w:val="Absatz-Standardschriftart"/>
    <w:link w:val="Fuzeile"/>
    <w:uiPriority w:val="99"/>
    <w:rsid w:val="00690B07"/>
  </w:style>
  <w:style w:type="character" w:styleId="Seitenzahl">
    <w:name w:val="page number"/>
    <w:basedOn w:val="Absatz-Standardschriftart"/>
    <w:uiPriority w:val="99"/>
    <w:semiHidden/>
    <w:unhideWhenUsed/>
    <w:rsid w:val="00690B07"/>
  </w:style>
  <w:style w:type="paragraph" w:styleId="berarbeitung">
    <w:name w:val="Revision"/>
    <w:hidden/>
    <w:uiPriority w:val="99"/>
    <w:semiHidden/>
    <w:rsid w:val="00717BF4"/>
  </w:style>
  <w:style w:type="paragraph" w:styleId="Kommentarthema">
    <w:name w:val="annotation subject"/>
    <w:basedOn w:val="Kommentartext"/>
    <w:next w:val="Kommentartext"/>
    <w:link w:val="KommentarthemaZchn"/>
    <w:uiPriority w:val="99"/>
    <w:semiHidden/>
    <w:unhideWhenUsed/>
    <w:rsid w:val="004E0D0F"/>
    <w:rPr>
      <w:b/>
      <w:bCs/>
    </w:rPr>
  </w:style>
  <w:style w:type="character" w:customStyle="1" w:styleId="KommentarthemaZchn">
    <w:name w:val="Kommentarthema Zchn"/>
    <w:basedOn w:val="KommentartextZchn"/>
    <w:link w:val="Kommentarthema"/>
    <w:uiPriority w:val="99"/>
    <w:semiHidden/>
    <w:rsid w:val="004E0D0F"/>
    <w:rPr>
      <w:b/>
      <w:bCs/>
      <w:sz w:val="20"/>
      <w:szCs w:val="20"/>
    </w:rPr>
  </w:style>
  <w:style w:type="paragraph" w:styleId="Listenabsatz">
    <w:name w:val="List Paragraph"/>
    <w:uiPriority w:val="34"/>
    <w:qFormat/>
    <w:rsid w:val="00040954"/>
    <w:pPr>
      <w:ind w:left="720"/>
      <w:contextualSpacing/>
    </w:pPr>
  </w:style>
  <w:style w:type="paragraph" w:styleId="Literaturverzeichnis">
    <w:name w:val="Bibliography"/>
    <w:uiPriority w:val="37"/>
    <w:unhideWhenUsed/>
    <w:rsid w:val="00303C3A"/>
    <w:pPr>
      <w:spacing w:after="240"/>
      <w:ind w:left="720" w:hanging="720"/>
    </w:pPr>
  </w:style>
  <w:style w:type="paragraph" w:styleId="Kopfzeile">
    <w:name w:val="header"/>
    <w:link w:val="KopfzeileZchn"/>
    <w:uiPriority w:val="99"/>
    <w:semiHidden/>
    <w:unhideWhenUsed/>
    <w:rsid w:val="00D84A09"/>
    <w:pPr>
      <w:tabs>
        <w:tab w:val="center" w:pos="4513"/>
        <w:tab w:val="right" w:pos="9026"/>
      </w:tabs>
    </w:pPr>
  </w:style>
  <w:style w:type="character" w:customStyle="1" w:styleId="KopfzeileZchn">
    <w:name w:val="Kopfzeile Zchn"/>
    <w:basedOn w:val="Absatz-Standardschriftart"/>
    <w:link w:val="Kopfzeile"/>
    <w:uiPriority w:val="99"/>
    <w:semiHidden/>
    <w:rsid w:val="00D84A09"/>
  </w:style>
  <w:style w:type="character" w:styleId="HTMLCode">
    <w:name w:val="HTML Code"/>
    <w:basedOn w:val="Absatz-Standardschriftart"/>
    <w:uiPriority w:val="99"/>
    <w:semiHidden/>
    <w:unhideWhenUsed/>
    <w:rsid w:val="00AE6F37"/>
    <w:rPr>
      <w:rFonts w:ascii="Courier New" w:eastAsia="Times New Roman" w:hAnsi="Courier New" w:cs="Courier New"/>
      <w:sz w:val="20"/>
      <w:szCs w:val="20"/>
    </w:rPr>
  </w:style>
  <w:style w:type="character" w:customStyle="1" w:styleId="apple-converted-space">
    <w:name w:val="apple-converted-space"/>
    <w:basedOn w:val="Absatz-Standardschriftart"/>
    <w:rsid w:val="00AE6F37"/>
  </w:style>
  <w:style w:type="character" w:styleId="BesuchterLink">
    <w:name w:val="FollowedHyperlink"/>
    <w:basedOn w:val="Absatz-Standardschriftart"/>
    <w:uiPriority w:val="99"/>
    <w:semiHidden/>
    <w:unhideWhenUsed/>
    <w:rsid w:val="003229F8"/>
    <w:rPr>
      <w:color w:val="954F72" w:themeColor="followedHyperlink"/>
      <w:u w:val="single"/>
    </w:rPr>
  </w:style>
  <w:style w:type="character" w:styleId="NichtaufgelsteErwhnung">
    <w:name w:val="Unresolved Mention"/>
    <w:basedOn w:val="Absatz-Standardschriftart"/>
    <w:uiPriority w:val="99"/>
    <w:semiHidden/>
    <w:unhideWhenUsed/>
    <w:rsid w:val="00C56A06"/>
    <w:rPr>
      <w:color w:val="605E5C"/>
      <w:shd w:val="clear" w:color="auto" w:fill="E1DFDD"/>
    </w:rPr>
  </w:style>
  <w:style w:type="character" w:styleId="Fett">
    <w:name w:val="Strong"/>
    <w:basedOn w:val="Absatz-Standardschriftart"/>
    <w:uiPriority w:val="22"/>
    <w:qFormat/>
    <w:rsid w:val="00481EDD"/>
    <w:rPr>
      <w:b/>
      <w:bCs/>
    </w:rPr>
  </w:style>
  <w:style w:type="character" w:styleId="Hervorhebung">
    <w:name w:val="Emphasis"/>
    <w:basedOn w:val="Absatz-Standardschriftart"/>
    <w:uiPriority w:val="20"/>
    <w:qFormat/>
    <w:rsid w:val="00481EDD"/>
    <w:rPr>
      <w:i/>
      <w:iCs/>
    </w:rPr>
  </w:style>
  <w:style w:type="character" w:customStyle="1" w:styleId="katex-mathml">
    <w:name w:val="katex-mathml"/>
    <w:basedOn w:val="Absatz-Standardschriftart"/>
    <w:rsid w:val="004C1C18"/>
  </w:style>
  <w:style w:type="character" w:customStyle="1" w:styleId="mord">
    <w:name w:val="mord"/>
    <w:basedOn w:val="Absatz-Standardschriftart"/>
    <w:rsid w:val="004C1C18"/>
  </w:style>
  <w:style w:type="character" w:customStyle="1" w:styleId="mrel">
    <w:name w:val="mrel"/>
    <w:basedOn w:val="Absatz-Standardschriftart"/>
    <w:rsid w:val="004C1C18"/>
  </w:style>
  <w:style w:type="character" w:customStyle="1" w:styleId="vlist-s">
    <w:name w:val="vlist-s"/>
    <w:basedOn w:val="Absatz-Standardschriftart"/>
    <w:rsid w:val="004C1C18"/>
  </w:style>
  <w:style w:type="character" w:customStyle="1" w:styleId="mbin">
    <w:name w:val="mbin"/>
    <w:basedOn w:val="Absatz-Standardschriftart"/>
    <w:rsid w:val="004C1C18"/>
  </w:style>
  <w:style w:type="character" w:styleId="Platzhaltertext">
    <w:name w:val="Placeholder Text"/>
    <w:basedOn w:val="Absatz-Standardschriftart"/>
    <w:uiPriority w:val="99"/>
    <w:semiHidden/>
    <w:rsid w:val="00AA0E48"/>
    <w:rPr>
      <w:color w:val="666666"/>
    </w:rPr>
  </w:style>
  <w:style w:type="character" w:customStyle="1" w:styleId="TitelZchn">
    <w:name w:val="Titel Zchn"/>
    <w:basedOn w:val="Absatz-Standardschriftart"/>
    <w:uiPriority w:val="10"/>
    <w:rsid w:val="008F5D7E"/>
    <w:rPr>
      <w:rFonts w:asciiTheme="majorHAnsi" w:eastAsiaTheme="majorEastAsia" w:hAnsiTheme="majorHAnsi" w:cstheme="majorBidi"/>
      <w:spacing w:val="-10"/>
      <w:kern w:val="28"/>
      <w:sz w:val="56"/>
      <w:szCs w:val="56"/>
      <w:lang w:eastAsia="de-DE"/>
    </w:rPr>
  </w:style>
  <w:style w:type="table" w:styleId="Tabellenraster">
    <w:name w:val="Table Grid"/>
    <w:basedOn w:val="NormaleTabelle"/>
    <w:uiPriority w:val="39"/>
    <w:rsid w:val="00137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uiPriority w:val="99"/>
    <w:unhideWhenUsed/>
    <w:rsid w:val="00A06ACF"/>
    <w:pPr>
      <w:spacing w:before="100" w:beforeAutospacing="1" w:after="100" w:afterAutospacing="1"/>
    </w:p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rcid.org/0000-0002-0218-2747" TargetMode="External"/><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5"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s://github.com/ThorbenMaa/AMIGO" TargetMode="External"/><Relationship Id="rId23" Type="http://schemas.openxmlformats.org/officeDocument/2006/relationships/image" Target="media/image11.png"/><Relationship Id="rId28" Type="http://schemas.openxmlformats.org/officeDocument/2006/relationships/image" Target="media/image16.png"/><Relationship Id="rId10" Type="http://schemas.openxmlformats.org/officeDocument/2006/relationships/image" Target="media/image1.png"/><Relationship Id="rId19" Type="http://schemas.openxmlformats.org/officeDocument/2006/relationships/image" Target="media/image7.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ithub.com/ThorbenMaa/AMIGO" TargetMode="Externa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BD811DVvmERmVPKc6y0aE7a3oA==">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5593</Words>
  <Characters>35241</Characters>
  <Application>Microsoft Office Word</Application>
  <DocSecurity>0</DocSecurity>
  <Lines>293</Lines>
  <Paragraphs>81</Paragraphs>
  <ScaleCrop>false</ScaleCrop>
  <Company/>
  <LinksUpToDate>false</LinksUpToDate>
  <CharactersWithSpaces>40753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Thorben Maass</dc:creator>
  <cp:keywords/>
  <cp:lastModifiedBy>Alvaro Mallagaray</cp:lastModifiedBy>
  <cp:revision>40</cp:revision>
  <dcterms:created xsi:type="dcterms:W3CDTF">2025-07-25T14:43:00Z</dcterms:created>
  <dcterms:modified xsi:type="dcterms:W3CDTF">2026-03-27T05:13:00Z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4b3f75181097f00987c6c583678736f7ee6a32c15c725077a6ae93cd96414643</vt:lpwstr>
  </property>
  <property fmtid="{D5CDD505-2E9C-101B-9397-08002B2CF9AE}" pid="3" name="ZOTERO_PREF_1">
    <vt:lpwstr>&lt;data data-version="3" zotero-version="6.0.30"&gt;&lt;session id="ad6GZuaf"/&gt;&lt;style id="http://www.zotero.org/styles/journal-of-biomolecular-nmr" hasBibliography="1" bibliographyStyleHasBeenSet="1"/&gt;&lt;prefs&gt;&lt;pref name="fieldType" value="Field"/&gt;&lt;/prefs&gt;&lt;/data&gt;</vt:lpwstr>
  </property>
</Properties>
</file>