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F3" w:rsidRDefault="00C41FF3" w:rsidP="00C41FF3">
      <w:pPr>
        <w:rPr>
          <w:rFonts w:ascii="Arial Unicode MS" w:hAnsi="Arial Unicode MS" w:cs="Arial Unicode MS"/>
          <w:color w:val="000000" w:themeColor="text1"/>
          <w:sz w:val="20"/>
          <w:szCs w:val="20"/>
          <w:highlight w:val="yellow"/>
        </w:rPr>
      </w:pPr>
      <w:r>
        <w:rPr>
          <w:rFonts w:ascii="Arial Unicode MS" w:cs="Arial Unicode MS"/>
          <w:b/>
          <w:bCs/>
          <w:color w:val="000000" w:themeColor="text1"/>
          <w:sz w:val="20"/>
          <w:szCs w:val="20"/>
          <w:highlight w:val="yellow"/>
        </w:rPr>
        <w:t xml:space="preserve">Table S1. </w:t>
      </w:r>
      <w:proofErr w:type="gramStart"/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Follow-up survey completion by demographic groups.</w:t>
      </w:r>
      <w:proofErr w:type="gramEnd"/>
    </w:p>
    <w:tbl>
      <w:tblPr>
        <w:tblW w:w="11885" w:type="dxa"/>
        <w:tblInd w:w="-5" w:type="dxa"/>
        <w:shd w:val="clear" w:color="auto" w:fill="FFFF00"/>
        <w:tblLook w:val="04A0" w:firstRow="1" w:lastRow="0" w:firstColumn="1" w:lastColumn="0" w:noHBand="0" w:noVBand="1"/>
      </w:tblPr>
      <w:tblGrid>
        <w:gridCol w:w="1373"/>
        <w:gridCol w:w="2340"/>
        <w:gridCol w:w="1530"/>
        <w:gridCol w:w="1431"/>
        <w:gridCol w:w="1530"/>
        <w:gridCol w:w="1611"/>
        <w:gridCol w:w="2070"/>
      </w:tblGrid>
      <w:tr w:rsidR="00C41FF3" w:rsidTr="00A4290A">
        <w:trPr>
          <w:trHeight w:val="479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Baseline survey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Completed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Follow-up 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Total Assigned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Follow-up 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Total Cleaned Complete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Follow-up 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 % Completion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from Assigned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Follow-up </w:t>
            </w:r>
          </w:p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% Completion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br/>
              <w:t>from baseline survey</w:t>
            </w:r>
          </w:p>
          <w:p w:rsidR="00C41FF3" w:rsidRDefault="00C41FF3" w:rsidP="00A4290A"/>
        </w:tc>
      </w:tr>
      <w:tr w:rsidR="00C41FF3" w:rsidTr="00A4290A">
        <w:trPr>
          <w:trHeight w:val="326"/>
        </w:trPr>
        <w:tc>
          <w:tcPr>
            <w:tcW w:w="135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Gender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Male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996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950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802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84.4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80.5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Female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1001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926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761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82.2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76.0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 xml:space="preserve">Age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18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29 years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362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335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257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76.7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71.0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30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49 years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774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723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586</w:t>
            </w:r>
          </w:p>
        </w:tc>
        <w:tc>
          <w:tcPr>
            <w:tcW w:w="1620" w:type="dxa"/>
            <w:shd w:val="clear" w:color="auto" w:fill="auto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81.1</w:t>
            </w:r>
          </w:p>
        </w:tc>
        <w:tc>
          <w:tcPr>
            <w:tcW w:w="2070" w:type="dxa"/>
            <w:shd w:val="clear" w:color="auto" w:fill="auto"/>
            <w:noWrap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75.7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shd w:val="clear" w:color="auto" w:fill="auto"/>
            <w:noWrap/>
            <w:vAlign w:val="bottom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50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–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64 years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631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596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527</w:t>
            </w:r>
          </w:p>
        </w:tc>
        <w:tc>
          <w:tcPr>
            <w:tcW w:w="1620" w:type="dxa"/>
            <w:shd w:val="clear" w:color="auto" w:fill="auto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88.4</w:t>
            </w:r>
          </w:p>
        </w:tc>
        <w:tc>
          <w:tcPr>
            <w:tcW w:w="2070" w:type="dxa"/>
            <w:shd w:val="clear" w:color="auto" w:fill="auto"/>
            <w:noWrap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83.5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65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 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+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 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years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230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222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193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86.9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83.9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Race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White, non-Hispanic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1203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1119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962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86.0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80.0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Black, non-Hispanic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320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311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258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83.0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80.6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Other, non-Hispanic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139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133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106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79.7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76.3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Hispanic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270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252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187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74.2</w:t>
            </w:r>
          </w:p>
        </w:tc>
        <w:tc>
          <w:tcPr>
            <w:tcW w:w="2070" w:type="dxa"/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69.3</w:t>
            </w:r>
          </w:p>
        </w:tc>
      </w:tr>
      <w:tr w:rsidR="00C41FF3" w:rsidTr="00A4290A">
        <w:trPr>
          <w:trHeight w:val="326"/>
        </w:trPr>
        <w:tc>
          <w:tcPr>
            <w:tcW w:w="13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 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+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 </w:t>
            </w: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races, non-Hispanic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82.0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76.9</w:t>
            </w:r>
          </w:p>
        </w:tc>
      </w:tr>
      <w:tr w:rsidR="00C41FF3" w:rsidTr="00A4290A">
        <w:trPr>
          <w:trHeight w:val="366"/>
        </w:trPr>
        <w:tc>
          <w:tcPr>
            <w:tcW w:w="13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Other demographic groups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Non-metro area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272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252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198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78.6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72.8</w:t>
            </w:r>
          </w:p>
        </w:tc>
      </w:tr>
      <w:tr w:rsidR="00C41FF3" w:rsidTr="00A4290A">
        <w:trPr>
          <w:trHeight w:val="366"/>
        </w:trPr>
        <w:tc>
          <w:tcPr>
            <w:tcW w:w="135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Less than high school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187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171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140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81.9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74.9</w:t>
            </w:r>
          </w:p>
        </w:tc>
      </w:tr>
      <w:tr w:rsidR="00C41FF3" w:rsidTr="00A4290A">
        <w:trPr>
          <w:trHeight w:val="443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Overall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1997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1876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1563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83.3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color w:val="000000" w:themeColor="text1"/>
                <w:sz w:val="20"/>
                <w:szCs w:val="20"/>
                <w:highlight w:val="yellow"/>
              </w:rPr>
              <w:t>78.3</w:t>
            </w:r>
          </w:p>
        </w:tc>
      </w:tr>
    </w:tbl>
    <w:p w:rsidR="00C41FF3" w:rsidRDefault="00C41FF3" w:rsidP="00C41FF3">
      <w:pPr>
        <w:rPr>
          <w:rFonts w:ascii="Arial Unicode MS" w:hAnsi="Arial Unicode MS" w:cs="Arial Unicode MS"/>
          <w:color w:val="000000" w:themeColor="text1"/>
          <w:sz w:val="20"/>
          <w:szCs w:val="20"/>
          <w:highlight w:val="yellow"/>
        </w:rPr>
      </w:pP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* Excludes those who did not answer gender or age questions in the survey.</w:t>
      </w:r>
    </w:p>
    <w:p w:rsidR="00C41FF3" w:rsidRDefault="00C41FF3" w:rsidP="00C41FF3">
      <w:pPr>
        <w:rPr>
          <w:rFonts w:ascii="Arial Unicode MS" w:hAnsi="Arial Unicode MS" w:cs="Arial Unicode MS"/>
          <w:iCs/>
          <w:color w:val="000000" w:themeColor="text1"/>
        </w:rPr>
      </w:pPr>
      <w:r>
        <w:rPr>
          <w:rFonts w:ascii="Arial Unicode MS" w:cs="Arial Unicode MS"/>
          <w:b/>
          <w:bCs/>
          <w:color w:val="000000" w:themeColor="text1"/>
        </w:rPr>
        <w:t>Table S</w:t>
      </w:r>
      <w:r>
        <w:rPr>
          <w:rFonts w:ascii="Arial Unicode MS" w:cs="Arial Unicode MS"/>
          <w:b/>
          <w:bCs/>
          <w:color w:val="000000" w:themeColor="text1"/>
          <w:highlight w:val="yellow"/>
        </w:rPr>
        <w:t>2</w:t>
      </w:r>
      <w:r>
        <w:rPr>
          <w:rFonts w:ascii="Arial Unicode MS" w:cs="Arial Unicode MS"/>
          <w:color w:val="000000" w:themeColor="text1"/>
        </w:rPr>
        <w:t xml:space="preserve">. </w:t>
      </w:r>
      <w:proofErr w:type="gramStart"/>
      <w:r>
        <w:rPr>
          <w:rFonts w:ascii="Arial Unicode MS" w:cs="Arial Unicode MS"/>
          <w:iCs/>
          <w:color w:val="000000" w:themeColor="text1"/>
        </w:rPr>
        <w:t xml:space="preserve">Association of behavioral and social drivers of vaccination with COVID-19 vaccine initiation by </w:t>
      </w:r>
      <w:r>
        <w:rPr>
          <w:rFonts w:ascii="Arial Unicode MS" w:cs="Arial Unicode MS"/>
          <w:iCs/>
          <w:color w:val="000000" w:themeColor="text1"/>
          <w:highlight w:val="yellow"/>
        </w:rPr>
        <w:t>follow-up</w:t>
      </w:r>
      <w:r>
        <w:rPr>
          <w:rFonts w:ascii="Arial Unicode MS" w:cs="Arial Unicode MS"/>
          <w:iCs/>
          <w:color w:val="000000" w:themeColor="text1"/>
        </w:rPr>
        <w:t xml:space="preserve">, among respondents who were unvaccinated </w:t>
      </w:r>
      <w:r>
        <w:rPr>
          <w:rFonts w:ascii="Arial Unicode MS" w:cs="Arial Unicode MS"/>
          <w:iCs/>
          <w:color w:val="000000" w:themeColor="text1"/>
          <w:highlight w:val="yellow"/>
        </w:rPr>
        <w:t>at baseline</w:t>
      </w:r>
      <w:r>
        <w:rPr>
          <w:rFonts w:ascii="Arial Unicode MS" w:cs="Arial Unicode MS"/>
          <w:iCs/>
          <w:color w:val="000000" w:themeColor="text1"/>
        </w:rPr>
        <w:t>, unadjusted for demographics.</w:t>
      </w:r>
      <w:proofErr w:type="gramEnd"/>
    </w:p>
    <w:tbl>
      <w:tblPr>
        <w:tblpPr w:leftFromText="180" w:rightFromText="180" w:vertAnchor="text" w:tblpY="1"/>
        <w:tblOverlap w:val="never"/>
        <w:tblW w:w="10890" w:type="dxa"/>
        <w:tblLayout w:type="fixed"/>
        <w:tblLook w:val="04A0" w:firstRow="1" w:lastRow="0" w:firstColumn="1" w:lastColumn="0" w:noHBand="0" w:noVBand="1"/>
      </w:tblPr>
      <w:tblGrid>
        <w:gridCol w:w="5400"/>
        <w:gridCol w:w="1350"/>
        <w:gridCol w:w="810"/>
        <w:gridCol w:w="1080"/>
        <w:gridCol w:w="990"/>
        <w:gridCol w:w="1260"/>
      </w:tblGrid>
      <w:tr w:rsidR="00C41FF3" w:rsidTr="00A4290A">
        <w:trPr>
          <w:trHeight w:val="397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  <w:highlight w:val="yellow"/>
              </w:rPr>
              <w:t>Assessment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Model 1</w:t>
            </w:r>
          </w:p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Model 2</w:t>
            </w:r>
          </w:p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Baseline &amp; follow-up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</w:rPr>
              <w:t>OR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95% CI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</w:rPr>
              <w:t>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95% CI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Thinking and feeling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confidence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1.15**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1.12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1.13**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1.16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Risk perception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1.15**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1.05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1.13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Social processes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Social norms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1.19**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1.11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1.17**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1.26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>Exposure to negative information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0.90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1.18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Recommendation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1.12**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1.05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1.11*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1.02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1.20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Recommendation at follow-up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0.97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2.54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 xml:space="preserve">Social responsibility to vaccinate 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8.64**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5.29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14.14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Saw only pro-vaccination messages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0.56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1.61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Saw both pro- and anti-vaccination messages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0.60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2.04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Practical issues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Access experience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0.92**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0.88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0.90**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0.85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0.95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requirement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9.61**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3.79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24.35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incentives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0.43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Had COVID-19 in the last 6 months</w:t>
            </w:r>
          </w:p>
        </w:tc>
        <w:tc>
          <w:tcPr>
            <w:tcW w:w="135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0.34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1.12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Know someone who became seriously ill or died of COVID-19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0.56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1.17</w:t>
            </w:r>
          </w:p>
        </w:tc>
      </w:tr>
    </w:tbl>
    <w:p w:rsidR="00C41FF3" w:rsidRDefault="00C41FF3" w:rsidP="00C41FF3">
      <w:pPr>
        <w:rPr>
          <w:rFonts w:ascii="Arial Unicode MS" w:hAnsi="Arial Unicode MS" w:cs="Arial Unicode MS"/>
          <w:i/>
          <w:iCs/>
          <w:color w:val="000000" w:themeColor="text1"/>
          <w:sz w:val="20"/>
          <w:szCs w:val="20"/>
        </w:rPr>
      </w:pPr>
    </w:p>
    <w:p w:rsidR="00C41FF3" w:rsidRDefault="00C41FF3" w:rsidP="00C41FF3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>
        <w:rPr>
          <w:rFonts w:ascii="Arial Unicode MS" w:cs="Arial Unicode MS"/>
          <w:i/>
          <w:iCs/>
          <w:color w:val="000000" w:themeColor="text1"/>
          <w:sz w:val="20"/>
          <w:szCs w:val="20"/>
          <w:highlight w:val="yellow"/>
        </w:rPr>
        <w:t>Note.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 xml:space="preserve"> OR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=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Odds ratio. SD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=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  <w:highlight w:val="yellow"/>
        </w:rPr>
        <w:t>standard deviation. Means, SDs,</w:t>
      </w:r>
      <w:r>
        <w:rPr>
          <w:rFonts w:ascii="Arial Unicode MS" w:cs="Arial Unicode MS"/>
          <w:color w:val="000000" w:themeColor="text1"/>
          <w:sz w:val="20"/>
          <w:szCs w:val="20"/>
        </w:rPr>
        <w:t xml:space="preserve"> ORs point, and confidence intervals are based on 15 multiple imputations. Model 2 assessed recommendations to vaccinate during both the baseline and follow-up survey.</w:t>
      </w:r>
    </w:p>
    <w:p w:rsidR="00C41FF3" w:rsidRDefault="00C41FF3" w:rsidP="00C41FF3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>
        <w:rPr>
          <w:rFonts w:ascii="Arial Unicode MS" w:cs="Arial Unicode MS"/>
          <w:color w:val="000000" w:themeColor="text1"/>
          <w:sz w:val="20"/>
          <w:szCs w:val="20"/>
        </w:rPr>
        <w:t>*</w:t>
      </w:r>
      <w:r>
        <w:rPr>
          <w:rFonts w:ascii="Arial Unicode MS" w:cs="Arial Unicode MS"/>
          <w:i/>
          <w:iCs/>
          <w:color w:val="000000" w:themeColor="text1"/>
          <w:sz w:val="20"/>
          <w:szCs w:val="20"/>
        </w:rPr>
        <w:t>p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&lt;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0.05, **</w:t>
      </w:r>
      <w:r>
        <w:rPr>
          <w:rFonts w:ascii="Arial Unicode MS" w:cs="Arial Unicode MS"/>
          <w:i/>
          <w:iCs/>
          <w:color w:val="000000" w:themeColor="text1"/>
          <w:sz w:val="20"/>
          <w:szCs w:val="20"/>
        </w:rPr>
        <w:t>p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&lt;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0.01</w:t>
      </w:r>
    </w:p>
    <w:p w:rsidR="00C41FF3" w:rsidRDefault="00C41FF3" w:rsidP="00C41FF3">
      <w:pPr>
        <w:rPr>
          <w:rFonts w:ascii="Arial Unicode MS" w:hAnsi="Arial Unicode MS" w:cs="Arial Unicode MS"/>
          <w:iCs/>
          <w:color w:val="000000" w:themeColor="text1"/>
        </w:rPr>
      </w:pPr>
      <w:r>
        <w:rPr>
          <w:rFonts w:ascii="Arial Unicode MS" w:cs="Arial Unicode MS"/>
          <w:b/>
          <w:bCs/>
          <w:color w:val="000000" w:themeColor="text1"/>
        </w:rPr>
        <w:t>Table S</w:t>
      </w:r>
      <w:r>
        <w:rPr>
          <w:rFonts w:ascii="Arial Unicode MS" w:cs="Arial Unicode MS"/>
          <w:b/>
          <w:bCs/>
          <w:color w:val="000000" w:themeColor="text1"/>
          <w:highlight w:val="yellow"/>
        </w:rPr>
        <w:t>3</w:t>
      </w:r>
      <w:r>
        <w:rPr>
          <w:rFonts w:ascii="Arial Unicode MS" w:cs="Arial Unicode MS"/>
          <w:color w:val="000000" w:themeColor="text1"/>
        </w:rPr>
        <w:t xml:space="preserve">. </w:t>
      </w:r>
      <w:proofErr w:type="gramStart"/>
      <w:r>
        <w:rPr>
          <w:rFonts w:ascii="Arial Unicode MS" w:cs="Arial Unicode MS"/>
          <w:iCs/>
          <w:color w:val="000000" w:themeColor="text1"/>
        </w:rPr>
        <w:t xml:space="preserve">Bivariate associations between behavioral and social drivers of vaccination and COVID-19 vaccine initiation </w:t>
      </w:r>
      <w:r>
        <w:rPr>
          <w:rFonts w:ascii="Arial Unicode MS" w:cs="Arial Unicode MS"/>
          <w:iCs/>
          <w:color w:val="000000" w:themeColor="text1"/>
          <w:highlight w:val="yellow"/>
        </w:rPr>
        <w:t>by follow-up</w:t>
      </w:r>
      <w:r>
        <w:rPr>
          <w:rFonts w:ascii="Arial Unicode MS" w:cs="Arial Unicode MS"/>
          <w:iCs/>
          <w:color w:val="000000" w:themeColor="text1"/>
        </w:rPr>
        <w:t xml:space="preserve">, among respondents who were unvaccinated </w:t>
      </w:r>
      <w:r>
        <w:rPr>
          <w:rFonts w:ascii="Arial Unicode MS" w:cs="Arial Unicode MS"/>
          <w:iCs/>
          <w:color w:val="000000" w:themeColor="text1"/>
          <w:highlight w:val="yellow"/>
        </w:rPr>
        <w:t>at baseline.</w:t>
      </w:r>
      <w:proofErr w:type="gramEnd"/>
    </w:p>
    <w:tbl>
      <w:tblPr>
        <w:tblpPr w:leftFromText="180" w:rightFromText="180" w:vertAnchor="text" w:tblpY="1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5400"/>
        <w:gridCol w:w="1170"/>
        <w:gridCol w:w="1170"/>
        <w:gridCol w:w="1260"/>
      </w:tblGrid>
      <w:tr w:rsidR="00C41FF3" w:rsidTr="00A4290A">
        <w:trPr>
          <w:trHeight w:val="397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Construct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Bivariate Association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i/>
                <w:iCs/>
                <w:sz w:val="20"/>
                <w:szCs w:val="20"/>
              </w:rPr>
            </w:pPr>
            <w:r>
              <w:rPr>
                <w:rFonts w:ascii="Arial Unicode MS" w:cs="Arial Unicode MS"/>
                <w:i/>
                <w:iCs/>
                <w:sz w:val="20"/>
                <w:szCs w:val="20"/>
              </w:rPr>
              <w:t>OR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i/>
                <w:sz w:val="20"/>
              </w:rPr>
              <w:t>95% CI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Thinking and feeling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confidence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1.21**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1.19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Risk perception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1.57**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1.44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1.70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Social processes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Social norms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1.57**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1.48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1.65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Exposure to negative information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0.78**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0.72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0.84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Recommendation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1.34**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1.28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1.42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Recommendation at 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0.73*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0.54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0.99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lastRenderedPageBreak/>
              <w:t xml:space="preserve">Social responsibility to vaccinate 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</w:t>
            </w:r>
            <w:bookmarkStart w:id="0" w:name="_GoBack"/>
            <w:bookmarkEnd w:id="0"/>
            <w:r>
              <w:rPr>
                <w:rFonts w:ascii="Arial Unicode MS" w:cs="Arial Unicode MS"/>
                <w:sz w:val="20"/>
                <w:szCs w:val="20"/>
              </w:rPr>
              <w:t>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28.76**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18.59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44.50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Saw only pro-vaccination messages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1.21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0.86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1.71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Saw both pro- and anti-vaccination messages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1.22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0.84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1.79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  <w:highlight w:val="yellow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cs="Arial Unicode MS"/>
                <w:b/>
                <w:bCs/>
                <w:sz w:val="20"/>
                <w:szCs w:val="20"/>
              </w:rPr>
              <w:t>Practical issues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Access experience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Baseline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1.04*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1.00-1.07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requirement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9.58**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5.34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17.16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Vaccine incentives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0.66**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0.49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0.89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Had COVID-19 in the last 6 months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0.35**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0.24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color w:val="000000"/>
                <w:sz w:val="20"/>
                <w:szCs w:val="20"/>
              </w:rPr>
              <w:t>0.51</w:t>
            </w:r>
          </w:p>
        </w:tc>
      </w:tr>
      <w:tr w:rsidR="00C41FF3" w:rsidTr="00A4290A">
        <w:trPr>
          <w:trHeight w:val="190"/>
        </w:trPr>
        <w:tc>
          <w:tcPr>
            <w:tcW w:w="540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Know someone who became seriously ill or died of COVID-19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Follow-up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C41FF3" w:rsidRDefault="00C41FF3" w:rsidP="00A4290A">
            <w:pPr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1.26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1FF3" w:rsidRDefault="00C41FF3" w:rsidP="00A4290A">
            <w:pPr>
              <w:jc w:val="right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0.99</w:t>
            </w:r>
            <w:r>
              <w:rPr>
                <w:rFonts w:ascii="Arial Unicode MS" w:cs="Arial Unicode MS"/>
                <w:sz w:val="20"/>
                <w:szCs w:val="20"/>
              </w:rPr>
              <w:t>–</w:t>
            </w:r>
            <w:r>
              <w:rPr>
                <w:rFonts w:ascii="Arial Unicode MS" w:cs="Arial Unicode MS"/>
                <w:sz w:val="20"/>
                <w:szCs w:val="20"/>
              </w:rPr>
              <w:t>1.60</w:t>
            </w:r>
          </w:p>
        </w:tc>
      </w:tr>
    </w:tbl>
    <w:p w:rsidR="00C41FF3" w:rsidRDefault="00C41FF3" w:rsidP="00C41FF3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>
        <w:rPr>
          <w:rFonts w:ascii="Arial Unicode MS" w:cs="Arial Unicode MS"/>
          <w:i/>
          <w:iCs/>
          <w:color w:val="000000" w:themeColor="text1"/>
          <w:sz w:val="20"/>
          <w:szCs w:val="20"/>
        </w:rPr>
        <w:t xml:space="preserve">Note. </w:t>
      </w:r>
      <w:r>
        <w:rPr>
          <w:rFonts w:ascii="Arial Unicode MS" w:cs="Arial Unicode MS"/>
          <w:color w:val="000000" w:themeColor="text1"/>
          <w:sz w:val="20"/>
          <w:szCs w:val="20"/>
        </w:rPr>
        <w:t xml:space="preserve">OR point estimates and confidence intervals are based on 15 multiple imputations. </w:t>
      </w:r>
      <w:proofErr w:type="gramStart"/>
      <w:r>
        <w:rPr>
          <w:rFonts w:ascii="Arial Unicode MS" w:cs="Arial Unicode MS"/>
          <w:color w:val="000000" w:themeColor="text1"/>
          <w:sz w:val="20"/>
          <w:szCs w:val="20"/>
        </w:rPr>
        <w:t>*</w:t>
      </w:r>
      <w:r>
        <w:rPr>
          <w:rFonts w:ascii="Arial Unicode MS" w:cs="Arial Unicode MS"/>
          <w:i/>
          <w:iCs/>
          <w:color w:val="000000" w:themeColor="text1"/>
          <w:sz w:val="20"/>
          <w:szCs w:val="20"/>
        </w:rPr>
        <w:t>p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&lt;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0.05.</w:t>
      </w:r>
      <w:proofErr w:type="gramEnd"/>
      <w:r>
        <w:rPr>
          <w:rFonts w:ascii="Arial Unicode MS" w:cs="Arial Unicode MS"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Arial Unicode MS" w:cs="Arial Unicode MS"/>
          <w:color w:val="000000" w:themeColor="text1"/>
          <w:sz w:val="20"/>
          <w:szCs w:val="20"/>
        </w:rPr>
        <w:t>**</w:t>
      </w:r>
      <w:r>
        <w:rPr>
          <w:rFonts w:ascii="Arial Unicode MS" w:cs="Arial Unicode MS"/>
          <w:i/>
          <w:iCs/>
          <w:color w:val="000000" w:themeColor="text1"/>
          <w:sz w:val="20"/>
          <w:szCs w:val="20"/>
        </w:rPr>
        <w:t>p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&lt;</w:t>
      </w:r>
      <w:r>
        <w:rPr>
          <w:rFonts w:ascii="Arial Unicode MS" w:cs="Arial Unicode MS"/>
          <w:color w:val="000000" w:themeColor="text1"/>
          <w:sz w:val="20"/>
          <w:szCs w:val="20"/>
        </w:rPr>
        <w:t> </w:t>
      </w:r>
      <w:r>
        <w:rPr>
          <w:rFonts w:ascii="Arial Unicode MS" w:cs="Arial Unicode MS"/>
          <w:color w:val="000000" w:themeColor="text1"/>
          <w:sz w:val="20"/>
          <w:szCs w:val="20"/>
        </w:rPr>
        <w:t>0.01.</w:t>
      </w:r>
      <w:proofErr w:type="gramEnd"/>
    </w:p>
    <w:p w:rsidR="00C41FF3" w:rsidRDefault="00C41FF3" w:rsidP="00C41FF3">
      <w:pPr>
        <w:pStyle w:val="SuppliedContentEnd"/>
      </w:pPr>
    </w:p>
    <w:p w:rsidR="0063083F" w:rsidRDefault="0063083F"/>
    <w:sectPr w:rsidR="0063083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F3"/>
    <w:rsid w:val="002C7C6B"/>
    <w:rsid w:val="00333174"/>
    <w:rsid w:val="0063083F"/>
    <w:rsid w:val="00904DDB"/>
    <w:rsid w:val="00A93BA0"/>
    <w:rsid w:val="00B94726"/>
    <w:rsid w:val="00BF7FEB"/>
    <w:rsid w:val="00C4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F3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C41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F3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ppliedContentEnd">
    <w:name w:val="SuppliedContentEnd"/>
    <w:basedOn w:val="Normal"/>
    <w:qFormat/>
    <w:rsid w:val="00C41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Sindhuja Arunpandian (Integra)</dc:creator>
  <cp:lastModifiedBy>Sindhuja Arunpandian (Integra)</cp:lastModifiedBy>
  <cp:revision>2</cp:revision>
  <dcterms:created xsi:type="dcterms:W3CDTF">2024-03-18T03:56:00Z</dcterms:created>
  <dcterms:modified xsi:type="dcterms:W3CDTF">2024-03-18T03:56:00Z</dcterms:modified>
</cp:coreProperties>
</file>