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86EED">
        <w:rPr>
          <w:rFonts w:ascii="Times New Roman" w:hAnsi="Times New Roman" w:cs="Times New Roman"/>
          <w:b/>
          <w:sz w:val="20"/>
          <w:szCs w:val="20"/>
          <w:lang w:val="en-US"/>
        </w:rPr>
        <w:t>Figure captions for Supplementary Figures and Tables</w:t>
      </w:r>
    </w:p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86EED">
        <w:rPr>
          <w:rFonts w:ascii="Times New Roman" w:hAnsi="Times New Roman" w:cs="Times New Roman"/>
          <w:b/>
          <w:sz w:val="20"/>
          <w:szCs w:val="20"/>
          <w:lang w:val="en-US"/>
        </w:rPr>
        <w:t>Figure S1</w:t>
      </w:r>
      <w:r w:rsidRPr="00886EE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86EED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886EE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Sanger sequencing validation of mutation </w:t>
      </w:r>
    </w:p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86EED">
        <w:rPr>
          <w:rFonts w:ascii="Times New Roman" w:hAnsi="Times New Roman" w:cs="Times New Roman"/>
          <w:sz w:val="20"/>
          <w:szCs w:val="20"/>
          <w:lang w:val="en-US"/>
        </w:rPr>
        <w:t>From available family members (a) and index patient’s lymphocyte subpopulations (b); mutation marked with arrowhead</w:t>
      </w:r>
    </w:p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86EED">
        <w:rPr>
          <w:rFonts w:ascii="Times New Roman" w:hAnsi="Times New Roman" w:cs="Times New Roman"/>
          <w:b/>
          <w:sz w:val="20"/>
          <w:szCs w:val="20"/>
          <w:lang w:val="en-US"/>
        </w:rPr>
        <w:t>Figure S2</w:t>
      </w:r>
      <w:r w:rsidRPr="00886EED">
        <w:rPr>
          <w:rFonts w:ascii="Times New Roman" w:hAnsi="Times New Roman" w:cs="Times New Roman"/>
          <w:b/>
          <w:sz w:val="20"/>
          <w:szCs w:val="20"/>
          <w:lang w:val="en-US"/>
        </w:rPr>
        <w:br/>
      </w:r>
      <w:r w:rsidRPr="00886EE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Relative </w:t>
      </w:r>
      <w:r w:rsidRPr="00886EED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IL2RG</w:t>
      </w:r>
      <w:r w:rsidRPr="00886EE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mRNA expression in CD4+ T cells from patient and two healthy donors. </w:t>
      </w:r>
    </w:p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86EED">
        <w:rPr>
          <w:rFonts w:ascii="Times New Roman" w:hAnsi="Times New Roman" w:cs="Times New Roman"/>
          <w:sz w:val="20"/>
          <w:szCs w:val="20"/>
          <w:lang w:val="en-US"/>
        </w:rPr>
        <w:t>Patient’s mean normalized as 1. Error bars represent standard deviation from three biological replicates. ** = p &lt;0</w:t>
      </w:r>
      <w:r w:rsidR="00B0758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886EED">
        <w:rPr>
          <w:rFonts w:ascii="Times New Roman" w:hAnsi="Times New Roman" w:cs="Times New Roman"/>
          <w:sz w:val="20"/>
          <w:szCs w:val="20"/>
          <w:lang w:val="en-US"/>
        </w:rPr>
        <w:t>01, determined by unpaired t test with Welch's correction, ns = nonsignificant</w:t>
      </w:r>
    </w:p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86EED">
        <w:rPr>
          <w:rFonts w:ascii="Times New Roman" w:hAnsi="Times New Roman" w:cs="Times New Roman"/>
          <w:b/>
          <w:sz w:val="20"/>
          <w:szCs w:val="20"/>
          <w:lang w:val="en-US"/>
        </w:rPr>
        <w:t xml:space="preserve">Figure S3 </w:t>
      </w:r>
      <w:r w:rsidRPr="00886EED">
        <w:rPr>
          <w:rFonts w:ascii="Times New Roman" w:hAnsi="Times New Roman" w:cs="Times New Roman"/>
          <w:b/>
          <w:sz w:val="20"/>
          <w:szCs w:val="20"/>
          <w:lang w:val="en-US"/>
        </w:rPr>
        <w:br/>
        <w:t>NK cell, CD4+ and CD8+ T cell blast formation in response to IL-15 stimulation.</w:t>
      </w:r>
    </w:p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886EED">
        <w:rPr>
          <w:rFonts w:ascii="Times New Roman" w:hAnsi="Times New Roman" w:cs="Times New Roman"/>
          <w:bCs/>
          <w:sz w:val="20"/>
          <w:szCs w:val="20"/>
          <w:lang w:val="en-US"/>
        </w:rPr>
        <w:t>a) NK cells, b) CD4+ cells, c) CD8+ cells. Dashed line = controls, solid line = index patient. Representative of two experiments.</w:t>
      </w:r>
    </w:p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86EED">
        <w:rPr>
          <w:rFonts w:ascii="Times New Roman" w:hAnsi="Times New Roman" w:cs="Times New Roman"/>
          <w:b/>
          <w:sz w:val="20"/>
          <w:szCs w:val="20"/>
          <w:lang w:val="en-US"/>
        </w:rPr>
        <w:t>Figure S4</w:t>
      </w:r>
      <w:r w:rsidRPr="00886EED">
        <w:rPr>
          <w:rFonts w:ascii="Times New Roman" w:hAnsi="Times New Roman" w:cs="Times New Roman"/>
          <w:b/>
          <w:sz w:val="20"/>
          <w:szCs w:val="20"/>
          <w:lang w:val="en-US"/>
        </w:rPr>
        <w:br/>
      </w:r>
      <w:r w:rsidRPr="00886EE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Clinical features associated with </w:t>
      </w:r>
      <w:proofErr w:type="spellStart"/>
      <w:r w:rsidRPr="00886EED">
        <w:rPr>
          <w:rFonts w:ascii="Times New Roman" w:hAnsi="Times New Roman" w:cs="Times New Roman"/>
          <w:b/>
          <w:bCs/>
          <w:sz w:val="20"/>
          <w:szCs w:val="20"/>
          <w:lang w:val="en-US"/>
        </w:rPr>
        <w:t>hypomorphic</w:t>
      </w:r>
      <w:proofErr w:type="spellEnd"/>
      <w:r w:rsidRPr="00886EE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886EED">
        <w:rPr>
          <w:rFonts w:ascii="Times New Roman" w:hAnsi="Times New Roman" w:cs="Times New Roman"/>
          <w:b/>
          <w:bCs/>
          <w:i/>
          <w:sz w:val="20"/>
          <w:szCs w:val="20"/>
          <w:lang w:val="en-US"/>
        </w:rPr>
        <w:t>IL2RG</w:t>
      </w:r>
      <w:r w:rsidRPr="00886EE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mutations. </w:t>
      </w:r>
    </w:p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86EED">
        <w:rPr>
          <w:rFonts w:ascii="Times New Roman" w:hAnsi="Times New Roman" w:cs="Times New Roman"/>
          <w:sz w:val="20"/>
          <w:szCs w:val="20"/>
          <w:lang w:val="en-US"/>
        </w:rPr>
        <w:t xml:space="preserve">Prevalence (%) of the most common clinical features in the reported patients carrying putatively </w:t>
      </w:r>
      <w:proofErr w:type="spellStart"/>
      <w:r w:rsidRPr="00886EED">
        <w:rPr>
          <w:rFonts w:ascii="Times New Roman" w:hAnsi="Times New Roman" w:cs="Times New Roman"/>
          <w:sz w:val="20"/>
          <w:szCs w:val="20"/>
          <w:lang w:val="en-US"/>
        </w:rPr>
        <w:t>hypomorphic</w:t>
      </w:r>
      <w:proofErr w:type="spellEnd"/>
      <w:r w:rsidRPr="00886EE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86EED">
        <w:rPr>
          <w:rFonts w:ascii="Times New Roman" w:hAnsi="Times New Roman" w:cs="Times New Roman"/>
          <w:i/>
          <w:sz w:val="20"/>
          <w:szCs w:val="20"/>
          <w:lang w:val="en-US"/>
        </w:rPr>
        <w:t>IL2RG</w:t>
      </w:r>
      <w:r w:rsidRPr="00886EED">
        <w:rPr>
          <w:rFonts w:ascii="Times New Roman" w:hAnsi="Times New Roman" w:cs="Times New Roman"/>
          <w:sz w:val="20"/>
          <w:szCs w:val="20"/>
          <w:lang w:val="en-US"/>
        </w:rPr>
        <w:t xml:space="preserve"> mutations</w:t>
      </w:r>
    </w:p>
    <w:p w:rsidR="0041602D" w:rsidRPr="00886EED" w:rsidRDefault="0041602D" w:rsidP="0041602D">
      <w:pPr>
        <w:pStyle w:val="NormalWeb"/>
        <w:spacing w:line="480" w:lineRule="auto"/>
        <w:rPr>
          <w:b/>
          <w:sz w:val="20"/>
          <w:szCs w:val="20"/>
          <w:lang w:val="en-US"/>
        </w:rPr>
      </w:pPr>
      <w:r w:rsidRPr="00886EED">
        <w:rPr>
          <w:b/>
          <w:sz w:val="20"/>
          <w:szCs w:val="20"/>
          <w:lang w:val="en-US"/>
        </w:rPr>
        <w:t>Table S1</w:t>
      </w:r>
      <w:r w:rsidRPr="00886EED">
        <w:rPr>
          <w:b/>
          <w:sz w:val="20"/>
          <w:szCs w:val="20"/>
          <w:lang w:val="en-US"/>
        </w:rPr>
        <w:br/>
        <w:t xml:space="preserve">Immunologic characteristics of </w:t>
      </w:r>
      <w:r w:rsidR="00534BA5">
        <w:rPr>
          <w:b/>
          <w:sz w:val="20"/>
          <w:szCs w:val="20"/>
          <w:lang w:val="en-US"/>
        </w:rPr>
        <w:t xml:space="preserve">index </w:t>
      </w:r>
      <w:r w:rsidRPr="00886EED">
        <w:rPr>
          <w:b/>
          <w:sz w:val="20"/>
          <w:szCs w:val="20"/>
          <w:lang w:val="en-US"/>
        </w:rPr>
        <w:t>patient</w:t>
      </w:r>
    </w:p>
    <w:p w:rsidR="0041602D" w:rsidRPr="00886EED" w:rsidRDefault="0041602D" w:rsidP="0041602D">
      <w:pPr>
        <w:pStyle w:val="NormalWeb"/>
        <w:spacing w:line="480" w:lineRule="auto"/>
        <w:rPr>
          <w:b/>
          <w:bCs/>
          <w:sz w:val="20"/>
          <w:szCs w:val="20"/>
          <w:lang w:val="en-US"/>
        </w:rPr>
      </w:pPr>
      <w:r w:rsidRPr="00886EED">
        <w:rPr>
          <w:b/>
          <w:sz w:val="20"/>
          <w:szCs w:val="20"/>
          <w:lang w:val="en-US"/>
        </w:rPr>
        <w:t>Table S2</w:t>
      </w:r>
      <w:r w:rsidRPr="00886EED">
        <w:rPr>
          <w:b/>
          <w:sz w:val="20"/>
          <w:szCs w:val="20"/>
          <w:lang w:val="en-US"/>
        </w:rPr>
        <w:br/>
      </w:r>
      <w:r w:rsidRPr="00886EED">
        <w:rPr>
          <w:b/>
          <w:bCs/>
          <w:sz w:val="20"/>
          <w:szCs w:val="20"/>
          <w:lang w:val="en-US"/>
        </w:rPr>
        <w:t>NK cell phenotyping of index patient and two healthy controls</w:t>
      </w:r>
    </w:p>
    <w:p w:rsidR="0041602D" w:rsidRPr="00886EED" w:rsidRDefault="0041602D" w:rsidP="0041602D">
      <w:pPr>
        <w:pStyle w:val="NormalWeb"/>
        <w:spacing w:line="480" w:lineRule="auto"/>
        <w:rPr>
          <w:b/>
          <w:bCs/>
          <w:sz w:val="20"/>
          <w:szCs w:val="20"/>
          <w:lang w:val="en-US"/>
        </w:rPr>
      </w:pPr>
      <w:r w:rsidRPr="00886EED">
        <w:rPr>
          <w:b/>
          <w:sz w:val="20"/>
          <w:szCs w:val="20"/>
          <w:lang w:val="en-US"/>
        </w:rPr>
        <w:t>Table S3</w:t>
      </w:r>
      <w:r w:rsidRPr="00886EED">
        <w:rPr>
          <w:b/>
          <w:sz w:val="20"/>
          <w:szCs w:val="20"/>
          <w:lang w:val="en-US"/>
        </w:rPr>
        <w:br/>
      </w:r>
      <w:r w:rsidRPr="00886EED">
        <w:rPr>
          <w:b/>
          <w:bCs/>
          <w:sz w:val="20"/>
          <w:szCs w:val="20"/>
          <w:lang w:val="en-US"/>
        </w:rPr>
        <w:t>TCRVβ repertoire</w:t>
      </w:r>
    </w:p>
    <w:p w:rsidR="0041602D" w:rsidRPr="00886EED" w:rsidRDefault="0041602D" w:rsidP="0041602D">
      <w:pPr>
        <w:pStyle w:val="NormalWeb"/>
        <w:spacing w:line="480" w:lineRule="auto"/>
        <w:rPr>
          <w:b/>
          <w:bCs/>
          <w:sz w:val="20"/>
          <w:szCs w:val="20"/>
          <w:lang w:val="en-US"/>
        </w:rPr>
      </w:pPr>
      <w:r w:rsidRPr="00886EED">
        <w:rPr>
          <w:sz w:val="20"/>
          <w:szCs w:val="20"/>
          <w:lang w:val="en-US"/>
        </w:rPr>
        <w:lastRenderedPageBreak/>
        <w:t>Overall productive clonality</w:t>
      </w:r>
      <w:r w:rsidRPr="00886EED">
        <w:rPr>
          <w:sz w:val="20"/>
          <w:szCs w:val="20"/>
          <w:vertAlign w:val="superscript"/>
          <w:lang w:val="en-US"/>
        </w:rPr>
        <w:t xml:space="preserve"> </w:t>
      </w:r>
      <w:r w:rsidRPr="00886EED">
        <w:rPr>
          <w:sz w:val="20"/>
          <w:szCs w:val="20"/>
          <w:lang w:val="en-US"/>
        </w:rPr>
        <w:t>(a) of the TCRVβ repertoire and top five TCRVβ clones presented as amino acid sequences with their productive frequencies</w:t>
      </w:r>
      <w:r w:rsidRPr="00886EED">
        <w:rPr>
          <w:sz w:val="20"/>
          <w:szCs w:val="20"/>
          <w:vertAlign w:val="superscript"/>
          <w:lang w:val="en-US"/>
        </w:rPr>
        <w:t xml:space="preserve"> </w:t>
      </w:r>
      <w:r w:rsidRPr="00886EED">
        <w:rPr>
          <w:sz w:val="20"/>
          <w:szCs w:val="20"/>
          <w:lang w:val="en-US"/>
        </w:rPr>
        <w:t>(b) in percentages (in brackets)</w:t>
      </w:r>
    </w:p>
    <w:p w:rsidR="0041602D" w:rsidRPr="00886EED" w:rsidRDefault="0041602D" w:rsidP="0041602D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i-FI"/>
        </w:rPr>
      </w:pPr>
      <w:r w:rsidRPr="00886EED">
        <w:rPr>
          <w:rFonts w:ascii="Times New Roman" w:eastAsia="Times New Roman" w:hAnsi="Times New Roman" w:cs="Times New Roman"/>
          <w:b/>
          <w:sz w:val="20"/>
          <w:szCs w:val="20"/>
          <w:lang w:val="en-US" w:eastAsia="fi-FI"/>
        </w:rPr>
        <w:t>Table S4</w:t>
      </w:r>
      <w:bookmarkStart w:id="0" w:name="_GoBack"/>
      <w:bookmarkEnd w:id="0"/>
      <w:r w:rsidRPr="00886EED">
        <w:rPr>
          <w:rFonts w:ascii="Times New Roman" w:eastAsia="Times New Roman" w:hAnsi="Times New Roman" w:cs="Times New Roman"/>
          <w:b/>
          <w:sz w:val="20"/>
          <w:szCs w:val="20"/>
          <w:lang w:val="en-US" w:eastAsia="fi-FI"/>
        </w:rPr>
        <w:br/>
      </w:r>
      <w:r w:rsidRPr="00886EED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i-FI"/>
        </w:rPr>
        <w:t>List of filtered variants</w:t>
      </w:r>
      <w:r w:rsidRPr="00886EED">
        <w:rPr>
          <w:rFonts w:ascii="Times New Roman" w:eastAsia="Times New Roman" w:hAnsi="Times New Roman" w:cs="Times New Roman"/>
          <w:sz w:val="20"/>
          <w:szCs w:val="20"/>
          <w:lang w:val="en-US" w:eastAsia="fi-FI"/>
        </w:rPr>
        <w:t xml:space="preserve"> </w:t>
      </w:r>
      <w:r w:rsidRPr="00886EED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i-FI"/>
        </w:rPr>
        <w:t>(pathogenic, likely pathogenic, or unknown significance)</w:t>
      </w:r>
      <w:r w:rsidRPr="00886EED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i-FI"/>
        </w:rPr>
        <w:br/>
      </w:r>
    </w:p>
    <w:p w:rsidR="0041602D" w:rsidRPr="00886EED" w:rsidRDefault="0041602D" w:rsidP="0041602D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i-FI"/>
        </w:rPr>
      </w:pPr>
      <w:r w:rsidRPr="00886EED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i-FI"/>
        </w:rPr>
        <w:t xml:space="preserve">Table S5 </w:t>
      </w:r>
      <w:r w:rsidRPr="00886EED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i-FI"/>
        </w:rPr>
        <w:br/>
        <w:t xml:space="preserve">Germline variant in </w:t>
      </w:r>
      <w:r w:rsidRPr="00886EE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US" w:eastAsia="fi-FI"/>
        </w:rPr>
        <w:t xml:space="preserve">IL2RG </w:t>
      </w:r>
      <w:r w:rsidRPr="00886EED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i-FI"/>
        </w:rPr>
        <w:t>gene identified in patient with recurrent respiratory infections and bronchiectasis</w:t>
      </w:r>
    </w:p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 w:eastAsia="fi-FI"/>
        </w:rPr>
      </w:pPr>
      <w:r w:rsidRPr="00886E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br/>
        <w:t>Table S6</w:t>
      </w:r>
      <w:r w:rsidRPr="00886E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br/>
      </w:r>
      <w:r w:rsidRPr="00886EED">
        <w:rPr>
          <w:rFonts w:ascii="Times New Roman" w:hAnsi="Times New Roman" w:cs="Times New Roman"/>
          <w:b/>
          <w:sz w:val="20"/>
          <w:szCs w:val="20"/>
          <w:lang w:val="en-US" w:eastAsia="fi-FI"/>
        </w:rPr>
        <w:t xml:space="preserve">Surface expression of IL2RG (CD132) </w:t>
      </w:r>
    </w:p>
    <w:p w:rsidR="0041602D" w:rsidRPr="00886EED" w:rsidRDefault="0041602D" w:rsidP="0041602D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86EED">
        <w:rPr>
          <w:rFonts w:ascii="Times New Roman" w:hAnsi="Times New Roman" w:cs="Times New Roman"/>
          <w:bCs/>
          <w:sz w:val="20"/>
          <w:szCs w:val="20"/>
          <w:lang w:val="en-US" w:eastAsia="fi-FI"/>
        </w:rPr>
        <w:t>On CD4+, CD8+ lymphocytes, CD4+low monocytes, CD3-CD56- B cells and CD56- NK cells measured by mean fluorescent intensity (MFI)</w:t>
      </w:r>
    </w:p>
    <w:p w:rsidR="0041602D" w:rsidRPr="00886EED" w:rsidRDefault="0041602D" w:rsidP="0041602D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 w:rsidRPr="00886EED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Table S7</w:t>
      </w:r>
      <w:r w:rsidRPr="00886EE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886EED">
        <w:rPr>
          <w:rFonts w:ascii="Times New Roman" w:eastAsia="Times New Roman" w:hAnsi="Times New Roman" w:cs="Times New Roman"/>
          <w:sz w:val="20"/>
          <w:szCs w:val="20"/>
          <w:lang w:val="en-US"/>
        </w:rPr>
        <w:br/>
      </w:r>
      <w:r w:rsidRPr="00886EED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High-confidence protein-protein interactions of IL2RG</w:t>
      </w:r>
    </w:p>
    <w:p w:rsidR="0041602D" w:rsidRPr="00886EED" w:rsidRDefault="0041602D" w:rsidP="0041602D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886EED">
        <w:rPr>
          <w:rFonts w:ascii="Times New Roman" w:eastAsia="Times New Roman" w:hAnsi="Times New Roman" w:cs="Times New Roman"/>
          <w:sz w:val="20"/>
          <w:szCs w:val="20"/>
          <w:lang w:val="en-US"/>
        </w:rPr>
        <w:t>Bait normalized Bio-ID results. The high-confidence protein-protein interactions of WT and P58S-mutant IL2RG. The bait normalized relative protein abundances (% to the IL2RG) were calculated from the spectral counts. The MS-interactome data was filtered against GFP controls</w:t>
      </w:r>
    </w:p>
    <w:p w:rsidR="0041602D" w:rsidRPr="00886EED" w:rsidRDefault="0041602D" w:rsidP="0041602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 w:eastAsia="fi-FI"/>
        </w:rPr>
      </w:pPr>
      <w:r w:rsidRPr="00886EED">
        <w:rPr>
          <w:rFonts w:ascii="Times New Roman" w:hAnsi="Times New Roman" w:cs="Times New Roman"/>
          <w:b/>
          <w:sz w:val="20"/>
          <w:szCs w:val="20"/>
          <w:lang w:val="en-US" w:eastAsia="fi-FI"/>
        </w:rPr>
        <w:t>Table S8</w:t>
      </w:r>
    </w:p>
    <w:p w:rsidR="0041602D" w:rsidRDefault="0041602D" w:rsidP="0041602D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  <w:lang w:val="en-US" w:eastAsia="fi-FI"/>
        </w:rPr>
      </w:pPr>
      <w:r w:rsidRPr="00886EED">
        <w:rPr>
          <w:rFonts w:ascii="Times New Roman" w:hAnsi="Times New Roman" w:cs="Times New Roman"/>
          <w:b/>
          <w:bCs/>
          <w:sz w:val="20"/>
          <w:szCs w:val="20"/>
          <w:lang w:val="en-US" w:eastAsia="fi-FI"/>
        </w:rPr>
        <w:t>Immunological characteristics of patient identified by SCID screening</w:t>
      </w:r>
    </w:p>
    <w:p w:rsidR="00286FF1" w:rsidRPr="00B07580" w:rsidRDefault="00286FF1">
      <w:pPr>
        <w:rPr>
          <w:lang w:val="en-US"/>
        </w:rPr>
      </w:pPr>
    </w:p>
    <w:sectPr w:rsidR="00286FF1" w:rsidRPr="00B075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2D"/>
    <w:rsid w:val="00286FF1"/>
    <w:rsid w:val="0041602D"/>
    <w:rsid w:val="00534BA5"/>
    <w:rsid w:val="00B07580"/>
    <w:rsid w:val="00EE4821"/>
    <w:rsid w:val="00FC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36F712"/>
  <w15:docId w15:val="{A70E55AB-9101-C048-A630-97CDE47E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602D"/>
    <w:rPr>
      <w:rFonts w:eastAsiaTheme="minorEastAsia"/>
      <w:sz w:val="21"/>
      <w:szCs w:val="21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160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OE77</dc:creator>
  <cp:lastModifiedBy>Juha Gronholm</cp:lastModifiedBy>
  <cp:revision>4</cp:revision>
  <dcterms:created xsi:type="dcterms:W3CDTF">2020-02-07T04:38:00Z</dcterms:created>
  <dcterms:modified xsi:type="dcterms:W3CDTF">2020-02-07T04:39:00Z</dcterms:modified>
</cp:coreProperties>
</file>