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9D3FD" w14:textId="0009C8F8" w:rsidR="008A442D" w:rsidRPr="000E3D3A" w:rsidRDefault="001C4FE6" w:rsidP="006363F6">
      <w:pPr>
        <w:spacing w:line="276" w:lineRule="auto"/>
        <w:rPr>
          <w:rFonts w:ascii="Times New Roman" w:hAnsi="Times New Roman" w:cs="Times New Roman"/>
          <w:b/>
          <w:color w:val="000000" w:themeColor="text1"/>
          <w:sz w:val="20"/>
          <w:szCs w:val="20"/>
        </w:rPr>
      </w:pPr>
      <w:r w:rsidRPr="000E3D3A">
        <w:rPr>
          <w:rFonts w:ascii="Times New Roman" w:hAnsi="Times New Roman" w:cs="Times New Roman"/>
          <w:b/>
          <w:color w:val="000000" w:themeColor="text1"/>
          <w:sz w:val="20"/>
          <w:szCs w:val="20"/>
        </w:rPr>
        <w:t xml:space="preserve">Copy number analysis </w:t>
      </w:r>
      <w:r w:rsidR="00D96DBB" w:rsidRPr="000E3D3A">
        <w:rPr>
          <w:rFonts w:ascii="Times New Roman" w:hAnsi="Times New Roman" w:cs="Times New Roman"/>
          <w:b/>
          <w:color w:val="000000" w:themeColor="text1"/>
          <w:sz w:val="20"/>
          <w:szCs w:val="20"/>
        </w:rPr>
        <w:t xml:space="preserve">in a large cohort </w:t>
      </w:r>
      <w:r w:rsidR="003E3AD0" w:rsidRPr="000E3D3A">
        <w:rPr>
          <w:rFonts w:ascii="Times New Roman" w:hAnsi="Times New Roman" w:cs="Times New Roman"/>
          <w:b/>
          <w:color w:val="000000" w:themeColor="text1"/>
          <w:sz w:val="20"/>
          <w:szCs w:val="20"/>
        </w:rPr>
        <w:t xml:space="preserve">suggestive </w:t>
      </w:r>
      <w:r w:rsidR="00D96DBB" w:rsidRPr="000E3D3A">
        <w:rPr>
          <w:rFonts w:ascii="Times New Roman" w:hAnsi="Times New Roman" w:cs="Times New Roman"/>
          <w:b/>
          <w:color w:val="000000" w:themeColor="text1"/>
          <w:sz w:val="20"/>
          <w:szCs w:val="20"/>
        </w:rPr>
        <w:t xml:space="preserve">of inborn errors of immunity </w:t>
      </w:r>
      <w:r w:rsidRPr="000E3D3A">
        <w:rPr>
          <w:rFonts w:ascii="Times New Roman" w:hAnsi="Times New Roman" w:cs="Times New Roman"/>
          <w:b/>
          <w:color w:val="000000" w:themeColor="text1"/>
          <w:sz w:val="20"/>
          <w:szCs w:val="20"/>
        </w:rPr>
        <w:t xml:space="preserve">indicates </w:t>
      </w:r>
      <w:r w:rsidR="00D96DBB" w:rsidRPr="000E3D3A">
        <w:rPr>
          <w:rFonts w:ascii="Times New Roman" w:hAnsi="Times New Roman" w:cs="Times New Roman"/>
          <w:b/>
          <w:color w:val="000000" w:themeColor="text1"/>
          <w:sz w:val="20"/>
          <w:szCs w:val="20"/>
        </w:rPr>
        <w:t>a wide spectrum of relevant chromosomal losses and gains</w:t>
      </w:r>
      <w:r w:rsidR="008A442D" w:rsidRPr="000E3D3A">
        <w:rPr>
          <w:rFonts w:ascii="Times New Roman" w:hAnsi="Times New Roman" w:cs="Times New Roman"/>
          <w:b/>
          <w:color w:val="000000" w:themeColor="text1"/>
          <w:sz w:val="20"/>
          <w:szCs w:val="20"/>
        </w:rPr>
        <w:t xml:space="preserve"> </w:t>
      </w:r>
    </w:p>
    <w:p w14:paraId="76664655" w14:textId="6120C2E5" w:rsidR="008A442D" w:rsidRPr="000E3D3A" w:rsidRDefault="008A442D" w:rsidP="006363F6">
      <w:pPr>
        <w:spacing w:line="276" w:lineRule="auto"/>
        <w:rPr>
          <w:rFonts w:ascii="Times New Roman" w:hAnsi="Times New Roman" w:cs="Times New Roman"/>
          <w:b/>
          <w:sz w:val="20"/>
          <w:szCs w:val="20"/>
        </w:rPr>
      </w:pPr>
    </w:p>
    <w:p w14:paraId="72B065ED" w14:textId="77777777" w:rsidR="00DA5696" w:rsidRPr="000E3D3A" w:rsidRDefault="00DA5696" w:rsidP="00DA5696">
      <w:pPr>
        <w:spacing w:line="276" w:lineRule="auto"/>
        <w:jc w:val="both"/>
        <w:rPr>
          <w:rFonts w:ascii="Times New Roman" w:hAnsi="Times New Roman" w:cs="Times New Roman"/>
          <w:sz w:val="20"/>
          <w:szCs w:val="20"/>
          <w:vertAlign w:val="superscript"/>
        </w:rPr>
      </w:pPr>
      <w:r w:rsidRPr="000E3D3A">
        <w:rPr>
          <w:rFonts w:ascii="Times New Roman" w:hAnsi="Times New Roman" w:cs="Times New Roman"/>
          <w:sz w:val="20"/>
          <w:szCs w:val="20"/>
        </w:rPr>
        <w:t>Rensheng Wan</w:t>
      </w:r>
      <w:r w:rsidRPr="000E3D3A">
        <w:rPr>
          <w:rFonts w:ascii="Times New Roman" w:hAnsi="Times New Roman" w:cs="Times New Roman"/>
          <w:sz w:val="20"/>
          <w:szCs w:val="20"/>
          <w:vertAlign w:val="superscript"/>
        </w:rPr>
        <w:t>1,*</w:t>
      </w:r>
      <w:r w:rsidRPr="000E3D3A">
        <w:rPr>
          <w:rFonts w:ascii="Times New Roman" w:hAnsi="Times New Roman" w:cs="Times New Roman"/>
          <w:sz w:val="20"/>
          <w:szCs w:val="20"/>
        </w:rPr>
        <w:t>, Maximilian Schieck</w:t>
      </w:r>
      <w:r w:rsidRPr="000E3D3A">
        <w:rPr>
          <w:rFonts w:ascii="Times New Roman" w:hAnsi="Times New Roman" w:cs="Times New Roman"/>
          <w:sz w:val="20"/>
          <w:szCs w:val="20"/>
          <w:vertAlign w:val="superscript"/>
        </w:rPr>
        <w:t>1,2*</w:t>
      </w:r>
      <w:r w:rsidRPr="000E3D3A">
        <w:rPr>
          <w:rFonts w:ascii="Times New Roman" w:hAnsi="Times New Roman" w:cs="Times New Roman"/>
          <w:sz w:val="20"/>
          <w:szCs w:val="20"/>
        </w:rPr>
        <w:t>, Andrés Caballero-Oteyza</w:t>
      </w:r>
      <w:r w:rsidRPr="000E3D3A">
        <w:rPr>
          <w:rFonts w:ascii="Times New Roman" w:hAnsi="Times New Roman" w:cs="Times New Roman"/>
          <w:sz w:val="20"/>
          <w:szCs w:val="20"/>
          <w:vertAlign w:val="superscript"/>
        </w:rPr>
        <w:t>3</w:t>
      </w:r>
      <w:r w:rsidRPr="000E3D3A">
        <w:rPr>
          <w:rFonts w:ascii="Times New Roman" w:hAnsi="Times New Roman" w:cs="Times New Roman"/>
          <w:sz w:val="20"/>
          <w:szCs w:val="20"/>
        </w:rPr>
        <w:t>, Winfried Hofmann</w:t>
      </w:r>
      <w:r w:rsidRPr="000E3D3A">
        <w:rPr>
          <w:rFonts w:ascii="Times New Roman" w:hAnsi="Times New Roman" w:cs="Times New Roman"/>
          <w:sz w:val="20"/>
          <w:szCs w:val="20"/>
          <w:vertAlign w:val="superscript"/>
        </w:rPr>
        <w:t>1</w:t>
      </w:r>
      <w:r w:rsidRPr="000E3D3A">
        <w:rPr>
          <w:rFonts w:ascii="Times New Roman" w:hAnsi="Times New Roman" w:cs="Times New Roman"/>
          <w:sz w:val="20"/>
          <w:szCs w:val="20"/>
        </w:rPr>
        <w:t>, Alexis Virgil Cochino</w:t>
      </w:r>
      <w:r w:rsidRPr="000E3D3A">
        <w:rPr>
          <w:rFonts w:ascii="Times New Roman" w:hAnsi="Times New Roman" w:cs="Times New Roman"/>
          <w:sz w:val="20"/>
          <w:szCs w:val="20"/>
          <w:vertAlign w:val="superscript"/>
        </w:rPr>
        <w:t>4</w:t>
      </w:r>
      <w:r w:rsidRPr="000E3D3A">
        <w:rPr>
          <w:rFonts w:ascii="Times New Roman" w:hAnsi="Times New Roman" w:cs="Times New Roman"/>
          <w:sz w:val="20"/>
          <w:szCs w:val="20"/>
        </w:rPr>
        <w:t>, Anna Shcherbina</w:t>
      </w:r>
      <w:r w:rsidRPr="000E3D3A">
        <w:rPr>
          <w:rFonts w:ascii="Times New Roman" w:hAnsi="Times New Roman" w:cs="Times New Roman"/>
          <w:sz w:val="20"/>
          <w:szCs w:val="20"/>
          <w:vertAlign w:val="superscript"/>
        </w:rPr>
        <w:t>5</w:t>
      </w:r>
      <w:r w:rsidRPr="000E3D3A">
        <w:rPr>
          <w:rFonts w:ascii="Times New Roman" w:hAnsi="Times New Roman" w:cs="Times New Roman"/>
          <w:sz w:val="20"/>
          <w:szCs w:val="20"/>
        </w:rPr>
        <w:t>, Roya Sherkat</w:t>
      </w:r>
      <w:r w:rsidRPr="000E3D3A">
        <w:rPr>
          <w:rFonts w:ascii="Times New Roman" w:hAnsi="Times New Roman" w:cs="Times New Roman"/>
          <w:sz w:val="20"/>
          <w:szCs w:val="20"/>
          <w:vertAlign w:val="superscript"/>
        </w:rPr>
        <w:t>6</w:t>
      </w:r>
      <w:r w:rsidRPr="000E3D3A">
        <w:rPr>
          <w:rFonts w:ascii="Times New Roman" w:hAnsi="Times New Roman" w:cs="Times New Roman"/>
          <w:sz w:val="20"/>
          <w:szCs w:val="20"/>
        </w:rPr>
        <w:t>, Clarisse Wache-Mainier</w:t>
      </w:r>
      <w:r w:rsidRPr="000E3D3A">
        <w:rPr>
          <w:rFonts w:ascii="Times New Roman" w:hAnsi="Times New Roman" w:cs="Times New Roman"/>
          <w:sz w:val="20"/>
          <w:szCs w:val="20"/>
          <w:vertAlign w:val="superscript"/>
        </w:rPr>
        <w:t>7</w:t>
      </w:r>
      <w:r w:rsidRPr="000E3D3A">
        <w:rPr>
          <w:rFonts w:ascii="Times New Roman" w:hAnsi="Times New Roman" w:cs="Times New Roman"/>
          <w:sz w:val="20"/>
          <w:szCs w:val="20"/>
        </w:rPr>
        <w:t>, Anita Fernandez</w:t>
      </w:r>
      <w:r w:rsidRPr="000E3D3A">
        <w:rPr>
          <w:rFonts w:ascii="Times New Roman" w:hAnsi="Times New Roman" w:cs="Times New Roman"/>
          <w:sz w:val="20"/>
          <w:szCs w:val="20"/>
          <w:vertAlign w:val="superscript"/>
        </w:rPr>
        <w:t>7</w:t>
      </w:r>
      <w:r w:rsidRPr="000E3D3A">
        <w:rPr>
          <w:rFonts w:ascii="Times New Roman" w:hAnsi="Times New Roman" w:cs="Times New Roman"/>
          <w:sz w:val="20"/>
          <w:szCs w:val="20"/>
        </w:rPr>
        <w:t>, Marc Sultan</w:t>
      </w:r>
      <w:r w:rsidRPr="000E3D3A">
        <w:rPr>
          <w:rFonts w:ascii="Times New Roman" w:hAnsi="Times New Roman" w:cs="Times New Roman"/>
          <w:sz w:val="20"/>
          <w:szCs w:val="20"/>
          <w:vertAlign w:val="superscript"/>
        </w:rPr>
        <w:t>7</w:t>
      </w:r>
      <w:r w:rsidRPr="000E3D3A">
        <w:rPr>
          <w:rFonts w:ascii="Times New Roman" w:hAnsi="Times New Roman" w:cs="Times New Roman"/>
          <w:sz w:val="20"/>
          <w:szCs w:val="20"/>
        </w:rPr>
        <w:t>, Thomas Illig</w:t>
      </w:r>
      <w:r w:rsidRPr="000E3D3A">
        <w:rPr>
          <w:rFonts w:ascii="Times New Roman" w:hAnsi="Times New Roman" w:cs="Times New Roman"/>
          <w:sz w:val="20"/>
          <w:szCs w:val="20"/>
          <w:vertAlign w:val="superscript"/>
        </w:rPr>
        <w:t>1,2,8</w:t>
      </w:r>
      <w:r w:rsidRPr="000E3D3A">
        <w:rPr>
          <w:rFonts w:ascii="Times New Roman" w:hAnsi="Times New Roman" w:cs="Times New Roman"/>
          <w:sz w:val="20"/>
          <w:szCs w:val="20"/>
        </w:rPr>
        <w:t>, Bodo Grimbacher</w:t>
      </w:r>
      <w:r w:rsidRPr="000E3D3A">
        <w:rPr>
          <w:rFonts w:ascii="Times New Roman" w:hAnsi="Times New Roman" w:cs="Times New Roman"/>
          <w:sz w:val="20"/>
          <w:szCs w:val="20"/>
          <w:vertAlign w:val="superscript"/>
        </w:rPr>
        <w:t>2,3,9,10,11#</w:t>
      </w:r>
      <w:r w:rsidRPr="000E3D3A">
        <w:rPr>
          <w:rFonts w:ascii="Times New Roman" w:hAnsi="Times New Roman" w:cs="Times New Roman"/>
          <w:sz w:val="20"/>
          <w:szCs w:val="20"/>
        </w:rPr>
        <w:t>, Michele Proietti</w:t>
      </w:r>
      <w:r w:rsidRPr="000E3D3A">
        <w:rPr>
          <w:rFonts w:ascii="Times New Roman" w:hAnsi="Times New Roman" w:cs="Times New Roman"/>
          <w:sz w:val="20"/>
          <w:szCs w:val="20"/>
          <w:vertAlign w:val="superscript"/>
        </w:rPr>
        <w:t>2,3,12#</w:t>
      </w:r>
      <w:r w:rsidRPr="000E3D3A">
        <w:rPr>
          <w:rFonts w:ascii="Times New Roman" w:hAnsi="Times New Roman" w:cs="Times New Roman"/>
          <w:sz w:val="20"/>
          <w:szCs w:val="20"/>
        </w:rPr>
        <w:t>, Doris Steinemann</w:t>
      </w:r>
      <w:r w:rsidRPr="000E3D3A">
        <w:rPr>
          <w:rFonts w:ascii="Times New Roman" w:hAnsi="Times New Roman" w:cs="Times New Roman"/>
          <w:sz w:val="20"/>
          <w:szCs w:val="20"/>
          <w:vertAlign w:val="superscript"/>
        </w:rPr>
        <w:t>1,2#</w:t>
      </w:r>
      <w:r w:rsidRPr="000E3D3A">
        <w:rPr>
          <w:rFonts w:ascii="Times New Roman" w:hAnsi="Times New Roman" w:cs="Times New Roman"/>
          <w:sz w:val="20"/>
          <w:szCs w:val="20"/>
        </w:rPr>
        <w:t xml:space="preserve"> </w:t>
      </w:r>
    </w:p>
    <w:p w14:paraId="744328C9" w14:textId="77777777" w:rsidR="00DA5696" w:rsidRPr="000E3D3A" w:rsidRDefault="00DA5696" w:rsidP="00DA5696">
      <w:pPr>
        <w:spacing w:line="276" w:lineRule="auto"/>
        <w:jc w:val="both"/>
        <w:rPr>
          <w:rFonts w:ascii="Times New Roman" w:hAnsi="Times New Roman" w:cs="Times New Roman"/>
          <w:sz w:val="20"/>
          <w:szCs w:val="20"/>
        </w:rPr>
      </w:pPr>
    </w:p>
    <w:p w14:paraId="4F80923E" w14:textId="77777777" w:rsidR="00DA5696" w:rsidRPr="000E3D3A" w:rsidRDefault="00DA5696" w:rsidP="00DA5696">
      <w:pPr>
        <w:spacing w:line="276" w:lineRule="auto"/>
        <w:jc w:val="both"/>
        <w:rPr>
          <w:rFonts w:ascii="Times New Roman" w:hAnsi="Times New Roman" w:cs="Times New Roman"/>
          <w:sz w:val="20"/>
          <w:szCs w:val="20"/>
        </w:rPr>
      </w:pPr>
      <w:r w:rsidRPr="000E3D3A">
        <w:rPr>
          <w:rFonts w:ascii="Times New Roman" w:hAnsi="Times New Roman" w:cs="Times New Roman"/>
          <w:sz w:val="20"/>
          <w:szCs w:val="20"/>
          <w:vertAlign w:val="superscript"/>
        </w:rPr>
        <w:t>1</w:t>
      </w:r>
      <w:r w:rsidRPr="000E3D3A">
        <w:rPr>
          <w:rFonts w:ascii="Times New Roman" w:hAnsi="Times New Roman" w:cs="Times New Roman"/>
          <w:sz w:val="20"/>
          <w:szCs w:val="20"/>
        </w:rPr>
        <w:t xml:space="preserve"> Department of Human Genetics, Hannover Medical School, Hannover, Germany</w:t>
      </w:r>
    </w:p>
    <w:p w14:paraId="12772BAB"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2</w:t>
      </w:r>
      <w:r w:rsidRPr="000E3D3A">
        <w:rPr>
          <w:rFonts w:ascii="Times New Roman" w:hAnsi="Times New Roman" w:cs="Times New Roman"/>
          <w:sz w:val="20"/>
          <w:szCs w:val="20"/>
        </w:rPr>
        <w:t xml:space="preserve"> RESIST-Cluster of Excellence 2155, Hannover Medical School, Hannover, Germany</w:t>
      </w:r>
    </w:p>
    <w:p w14:paraId="00D2FC1E"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3</w:t>
      </w:r>
      <w:r w:rsidRPr="000E3D3A">
        <w:rPr>
          <w:rFonts w:ascii="Times New Roman" w:hAnsi="Times New Roman" w:cs="Times New Roman"/>
          <w:sz w:val="20"/>
          <w:szCs w:val="20"/>
        </w:rPr>
        <w:t xml:space="preserve"> Institute for Immunodeficiency, Center for Chronic Immunodeficiency, Medical Center, Faculty of Medicine, Albert-Ludwigs-University, Freiburg, Germany</w:t>
      </w:r>
    </w:p>
    <w:p w14:paraId="391EB8D5" w14:textId="77777777" w:rsidR="00DA5696" w:rsidRPr="000E3D3A" w:rsidRDefault="00DA5696" w:rsidP="00DA5696">
      <w:pPr>
        <w:spacing w:line="276" w:lineRule="auto"/>
        <w:jc w:val="both"/>
        <w:rPr>
          <w:rFonts w:ascii="Times New Roman" w:hAnsi="Times New Roman" w:cs="Times New Roman"/>
          <w:sz w:val="20"/>
          <w:szCs w:val="20"/>
        </w:rPr>
      </w:pPr>
      <w:r w:rsidRPr="000E3D3A">
        <w:rPr>
          <w:rFonts w:ascii="Times New Roman" w:hAnsi="Times New Roman" w:cs="Times New Roman"/>
          <w:sz w:val="20"/>
          <w:szCs w:val="20"/>
          <w:vertAlign w:val="superscript"/>
        </w:rPr>
        <w:t>4</w:t>
      </w:r>
      <w:r w:rsidRPr="000E3D3A">
        <w:rPr>
          <w:rFonts w:ascii="Times New Roman" w:hAnsi="Times New Roman" w:cs="Times New Roman"/>
          <w:sz w:val="20"/>
          <w:szCs w:val="20"/>
        </w:rPr>
        <w:t xml:space="preserve"> Institute for Mother and Child Health, Bucharest, Romania</w:t>
      </w:r>
    </w:p>
    <w:p w14:paraId="6AA5841E" w14:textId="77777777" w:rsidR="00DA5696" w:rsidRPr="000E3D3A" w:rsidRDefault="00DA5696" w:rsidP="00DA5696">
      <w:pPr>
        <w:spacing w:line="276" w:lineRule="auto"/>
        <w:jc w:val="both"/>
        <w:rPr>
          <w:rFonts w:ascii="Times New Roman" w:hAnsi="Times New Roman" w:cs="Times New Roman"/>
          <w:sz w:val="20"/>
          <w:szCs w:val="20"/>
        </w:rPr>
      </w:pPr>
      <w:r w:rsidRPr="000E3D3A">
        <w:rPr>
          <w:rFonts w:ascii="Times New Roman" w:hAnsi="Times New Roman" w:cs="Times New Roman"/>
          <w:sz w:val="20"/>
          <w:szCs w:val="20"/>
          <w:vertAlign w:val="superscript"/>
        </w:rPr>
        <w:t>5</w:t>
      </w:r>
      <w:r w:rsidRPr="000E3D3A">
        <w:rPr>
          <w:rFonts w:ascii="Times New Roman" w:hAnsi="Times New Roman" w:cs="Times New Roman"/>
          <w:sz w:val="20"/>
          <w:szCs w:val="20"/>
        </w:rPr>
        <w:t xml:space="preserve"> Dmitry Rogachev National Medical and Research Center for Pediatric Hematology, Oncology, Immunology, Moscow, Russia</w:t>
      </w:r>
    </w:p>
    <w:p w14:paraId="6ACA55CD" w14:textId="77777777" w:rsidR="00DA5696" w:rsidRPr="000E3D3A" w:rsidRDefault="00DA5696" w:rsidP="00DA5696">
      <w:pPr>
        <w:spacing w:line="276" w:lineRule="auto"/>
        <w:jc w:val="both"/>
        <w:rPr>
          <w:rFonts w:ascii="Times New Roman" w:hAnsi="Times New Roman" w:cs="Times New Roman"/>
          <w:sz w:val="20"/>
          <w:szCs w:val="20"/>
        </w:rPr>
      </w:pPr>
      <w:r w:rsidRPr="000E3D3A">
        <w:rPr>
          <w:rFonts w:ascii="Times New Roman" w:hAnsi="Times New Roman" w:cs="Times New Roman"/>
          <w:sz w:val="20"/>
          <w:szCs w:val="20"/>
          <w:vertAlign w:val="superscript"/>
        </w:rPr>
        <w:t>6</w:t>
      </w:r>
      <w:r w:rsidRPr="000E3D3A">
        <w:rPr>
          <w:rFonts w:ascii="Times New Roman" w:hAnsi="Times New Roman" w:cs="Times New Roman"/>
          <w:sz w:val="20"/>
          <w:szCs w:val="20"/>
        </w:rPr>
        <w:t xml:space="preserve"> Acquired Immunodeficiency Research Center, Isfahan University of Medical Sciences, Isfahan, Iran</w:t>
      </w:r>
    </w:p>
    <w:p w14:paraId="6F4A90AE"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 xml:space="preserve">7 </w:t>
      </w:r>
      <w:r w:rsidRPr="000E3D3A">
        <w:rPr>
          <w:rFonts w:ascii="Times New Roman" w:hAnsi="Times New Roman" w:cs="Times New Roman"/>
          <w:sz w:val="20"/>
          <w:szCs w:val="20"/>
        </w:rPr>
        <w:t>Novartis Institutes for BioMedical Research, Novartis Pharma AG, Basel, Switzerland</w:t>
      </w:r>
    </w:p>
    <w:p w14:paraId="1A9D631E"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8</w:t>
      </w:r>
      <w:r w:rsidRPr="000E3D3A">
        <w:rPr>
          <w:rFonts w:ascii="Times New Roman" w:hAnsi="Times New Roman" w:cs="Times New Roman"/>
          <w:sz w:val="20"/>
          <w:szCs w:val="20"/>
        </w:rPr>
        <w:t xml:space="preserve"> Hannover Unified Biobank, Hannover Medical School, Hannover, Germany</w:t>
      </w:r>
    </w:p>
    <w:p w14:paraId="22F02BC6"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2"/>
          <w:szCs w:val="22"/>
          <w:vertAlign w:val="superscript"/>
        </w:rPr>
        <w:t>9</w:t>
      </w:r>
      <w:r w:rsidRPr="000E3D3A">
        <w:rPr>
          <w:rFonts w:ascii="Times New Roman" w:hAnsi="Times New Roman" w:cs="Times New Roman"/>
          <w:sz w:val="20"/>
          <w:szCs w:val="20"/>
        </w:rPr>
        <w:t xml:space="preserve"> Clinic for Rheumatology and Clinical Immunology, Center for Chronic Immunodeficiency (CCI), Medical Center, Faculty of Medicine, Albert-Ludwigs-University of Freiburg, Germany</w:t>
      </w:r>
    </w:p>
    <w:p w14:paraId="72CC1568"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10</w:t>
      </w:r>
      <w:r w:rsidRPr="000E3D3A">
        <w:rPr>
          <w:rFonts w:ascii="Times New Roman" w:hAnsi="Times New Roman" w:cs="Times New Roman"/>
          <w:sz w:val="20"/>
          <w:szCs w:val="20"/>
        </w:rPr>
        <w:t xml:space="preserve"> DZIF – German Center for Infection Research, Satellite Center Freiburg, Germany</w:t>
      </w:r>
    </w:p>
    <w:p w14:paraId="1A5E25C1"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11</w:t>
      </w:r>
      <w:r w:rsidRPr="000E3D3A">
        <w:rPr>
          <w:rFonts w:ascii="Times New Roman" w:hAnsi="Times New Roman" w:cs="Times New Roman"/>
          <w:sz w:val="20"/>
          <w:szCs w:val="20"/>
        </w:rPr>
        <w:t xml:space="preserve"> CIBSS – Centre for Integrative Biological Signalling Studies, Albert-Ludwigs University, Freiburg, Germany</w:t>
      </w:r>
    </w:p>
    <w:p w14:paraId="28DB110A"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12</w:t>
      </w:r>
      <w:r w:rsidRPr="000E3D3A">
        <w:rPr>
          <w:rFonts w:ascii="Times New Roman" w:hAnsi="Times New Roman" w:cs="Times New Roman"/>
          <w:sz w:val="20"/>
          <w:szCs w:val="20"/>
        </w:rPr>
        <w:t xml:space="preserve"> Department of Rheumatology and Clinical Immunology,</w:t>
      </w:r>
      <w:r w:rsidRPr="000E3D3A">
        <w:rPr>
          <w:rFonts w:cs="Calibri"/>
          <w:color w:val="FF0000"/>
        </w:rPr>
        <w:t xml:space="preserve"> </w:t>
      </w:r>
      <w:r w:rsidRPr="000E3D3A">
        <w:rPr>
          <w:rFonts w:ascii="Times New Roman" w:hAnsi="Times New Roman" w:cs="Times New Roman"/>
          <w:sz w:val="20"/>
          <w:szCs w:val="20"/>
        </w:rPr>
        <w:t>Hannover Medical School, Hannover, Germany</w:t>
      </w:r>
    </w:p>
    <w:p w14:paraId="772981C0" w14:textId="77777777" w:rsidR="00DA5696" w:rsidRPr="000E3D3A" w:rsidRDefault="00DA5696" w:rsidP="00DA5696">
      <w:pPr>
        <w:spacing w:line="276" w:lineRule="auto"/>
        <w:rPr>
          <w:rFonts w:ascii="Times New Roman" w:hAnsi="Times New Roman" w:cs="Times New Roman"/>
          <w:sz w:val="20"/>
          <w:szCs w:val="20"/>
        </w:rPr>
      </w:pPr>
      <w:r w:rsidRPr="000E3D3A">
        <w:rPr>
          <w:rFonts w:ascii="Times New Roman" w:hAnsi="Times New Roman" w:cs="Times New Roman"/>
          <w:sz w:val="20"/>
          <w:szCs w:val="20"/>
          <w:vertAlign w:val="superscript"/>
        </w:rPr>
        <w:t>*</w:t>
      </w:r>
      <w:r w:rsidRPr="000E3D3A">
        <w:rPr>
          <w:rFonts w:ascii="Times New Roman" w:hAnsi="Times New Roman" w:cs="Times New Roman"/>
          <w:sz w:val="20"/>
          <w:szCs w:val="20"/>
        </w:rPr>
        <w:t xml:space="preserve"> and </w:t>
      </w:r>
      <w:r w:rsidRPr="000E3D3A">
        <w:rPr>
          <w:rFonts w:ascii="Times New Roman" w:hAnsi="Times New Roman" w:cs="Times New Roman"/>
          <w:sz w:val="20"/>
          <w:szCs w:val="20"/>
          <w:vertAlign w:val="superscript"/>
        </w:rPr>
        <w:t>#</w:t>
      </w:r>
      <w:r w:rsidRPr="000E3D3A">
        <w:rPr>
          <w:rFonts w:ascii="Times New Roman" w:hAnsi="Times New Roman" w:cs="Times New Roman"/>
          <w:sz w:val="20"/>
          <w:szCs w:val="20"/>
        </w:rPr>
        <w:t xml:space="preserve"> equal contribution</w:t>
      </w:r>
    </w:p>
    <w:p w14:paraId="435C2AF4" w14:textId="078E7723" w:rsidR="00852D9C" w:rsidRPr="000E3D3A" w:rsidRDefault="00852D9C" w:rsidP="00500AC8">
      <w:pPr>
        <w:spacing w:line="360" w:lineRule="auto"/>
        <w:jc w:val="both"/>
        <w:rPr>
          <w:rFonts w:ascii="Times New Roman" w:hAnsi="Times New Roman" w:cs="Times New Roman"/>
          <w:sz w:val="20"/>
          <w:szCs w:val="20"/>
        </w:rPr>
      </w:pPr>
    </w:p>
    <w:p w14:paraId="1E67270B" w14:textId="50C2B36D" w:rsidR="00852D9C" w:rsidRPr="000E3D3A" w:rsidRDefault="00852D9C" w:rsidP="00852D9C">
      <w:pPr>
        <w:spacing w:line="360" w:lineRule="auto"/>
        <w:rPr>
          <w:rFonts w:ascii="Times New Roman" w:hAnsi="Times New Roman" w:cs="Times New Roman"/>
          <w:b/>
          <w:sz w:val="20"/>
          <w:szCs w:val="20"/>
        </w:rPr>
      </w:pPr>
      <w:r w:rsidRPr="000E3D3A">
        <w:rPr>
          <w:rFonts w:ascii="Times New Roman" w:hAnsi="Times New Roman" w:cs="Times New Roman"/>
          <w:b/>
          <w:sz w:val="20"/>
          <w:szCs w:val="20"/>
        </w:rPr>
        <w:t>ONLINE SUPPLEMENT</w:t>
      </w:r>
    </w:p>
    <w:p w14:paraId="383C6CCF" w14:textId="762579ED" w:rsidR="008A12FA" w:rsidRPr="000E3D3A" w:rsidRDefault="007A5377"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In the supplementary discussion we report and discuss </w:t>
      </w:r>
      <w:r w:rsidR="006F5A1D" w:rsidRPr="000E3D3A">
        <w:rPr>
          <w:rFonts w:ascii="Times New Roman" w:hAnsi="Times New Roman" w:cs="Times New Roman"/>
          <w:sz w:val="20"/>
          <w:szCs w:val="20"/>
        </w:rPr>
        <w:t xml:space="preserve">CNVs and SNVs </w:t>
      </w:r>
      <w:r w:rsidRPr="000E3D3A">
        <w:rPr>
          <w:rFonts w:ascii="Times New Roman" w:hAnsi="Times New Roman" w:cs="Times New Roman"/>
          <w:sz w:val="20"/>
          <w:szCs w:val="20"/>
        </w:rPr>
        <w:t xml:space="preserve">of uncertain significance (summarized in the lower part of Tab.1 “samples with uncertain molecular diagnosis”). These variants </w:t>
      </w:r>
      <w:r w:rsidR="00230BD1" w:rsidRPr="000E3D3A">
        <w:rPr>
          <w:rFonts w:ascii="Times New Roman" w:hAnsi="Times New Roman" w:cs="Times New Roman"/>
          <w:sz w:val="20"/>
          <w:szCs w:val="20"/>
        </w:rPr>
        <w:t>either</w:t>
      </w:r>
      <w:r w:rsidRPr="000E3D3A">
        <w:rPr>
          <w:rFonts w:ascii="Times New Roman" w:hAnsi="Times New Roman" w:cs="Times New Roman"/>
          <w:sz w:val="20"/>
          <w:szCs w:val="20"/>
        </w:rPr>
        <w:t xml:space="preserve"> showed</w:t>
      </w:r>
      <w:r w:rsidR="006F5A1D" w:rsidRPr="000E3D3A">
        <w:rPr>
          <w:rFonts w:ascii="Times New Roman" w:hAnsi="Times New Roman" w:cs="Times New Roman"/>
          <w:sz w:val="20"/>
          <w:szCs w:val="20"/>
        </w:rPr>
        <w:t xml:space="preserve"> less correlation to the </w:t>
      </w:r>
      <w:r w:rsidR="00852D9C" w:rsidRPr="000E3D3A">
        <w:rPr>
          <w:rFonts w:ascii="Times New Roman" w:hAnsi="Times New Roman" w:cs="Times New Roman"/>
          <w:sz w:val="20"/>
          <w:szCs w:val="20"/>
        </w:rPr>
        <w:t xml:space="preserve">clinical </w:t>
      </w:r>
      <w:r w:rsidR="006F5A1D" w:rsidRPr="000E3D3A">
        <w:rPr>
          <w:rFonts w:ascii="Times New Roman" w:hAnsi="Times New Roman" w:cs="Times New Roman"/>
          <w:sz w:val="20"/>
          <w:szCs w:val="20"/>
        </w:rPr>
        <w:t xml:space="preserve">phenotype or </w:t>
      </w:r>
      <w:r w:rsidR="00230BD1" w:rsidRPr="000E3D3A">
        <w:rPr>
          <w:rFonts w:ascii="Times New Roman" w:hAnsi="Times New Roman" w:cs="Times New Roman"/>
          <w:sz w:val="20"/>
          <w:szCs w:val="20"/>
        </w:rPr>
        <w:t>present</w:t>
      </w:r>
      <w:r w:rsidR="00852D9C" w:rsidRPr="000E3D3A">
        <w:rPr>
          <w:rFonts w:ascii="Times New Roman" w:hAnsi="Times New Roman" w:cs="Times New Roman"/>
          <w:sz w:val="20"/>
          <w:szCs w:val="20"/>
        </w:rPr>
        <w:t>ed</w:t>
      </w:r>
      <w:r w:rsidR="00230BD1" w:rsidRPr="000E3D3A">
        <w:rPr>
          <w:rFonts w:ascii="Times New Roman" w:hAnsi="Times New Roman" w:cs="Times New Roman"/>
          <w:sz w:val="20"/>
          <w:szCs w:val="20"/>
        </w:rPr>
        <w:t xml:space="preserve"> </w:t>
      </w:r>
      <w:r w:rsidR="006F5A1D" w:rsidRPr="000E3D3A">
        <w:rPr>
          <w:rFonts w:ascii="Times New Roman" w:hAnsi="Times New Roman" w:cs="Times New Roman"/>
          <w:sz w:val="20"/>
          <w:szCs w:val="20"/>
        </w:rPr>
        <w:t xml:space="preserve">a </w:t>
      </w:r>
      <w:r w:rsidR="00852D9C" w:rsidRPr="000E3D3A">
        <w:rPr>
          <w:rFonts w:ascii="Times New Roman" w:hAnsi="Times New Roman" w:cs="Times New Roman"/>
          <w:sz w:val="20"/>
          <w:szCs w:val="20"/>
        </w:rPr>
        <w:t>monoallelic</w:t>
      </w:r>
      <w:r w:rsidR="006F5A1D" w:rsidRPr="000E3D3A">
        <w:rPr>
          <w:rFonts w:ascii="Times New Roman" w:hAnsi="Times New Roman" w:cs="Times New Roman"/>
          <w:sz w:val="20"/>
          <w:szCs w:val="20"/>
        </w:rPr>
        <w:t xml:space="preserve"> event in a gene with a so far known autosomal recessive inheritance</w:t>
      </w:r>
      <w:r w:rsidR="008A12FA" w:rsidRPr="000E3D3A">
        <w:rPr>
          <w:rFonts w:ascii="Times New Roman" w:hAnsi="Times New Roman" w:cs="Times New Roman"/>
          <w:sz w:val="20"/>
          <w:szCs w:val="20"/>
        </w:rPr>
        <w:t>.</w:t>
      </w:r>
    </w:p>
    <w:p w14:paraId="33E06DDF" w14:textId="77777777" w:rsidR="008F3CB0" w:rsidRPr="000E3D3A" w:rsidRDefault="008F3CB0" w:rsidP="00500AC8">
      <w:pPr>
        <w:spacing w:line="360" w:lineRule="auto"/>
        <w:jc w:val="both"/>
        <w:rPr>
          <w:rFonts w:ascii="Times New Roman" w:hAnsi="Times New Roman" w:cs="Times New Roman"/>
          <w:b/>
          <w:sz w:val="20"/>
          <w:szCs w:val="20"/>
        </w:rPr>
      </w:pPr>
    </w:p>
    <w:p w14:paraId="5284B47B" w14:textId="508FB35A" w:rsidR="008A12FA" w:rsidRPr="000E3D3A" w:rsidRDefault="0072692C" w:rsidP="00500AC8">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t>Deletions</w:t>
      </w:r>
    </w:p>
    <w:p w14:paraId="71C60E55" w14:textId="77777777" w:rsidR="008F3CB0" w:rsidRPr="000E3D3A" w:rsidRDefault="008F3CB0" w:rsidP="008F3CB0">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Patient-058</w:t>
      </w:r>
    </w:p>
    <w:p w14:paraId="0B3AB48A" w14:textId="58296D7B" w:rsidR="008F3CB0" w:rsidRPr="000E3D3A" w:rsidRDefault="00AD3E9E"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The largest </w:t>
      </w:r>
      <w:r w:rsidR="008A12FA" w:rsidRPr="000E3D3A">
        <w:rPr>
          <w:rFonts w:ascii="Times New Roman" w:hAnsi="Times New Roman" w:cs="Times New Roman"/>
          <w:sz w:val="20"/>
          <w:szCs w:val="20"/>
        </w:rPr>
        <w:t>CNV</w:t>
      </w:r>
      <w:r w:rsidRPr="000E3D3A">
        <w:rPr>
          <w:rFonts w:ascii="Times New Roman" w:hAnsi="Times New Roman" w:cs="Times New Roman"/>
          <w:sz w:val="20"/>
          <w:szCs w:val="20"/>
        </w:rPr>
        <w:t xml:space="preserve">, a heterozygous deletion of almost 9 Mb at 11q22.1q22.3, was observed in </w:t>
      </w:r>
      <w:r w:rsidR="00195BA9" w:rsidRPr="000E3D3A">
        <w:rPr>
          <w:rFonts w:ascii="Times New Roman" w:hAnsi="Times New Roman" w:cs="Times New Roman"/>
          <w:sz w:val="20"/>
          <w:szCs w:val="20"/>
        </w:rPr>
        <w:t>patient-058</w:t>
      </w:r>
      <w:r w:rsidRPr="000E3D3A">
        <w:rPr>
          <w:rFonts w:ascii="Times New Roman" w:hAnsi="Times New Roman" w:cs="Times New Roman"/>
          <w:sz w:val="20"/>
          <w:szCs w:val="20"/>
        </w:rPr>
        <w:t xml:space="preserve">. </w:t>
      </w:r>
      <w:r w:rsidR="00B17763" w:rsidRPr="000E3D3A">
        <w:rPr>
          <w:rFonts w:ascii="Times New Roman" w:hAnsi="Times New Roman" w:cs="Times New Roman"/>
          <w:sz w:val="20"/>
          <w:szCs w:val="20"/>
        </w:rPr>
        <w:t xml:space="preserve">ACMG guidelines allow classification of this CNV as pathogenic. </w:t>
      </w:r>
      <w:r w:rsidRPr="000E3D3A">
        <w:rPr>
          <w:rFonts w:ascii="Times New Roman" w:hAnsi="Times New Roman" w:cs="Times New Roman"/>
          <w:sz w:val="20"/>
          <w:szCs w:val="20"/>
        </w:rPr>
        <w:t xml:space="preserve">According to the ClinGen database, this region harbors 48 protein-coding genes including </w:t>
      </w:r>
      <w:r w:rsidRPr="000E3D3A">
        <w:rPr>
          <w:rFonts w:ascii="Times New Roman" w:hAnsi="Times New Roman" w:cs="Times New Roman"/>
          <w:i/>
          <w:sz w:val="20"/>
          <w:szCs w:val="20"/>
        </w:rPr>
        <w:t>ATM,</w:t>
      </w:r>
      <w:r w:rsidRPr="000E3D3A">
        <w:rPr>
          <w:rFonts w:ascii="Times New Roman" w:hAnsi="Times New Roman" w:cs="Times New Roman"/>
          <w:sz w:val="20"/>
          <w:szCs w:val="20"/>
        </w:rPr>
        <w:t xml:space="preserve"> previously associated with IEI. More than half of the patients with ataxia telangiectasia carrying biallelic </w:t>
      </w:r>
      <w:r w:rsidRPr="000E3D3A">
        <w:rPr>
          <w:rFonts w:ascii="Times New Roman" w:hAnsi="Times New Roman" w:cs="Times New Roman"/>
          <w:i/>
          <w:sz w:val="20"/>
          <w:szCs w:val="20"/>
        </w:rPr>
        <w:t>ATM</w:t>
      </w:r>
      <w:r w:rsidRPr="000E3D3A">
        <w:rPr>
          <w:rFonts w:ascii="Times New Roman" w:hAnsi="Times New Roman" w:cs="Times New Roman"/>
          <w:sz w:val="20"/>
          <w:szCs w:val="20"/>
        </w:rPr>
        <w:t xml:space="preserve"> variants show a clinical history of susceptibility to infections</w:t>
      </w:r>
      <w:r w:rsidR="00031813"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[1]</w:t>
      </w:r>
      <w:r w:rsidRPr="000E3D3A">
        <w:rPr>
          <w:rFonts w:ascii="Times New Roman" w:hAnsi="Times New Roman" w:cs="Times New Roman"/>
          <w:sz w:val="20"/>
          <w:szCs w:val="20"/>
        </w:rPr>
        <w:t>.</w:t>
      </w:r>
      <w:r w:rsidRPr="000E3D3A">
        <w:t xml:space="preserve"> </w:t>
      </w:r>
      <w:r w:rsidRPr="000E3D3A">
        <w:rPr>
          <w:rFonts w:ascii="Times New Roman" w:hAnsi="Times New Roman" w:cs="Times New Roman"/>
          <w:sz w:val="20"/>
          <w:szCs w:val="20"/>
        </w:rPr>
        <w:t>In line with previous reports, clinical features of this patient include recurrent lower respiratory tract infections, and decreased IgA and IgG levels</w:t>
      </w:r>
      <w:r w:rsidR="00031813"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[2]</w:t>
      </w:r>
      <w:r w:rsidRPr="000E3D3A">
        <w:rPr>
          <w:rFonts w:ascii="Times New Roman" w:hAnsi="Times New Roman" w:cs="Times New Roman"/>
          <w:sz w:val="20"/>
          <w:szCs w:val="20"/>
        </w:rPr>
        <w:t xml:space="preserve">. However, we did not detect a </w:t>
      </w:r>
      <w:r w:rsidR="00387930" w:rsidRPr="000E3D3A">
        <w:rPr>
          <w:rFonts w:ascii="Times New Roman" w:hAnsi="Times New Roman" w:cs="Times New Roman"/>
          <w:sz w:val="20"/>
          <w:szCs w:val="20"/>
        </w:rPr>
        <w:t xml:space="preserve">second </w:t>
      </w:r>
      <w:r w:rsidRPr="000E3D3A">
        <w:rPr>
          <w:rFonts w:ascii="Times New Roman" w:hAnsi="Times New Roman" w:cs="Times New Roman"/>
          <w:sz w:val="20"/>
          <w:szCs w:val="20"/>
        </w:rPr>
        <w:t xml:space="preserve">variant (SNV nor CNV) on the </w:t>
      </w:r>
      <w:r w:rsidR="00651B09" w:rsidRPr="000E3D3A">
        <w:rPr>
          <w:rFonts w:ascii="Times New Roman" w:hAnsi="Times New Roman" w:cs="Times New Roman"/>
          <w:sz w:val="20"/>
          <w:szCs w:val="20"/>
        </w:rPr>
        <w:t xml:space="preserve">other </w:t>
      </w:r>
      <w:r w:rsidRPr="000E3D3A">
        <w:rPr>
          <w:rFonts w:ascii="Times New Roman" w:hAnsi="Times New Roman" w:cs="Times New Roman"/>
          <w:i/>
          <w:sz w:val="20"/>
          <w:szCs w:val="20"/>
        </w:rPr>
        <w:t>ATM</w:t>
      </w:r>
      <w:r w:rsidRPr="000E3D3A">
        <w:rPr>
          <w:rFonts w:ascii="Times New Roman" w:hAnsi="Times New Roman" w:cs="Times New Roman"/>
          <w:sz w:val="20"/>
          <w:szCs w:val="20"/>
        </w:rPr>
        <w:t xml:space="preserve"> allele.</w:t>
      </w:r>
      <w:r w:rsidR="004A447E" w:rsidRPr="000E3D3A">
        <w:rPr>
          <w:rFonts w:ascii="Times New Roman" w:hAnsi="Times New Roman" w:cs="Times New Roman"/>
          <w:sz w:val="20"/>
          <w:szCs w:val="20"/>
        </w:rPr>
        <w:t xml:space="preserve"> </w:t>
      </w:r>
      <w:r w:rsidR="00034A50" w:rsidRPr="000E3D3A">
        <w:rPr>
          <w:rFonts w:ascii="Times New Roman" w:hAnsi="Times New Roman" w:cs="Times New Roman"/>
          <w:sz w:val="20"/>
          <w:szCs w:val="20"/>
        </w:rPr>
        <w:t xml:space="preserve">At this point it remains unclear if </w:t>
      </w:r>
      <w:r w:rsidR="004A447E" w:rsidRPr="000E3D3A">
        <w:rPr>
          <w:rFonts w:ascii="Times New Roman" w:hAnsi="Times New Roman" w:cs="Times New Roman"/>
          <w:sz w:val="20"/>
          <w:szCs w:val="20"/>
        </w:rPr>
        <w:t>relevant variants</w:t>
      </w:r>
      <w:r w:rsidR="00034A50" w:rsidRPr="000E3D3A">
        <w:rPr>
          <w:rFonts w:ascii="Times New Roman" w:hAnsi="Times New Roman" w:cs="Times New Roman"/>
          <w:sz w:val="20"/>
          <w:szCs w:val="20"/>
        </w:rPr>
        <w:t>,</w:t>
      </w:r>
      <w:r w:rsidR="004A447E" w:rsidRPr="000E3D3A">
        <w:rPr>
          <w:rFonts w:ascii="Times New Roman" w:hAnsi="Times New Roman" w:cs="Times New Roman"/>
          <w:sz w:val="20"/>
          <w:szCs w:val="20"/>
        </w:rPr>
        <w:t xml:space="preserve"> </w:t>
      </w:r>
      <w:r w:rsidR="00034A50" w:rsidRPr="000E3D3A">
        <w:rPr>
          <w:rFonts w:ascii="Times New Roman" w:hAnsi="Times New Roman" w:cs="Times New Roman"/>
          <w:sz w:val="20"/>
          <w:szCs w:val="20"/>
        </w:rPr>
        <w:t xml:space="preserve">e.g. </w:t>
      </w:r>
      <w:r w:rsidR="004A447E" w:rsidRPr="000E3D3A">
        <w:rPr>
          <w:rFonts w:ascii="Times New Roman" w:hAnsi="Times New Roman" w:cs="Times New Roman"/>
          <w:sz w:val="20"/>
          <w:szCs w:val="20"/>
        </w:rPr>
        <w:t xml:space="preserve">in </w:t>
      </w:r>
      <w:r w:rsidRPr="000E3D3A">
        <w:rPr>
          <w:rFonts w:ascii="Times New Roman" w:hAnsi="Times New Roman" w:cs="Times New Roman"/>
          <w:sz w:val="20"/>
          <w:szCs w:val="20"/>
        </w:rPr>
        <w:t>non-coding</w:t>
      </w:r>
      <w:r w:rsidR="004A447E" w:rsidRPr="000E3D3A">
        <w:rPr>
          <w:rFonts w:ascii="Times New Roman" w:hAnsi="Times New Roman" w:cs="Times New Roman"/>
          <w:sz w:val="20"/>
          <w:szCs w:val="20"/>
        </w:rPr>
        <w:t xml:space="preserve"> </w:t>
      </w:r>
      <w:r w:rsidR="004A447E" w:rsidRPr="000E3D3A">
        <w:rPr>
          <w:rFonts w:ascii="Times New Roman" w:hAnsi="Times New Roman" w:cs="Times New Roman"/>
          <w:i/>
          <w:sz w:val="20"/>
          <w:szCs w:val="20"/>
        </w:rPr>
        <w:t>ATM</w:t>
      </w:r>
      <w:r w:rsidRPr="000E3D3A">
        <w:rPr>
          <w:rFonts w:ascii="Times New Roman" w:hAnsi="Times New Roman" w:cs="Times New Roman"/>
          <w:sz w:val="20"/>
          <w:szCs w:val="20"/>
        </w:rPr>
        <w:t xml:space="preserve"> regions</w:t>
      </w:r>
      <w:r w:rsidR="0076765B" w:rsidRPr="000E3D3A">
        <w:rPr>
          <w:rFonts w:ascii="Times New Roman" w:hAnsi="Times New Roman" w:cs="Times New Roman"/>
          <w:sz w:val="20"/>
          <w:szCs w:val="20"/>
        </w:rPr>
        <w:t>,</w:t>
      </w:r>
      <w:r w:rsidR="00034A50" w:rsidRPr="000E3D3A">
        <w:rPr>
          <w:rFonts w:ascii="Times New Roman" w:hAnsi="Times New Roman" w:cs="Times New Roman"/>
          <w:sz w:val="20"/>
          <w:szCs w:val="20"/>
        </w:rPr>
        <w:t xml:space="preserve"> are missed by our exome-based approach</w:t>
      </w:r>
      <w:r w:rsidRPr="000E3D3A">
        <w:rPr>
          <w:rFonts w:ascii="Times New Roman" w:hAnsi="Times New Roman" w:cs="Times New Roman"/>
          <w:sz w:val="20"/>
          <w:szCs w:val="20"/>
        </w:rPr>
        <w:t xml:space="preserve"> or if</w:t>
      </w:r>
      <w:r w:rsidR="0076765B" w:rsidRPr="000E3D3A">
        <w:rPr>
          <w:rFonts w:ascii="Times New Roman" w:hAnsi="Times New Roman" w:cs="Times New Roman"/>
          <w:sz w:val="20"/>
          <w:szCs w:val="20"/>
        </w:rPr>
        <w:t xml:space="preserve"> the large deletion itself has a functional effect</w:t>
      </w:r>
      <w:r w:rsidRPr="000E3D3A">
        <w:rPr>
          <w:rFonts w:ascii="Times New Roman" w:hAnsi="Times New Roman" w:cs="Times New Roman"/>
          <w:sz w:val="20"/>
          <w:szCs w:val="20"/>
        </w:rPr>
        <w:t xml:space="preserve"> </w:t>
      </w:r>
      <w:r w:rsidR="0076765B" w:rsidRPr="000E3D3A">
        <w:rPr>
          <w:rFonts w:ascii="Times New Roman" w:hAnsi="Times New Roman" w:cs="Times New Roman"/>
          <w:sz w:val="20"/>
          <w:szCs w:val="20"/>
        </w:rPr>
        <w:t>caus</w:t>
      </w:r>
      <w:r w:rsidR="004A447E" w:rsidRPr="000E3D3A">
        <w:rPr>
          <w:rFonts w:ascii="Times New Roman" w:hAnsi="Times New Roman" w:cs="Times New Roman"/>
          <w:sz w:val="20"/>
          <w:szCs w:val="20"/>
        </w:rPr>
        <w:t>ing</w:t>
      </w:r>
      <w:r w:rsidR="0076765B" w:rsidRPr="000E3D3A">
        <w:rPr>
          <w:rFonts w:ascii="Times New Roman" w:hAnsi="Times New Roman" w:cs="Times New Roman"/>
          <w:sz w:val="20"/>
          <w:szCs w:val="20"/>
        </w:rPr>
        <w:t xml:space="preserve"> </w:t>
      </w:r>
      <w:r w:rsidRPr="000E3D3A">
        <w:rPr>
          <w:rFonts w:ascii="Times New Roman" w:hAnsi="Times New Roman" w:cs="Times New Roman"/>
          <w:sz w:val="20"/>
          <w:szCs w:val="20"/>
        </w:rPr>
        <w:t>the clinical presentation, including disturbed generation of adaptive immunological diversity</w:t>
      </w:r>
      <w:r w:rsidR="00031813"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[3]</w:t>
      </w:r>
      <w:r w:rsidRPr="000E3D3A">
        <w:rPr>
          <w:rFonts w:ascii="Times New Roman" w:hAnsi="Times New Roman" w:cs="Times New Roman"/>
          <w:sz w:val="20"/>
          <w:szCs w:val="20"/>
        </w:rPr>
        <w:t>.</w:t>
      </w:r>
    </w:p>
    <w:p w14:paraId="0CB40B24" w14:textId="75EDC1E7" w:rsidR="008F3CB0" w:rsidRPr="000E3D3A" w:rsidRDefault="008F3CB0" w:rsidP="00500AC8">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Patient-122</w:t>
      </w:r>
    </w:p>
    <w:p w14:paraId="568F45C0" w14:textId="4A7F3228" w:rsidR="00AD3E9E" w:rsidRPr="000E3D3A" w:rsidRDefault="00195BA9"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Patient-122</w:t>
      </w:r>
      <w:r w:rsidR="00AD3E9E" w:rsidRPr="000E3D3A">
        <w:rPr>
          <w:rFonts w:ascii="Times New Roman" w:hAnsi="Times New Roman" w:cs="Times New Roman"/>
          <w:sz w:val="20"/>
          <w:szCs w:val="20"/>
        </w:rPr>
        <w:t xml:space="preserve"> presented a deletion of 168 kb at 16p11.2 including </w:t>
      </w:r>
      <w:r w:rsidR="00AD3E9E" w:rsidRPr="000E3D3A">
        <w:rPr>
          <w:rFonts w:ascii="Times New Roman" w:hAnsi="Times New Roman" w:cs="Times New Roman"/>
          <w:i/>
          <w:sz w:val="20"/>
          <w:szCs w:val="20"/>
        </w:rPr>
        <w:t>CD19</w:t>
      </w:r>
      <w:r w:rsidR="00AD3E9E" w:rsidRPr="000E3D3A">
        <w:rPr>
          <w:rFonts w:ascii="Times New Roman" w:hAnsi="Times New Roman" w:cs="Times New Roman"/>
          <w:sz w:val="20"/>
          <w:szCs w:val="20"/>
        </w:rPr>
        <w:t xml:space="preserve"> and </w:t>
      </w:r>
      <w:r w:rsidR="00AD3E9E" w:rsidRPr="000E3D3A">
        <w:rPr>
          <w:rFonts w:ascii="Times New Roman" w:hAnsi="Times New Roman" w:cs="Times New Roman"/>
          <w:i/>
          <w:sz w:val="20"/>
          <w:szCs w:val="20"/>
        </w:rPr>
        <w:t>LAT</w:t>
      </w:r>
      <w:r w:rsidR="00AD3E9E" w:rsidRPr="000E3D3A">
        <w:rPr>
          <w:rFonts w:ascii="Times New Roman" w:hAnsi="Times New Roman" w:cs="Times New Roman"/>
          <w:sz w:val="20"/>
          <w:szCs w:val="20"/>
        </w:rPr>
        <w:t xml:space="preserve">. For both genes an autosomal recessive inheritance in IEI has been described. Again, our analysis indicated no aberration on the second allele. The deleted region corresponds to the known chromosome 16p11.2 deletion syndrome. ClinGen reports this region as susceptible to haploinsufficiency and associated key clinical features are developmental delay and early onset obesity (dosage ID: ISCA-37486; ACMG classification “pathogenic”), which were not observed for </w:t>
      </w:r>
      <w:r w:rsidRPr="000E3D3A">
        <w:rPr>
          <w:rFonts w:ascii="Times New Roman" w:hAnsi="Times New Roman" w:cs="Times New Roman"/>
          <w:sz w:val="20"/>
          <w:szCs w:val="20"/>
        </w:rPr>
        <w:t>patient-122</w:t>
      </w:r>
      <w:r w:rsidR="00AD3E9E" w:rsidRPr="000E3D3A">
        <w:rPr>
          <w:rFonts w:ascii="Times New Roman" w:hAnsi="Times New Roman" w:cs="Times New Roman"/>
          <w:sz w:val="20"/>
          <w:szCs w:val="20"/>
        </w:rPr>
        <w:t xml:space="preserve">. </w:t>
      </w:r>
      <w:r w:rsidR="001E0BB9" w:rsidRPr="000E3D3A">
        <w:rPr>
          <w:rFonts w:ascii="Times New Roman" w:hAnsi="Times New Roman" w:cs="Times New Roman"/>
          <w:sz w:val="20"/>
          <w:szCs w:val="20"/>
        </w:rPr>
        <w:lastRenderedPageBreak/>
        <w:t xml:space="preserve">To what extent a possible haploinsufficiency of </w:t>
      </w:r>
      <w:r w:rsidR="001E0BB9" w:rsidRPr="000E3D3A">
        <w:rPr>
          <w:rFonts w:ascii="Times New Roman" w:hAnsi="Times New Roman" w:cs="Times New Roman"/>
          <w:i/>
          <w:sz w:val="20"/>
          <w:szCs w:val="20"/>
        </w:rPr>
        <w:t>CD19</w:t>
      </w:r>
      <w:r w:rsidR="001E0BB9" w:rsidRPr="000E3D3A">
        <w:rPr>
          <w:rFonts w:ascii="Times New Roman" w:hAnsi="Times New Roman" w:cs="Times New Roman"/>
          <w:sz w:val="20"/>
          <w:szCs w:val="20"/>
        </w:rPr>
        <w:t xml:space="preserve"> and </w:t>
      </w:r>
      <w:r w:rsidR="001E0BB9" w:rsidRPr="000E3D3A">
        <w:rPr>
          <w:rFonts w:ascii="Times New Roman" w:hAnsi="Times New Roman" w:cs="Times New Roman"/>
          <w:i/>
          <w:sz w:val="20"/>
          <w:szCs w:val="20"/>
        </w:rPr>
        <w:t>LAT</w:t>
      </w:r>
      <w:r w:rsidR="001E0BB9" w:rsidRPr="000E3D3A">
        <w:rPr>
          <w:rFonts w:ascii="Times New Roman" w:hAnsi="Times New Roman" w:cs="Times New Roman"/>
          <w:sz w:val="20"/>
          <w:szCs w:val="20"/>
        </w:rPr>
        <w:t xml:space="preserve"> could explain the clinical symptoms of the patient</w:t>
      </w:r>
      <w:r w:rsidR="00290417" w:rsidRPr="000E3D3A">
        <w:rPr>
          <w:rFonts w:ascii="Times New Roman" w:hAnsi="Times New Roman" w:cs="Times New Roman"/>
          <w:sz w:val="20"/>
          <w:szCs w:val="20"/>
        </w:rPr>
        <w:t xml:space="preserve"> (e.g. hypogammaglobulinemia)</w:t>
      </w:r>
      <w:r w:rsidR="001E0BB9" w:rsidRPr="000E3D3A">
        <w:rPr>
          <w:rFonts w:ascii="Times New Roman" w:hAnsi="Times New Roman" w:cs="Times New Roman"/>
          <w:sz w:val="20"/>
          <w:szCs w:val="20"/>
        </w:rPr>
        <w:t xml:space="preserve"> remains open.</w:t>
      </w:r>
    </w:p>
    <w:p w14:paraId="27B9C1B9" w14:textId="77777777" w:rsidR="006A2D99" w:rsidRPr="000E3D3A" w:rsidRDefault="006A2D99" w:rsidP="00500AC8">
      <w:pPr>
        <w:spacing w:line="360" w:lineRule="auto"/>
        <w:jc w:val="both"/>
        <w:rPr>
          <w:rFonts w:ascii="Times New Roman" w:hAnsi="Times New Roman" w:cs="Times New Roman"/>
          <w:sz w:val="20"/>
          <w:szCs w:val="20"/>
        </w:rPr>
      </w:pPr>
    </w:p>
    <w:p w14:paraId="7E650BA3" w14:textId="1CD1626D" w:rsidR="008F3CB0" w:rsidRPr="000E3D3A" w:rsidRDefault="00AD3E9E"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Besides large deletions affecting whole genes, </w:t>
      </w:r>
      <w:r w:rsidR="0076765B" w:rsidRPr="000E3D3A">
        <w:rPr>
          <w:rFonts w:ascii="Times New Roman" w:hAnsi="Times New Roman" w:cs="Times New Roman"/>
          <w:sz w:val="20"/>
          <w:szCs w:val="20"/>
        </w:rPr>
        <w:t>we</w:t>
      </w:r>
      <w:r w:rsidRPr="000E3D3A">
        <w:rPr>
          <w:rFonts w:ascii="Times New Roman" w:hAnsi="Times New Roman" w:cs="Times New Roman"/>
          <w:sz w:val="20"/>
          <w:szCs w:val="20"/>
        </w:rPr>
        <w:t xml:space="preserve"> identified a number of microdeletions smaller than 20 kb affecting only parts of IEI-associated genes.</w:t>
      </w:r>
    </w:p>
    <w:p w14:paraId="23A58880" w14:textId="6C5F2707" w:rsidR="008F3CB0" w:rsidRPr="000E3D3A" w:rsidRDefault="008F3CB0" w:rsidP="00500AC8">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Patient-047</w:t>
      </w:r>
    </w:p>
    <w:p w14:paraId="1AF69031" w14:textId="4C0F0803" w:rsidR="008F3CB0" w:rsidRPr="000E3D3A" w:rsidRDefault="00195BA9"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Patient-047</w:t>
      </w:r>
      <w:r w:rsidR="00AD3E9E" w:rsidRPr="000E3D3A">
        <w:rPr>
          <w:rFonts w:ascii="Times New Roman" w:hAnsi="Times New Roman" w:cs="Times New Roman"/>
          <w:sz w:val="20"/>
          <w:szCs w:val="20"/>
        </w:rPr>
        <w:t xml:space="preserve"> </w:t>
      </w:r>
      <w:r w:rsidR="0076765B" w:rsidRPr="000E3D3A">
        <w:rPr>
          <w:rFonts w:ascii="Times New Roman" w:hAnsi="Times New Roman" w:cs="Times New Roman"/>
          <w:sz w:val="20"/>
          <w:szCs w:val="20"/>
        </w:rPr>
        <w:t xml:space="preserve">carried </w:t>
      </w:r>
      <w:r w:rsidR="00AD3E9E" w:rsidRPr="000E3D3A">
        <w:rPr>
          <w:rFonts w:ascii="Times New Roman" w:hAnsi="Times New Roman" w:cs="Times New Roman"/>
          <w:sz w:val="20"/>
          <w:szCs w:val="20"/>
        </w:rPr>
        <w:t xml:space="preserve">a small 17.6 kb deletion affecting the last exon of </w:t>
      </w:r>
      <w:r w:rsidR="00AD3E9E" w:rsidRPr="000E3D3A">
        <w:rPr>
          <w:rFonts w:ascii="Times New Roman" w:hAnsi="Times New Roman" w:cs="Times New Roman"/>
          <w:i/>
          <w:sz w:val="20"/>
          <w:szCs w:val="20"/>
        </w:rPr>
        <w:t xml:space="preserve">CORO1A. </w:t>
      </w:r>
      <w:r w:rsidR="00AD3E9E" w:rsidRPr="000E3D3A">
        <w:rPr>
          <w:rFonts w:ascii="Times New Roman" w:hAnsi="Times New Roman" w:cs="Times New Roman"/>
          <w:sz w:val="20"/>
          <w:szCs w:val="20"/>
        </w:rPr>
        <w:t xml:space="preserve">This should lead to a functional inactivation due to loss of the C-terminal coiled-coil leucine zipper oligomerization domain of CORO1A (deletion of aa 428-461; NP_001180262.1). The C-terminal CORO1A domains are relevant to T-cell survival and function and some of </w:t>
      </w:r>
      <w:r w:rsidR="0076765B" w:rsidRPr="000E3D3A">
        <w:rPr>
          <w:rFonts w:ascii="Times New Roman" w:hAnsi="Times New Roman" w:cs="Times New Roman"/>
          <w:sz w:val="20"/>
          <w:szCs w:val="20"/>
        </w:rPr>
        <w:t xml:space="preserve">the </w:t>
      </w:r>
      <w:r w:rsidRPr="000E3D3A">
        <w:rPr>
          <w:rFonts w:ascii="Times New Roman" w:hAnsi="Times New Roman" w:cs="Times New Roman"/>
          <w:sz w:val="20"/>
          <w:szCs w:val="20"/>
        </w:rPr>
        <w:t>patient</w:t>
      </w:r>
      <w:r w:rsidR="00AD3E9E" w:rsidRPr="000E3D3A">
        <w:rPr>
          <w:rFonts w:ascii="Times New Roman" w:hAnsi="Times New Roman" w:cs="Times New Roman"/>
          <w:sz w:val="20"/>
          <w:szCs w:val="20"/>
        </w:rPr>
        <w:t>’s clinical features are in line with previously reported cases</w:t>
      </w:r>
      <w:r w:rsidR="00031813"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[4]</w:t>
      </w:r>
      <w:r w:rsidR="00AD3E9E" w:rsidRPr="000E3D3A">
        <w:rPr>
          <w:rFonts w:ascii="Times New Roman" w:hAnsi="Times New Roman" w:cs="Times New Roman"/>
          <w:sz w:val="20"/>
          <w:szCs w:val="20"/>
        </w:rPr>
        <w:t>, including abnormal lymphocyte proliferation, increased proportion of effector memory CD8</w:t>
      </w:r>
      <w:r w:rsidR="00AD3E9E" w:rsidRPr="000E3D3A">
        <w:rPr>
          <w:rFonts w:ascii="Times New Roman" w:hAnsi="Times New Roman" w:cs="Times New Roman"/>
          <w:sz w:val="20"/>
          <w:szCs w:val="20"/>
          <w:vertAlign w:val="superscript"/>
        </w:rPr>
        <w:t>+</w:t>
      </w:r>
      <w:r w:rsidR="00AD3E9E" w:rsidRPr="000E3D3A">
        <w:rPr>
          <w:rFonts w:ascii="Times New Roman" w:hAnsi="Times New Roman" w:cs="Times New Roman"/>
          <w:sz w:val="20"/>
          <w:szCs w:val="20"/>
        </w:rPr>
        <w:t xml:space="preserve"> T-cells, and reduced proportion of naive CD4</w:t>
      </w:r>
      <w:r w:rsidR="00AD3E9E" w:rsidRPr="000E3D3A">
        <w:rPr>
          <w:rFonts w:ascii="Times New Roman" w:hAnsi="Times New Roman" w:cs="Times New Roman"/>
          <w:sz w:val="20"/>
          <w:szCs w:val="20"/>
          <w:vertAlign w:val="superscript"/>
        </w:rPr>
        <w:t>+</w:t>
      </w:r>
      <w:r w:rsidR="00AD3E9E" w:rsidRPr="000E3D3A">
        <w:rPr>
          <w:rFonts w:ascii="Times New Roman" w:hAnsi="Times New Roman" w:cs="Times New Roman"/>
          <w:sz w:val="20"/>
          <w:szCs w:val="20"/>
        </w:rPr>
        <w:t xml:space="preserve"> T-cells.</w:t>
      </w:r>
    </w:p>
    <w:p w14:paraId="4C8AB9B7" w14:textId="17303B6C" w:rsidR="008F3CB0" w:rsidRPr="000E3D3A" w:rsidRDefault="008F3CB0" w:rsidP="00500AC8">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Patient-008</w:t>
      </w:r>
    </w:p>
    <w:p w14:paraId="2A176448" w14:textId="12CD33AB" w:rsidR="008F3CB0" w:rsidRPr="000E3D3A" w:rsidRDefault="00AD3E9E"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An intragenic deletion of </w:t>
      </w:r>
      <w:r w:rsidRPr="000E3D3A">
        <w:rPr>
          <w:rFonts w:ascii="Times New Roman" w:hAnsi="Times New Roman" w:cs="Times New Roman"/>
          <w:i/>
          <w:sz w:val="20"/>
          <w:szCs w:val="20"/>
        </w:rPr>
        <w:t>TYK2</w:t>
      </w:r>
      <w:r w:rsidRPr="000E3D3A">
        <w:rPr>
          <w:rFonts w:ascii="Times New Roman" w:hAnsi="Times New Roman" w:cs="Times New Roman"/>
          <w:sz w:val="20"/>
          <w:szCs w:val="20"/>
        </w:rPr>
        <w:t xml:space="preserve"> causing a potential frame-shift, is compatible with clinical symptoms observed for </w:t>
      </w:r>
      <w:r w:rsidR="007865AA" w:rsidRPr="000E3D3A">
        <w:rPr>
          <w:rFonts w:ascii="Times New Roman" w:hAnsi="Times New Roman" w:cs="Times New Roman"/>
          <w:sz w:val="20"/>
          <w:szCs w:val="20"/>
        </w:rPr>
        <w:t>patient-008</w:t>
      </w:r>
      <w:r w:rsidRPr="000E3D3A">
        <w:rPr>
          <w:rFonts w:ascii="Times New Roman" w:hAnsi="Times New Roman" w:cs="Times New Roman"/>
          <w:sz w:val="20"/>
          <w:szCs w:val="20"/>
        </w:rPr>
        <w:t xml:space="preserve">, including onset of symptoms in childhood, recurrent respiratory infections, and increased susceptibility to virus (MIM 611521). Additionally, this patient </w:t>
      </w:r>
      <w:r w:rsidR="00181960" w:rsidRPr="000E3D3A">
        <w:rPr>
          <w:rFonts w:ascii="Times New Roman" w:hAnsi="Times New Roman" w:cs="Times New Roman"/>
          <w:sz w:val="20"/>
          <w:szCs w:val="20"/>
        </w:rPr>
        <w:t>has evidence of</w:t>
      </w:r>
      <w:r w:rsidRPr="000E3D3A">
        <w:rPr>
          <w:rFonts w:ascii="Times New Roman" w:hAnsi="Times New Roman" w:cs="Times New Roman"/>
          <w:sz w:val="20"/>
          <w:szCs w:val="20"/>
        </w:rPr>
        <w:t xml:space="preserve"> autoimmune disease (e.g. positive</w:t>
      </w:r>
      <w:r w:rsidR="002D7946" w:rsidRPr="000E3D3A">
        <w:rPr>
          <w:rFonts w:ascii="Times New Roman" w:hAnsi="Times New Roman" w:cs="Times New Roman"/>
          <w:sz w:val="20"/>
          <w:szCs w:val="20"/>
        </w:rPr>
        <w:t xml:space="preserve"> antinuclear antibody (ANA) test</w:t>
      </w:r>
      <w:r w:rsidRPr="000E3D3A">
        <w:rPr>
          <w:rFonts w:ascii="Times New Roman" w:hAnsi="Times New Roman" w:cs="Times New Roman"/>
          <w:sz w:val="20"/>
          <w:szCs w:val="20"/>
        </w:rPr>
        <w:t>)</w:t>
      </w:r>
      <w:r w:rsidR="00181960" w:rsidRPr="000E3D3A">
        <w:rPr>
          <w:rFonts w:ascii="Times New Roman" w:hAnsi="Times New Roman" w:cs="Times New Roman"/>
          <w:sz w:val="20"/>
          <w:szCs w:val="20"/>
        </w:rPr>
        <w:t>,</w:t>
      </w:r>
      <w:r w:rsidRPr="000E3D3A">
        <w:rPr>
          <w:rFonts w:ascii="Times New Roman" w:hAnsi="Times New Roman" w:cs="Times New Roman"/>
          <w:sz w:val="20"/>
          <w:szCs w:val="20"/>
        </w:rPr>
        <w:t xml:space="preserve"> and a strong link between </w:t>
      </w:r>
      <w:r w:rsidRPr="000E3D3A">
        <w:rPr>
          <w:rFonts w:ascii="Times New Roman" w:hAnsi="Times New Roman" w:cs="Times New Roman"/>
          <w:i/>
          <w:sz w:val="20"/>
          <w:szCs w:val="20"/>
        </w:rPr>
        <w:t>TYK2</w:t>
      </w:r>
      <w:r w:rsidRPr="000E3D3A">
        <w:rPr>
          <w:rFonts w:ascii="Times New Roman" w:hAnsi="Times New Roman" w:cs="Times New Roman"/>
          <w:sz w:val="20"/>
          <w:szCs w:val="20"/>
        </w:rPr>
        <w:t xml:space="preserve"> variants and autoimmune diseases has been reviewed </w:t>
      </w:r>
      <w:r w:rsidR="0076765B" w:rsidRPr="000E3D3A">
        <w:rPr>
          <w:rFonts w:ascii="Times New Roman" w:hAnsi="Times New Roman" w:cs="Times New Roman"/>
          <w:sz w:val="20"/>
          <w:szCs w:val="20"/>
        </w:rPr>
        <w:t xml:space="preserve">recently </w:t>
      </w:r>
      <w:r w:rsidR="008975DD" w:rsidRPr="000E3D3A">
        <w:rPr>
          <w:rFonts w:ascii="Times New Roman" w:hAnsi="Times New Roman" w:cs="Times New Roman"/>
          <w:noProof/>
          <w:sz w:val="20"/>
          <w:szCs w:val="20"/>
        </w:rPr>
        <w:t>[5]</w:t>
      </w:r>
      <w:r w:rsidRPr="000E3D3A">
        <w:rPr>
          <w:rFonts w:ascii="Times New Roman" w:hAnsi="Times New Roman" w:cs="Times New Roman"/>
          <w:sz w:val="20"/>
          <w:szCs w:val="20"/>
        </w:rPr>
        <w:t>.</w:t>
      </w:r>
    </w:p>
    <w:p w14:paraId="398AF2A1" w14:textId="60C14B63" w:rsidR="008F3CB0" w:rsidRPr="000E3D3A" w:rsidRDefault="008F3CB0" w:rsidP="00500AC8">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Patient-141</w:t>
      </w:r>
    </w:p>
    <w:p w14:paraId="6E100479" w14:textId="29A12A4D" w:rsidR="00AD3E9E" w:rsidRPr="000E3D3A" w:rsidRDefault="00AD3E9E" w:rsidP="00500AC8">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Small deletions of </w:t>
      </w:r>
      <w:r w:rsidRPr="000E3D3A">
        <w:rPr>
          <w:rFonts w:ascii="Times New Roman" w:hAnsi="Times New Roman" w:cs="Times New Roman"/>
          <w:i/>
          <w:sz w:val="20"/>
          <w:szCs w:val="20"/>
        </w:rPr>
        <w:t>FANCA</w:t>
      </w:r>
      <w:r w:rsidRPr="000E3D3A">
        <w:rPr>
          <w:rFonts w:ascii="Times New Roman" w:hAnsi="Times New Roman" w:cs="Times New Roman"/>
          <w:sz w:val="20"/>
          <w:szCs w:val="20"/>
        </w:rPr>
        <w:t xml:space="preserve"> have been frequently reported in PID</w:t>
      </w:r>
      <w:r w:rsidR="003E3A18" w:rsidRPr="000E3D3A">
        <w:rPr>
          <w:rFonts w:ascii="Times New Roman" w:hAnsi="Times New Roman" w:cs="Times New Roman"/>
          <w:sz w:val="20"/>
          <w:szCs w:val="20"/>
        </w:rPr>
        <w:t xml:space="preserve"> and</w:t>
      </w:r>
      <w:r w:rsidRPr="000E3D3A">
        <w:rPr>
          <w:rFonts w:ascii="Times New Roman" w:hAnsi="Times New Roman" w:cs="Times New Roman"/>
          <w:sz w:val="20"/>
          <w:szCs w:val="20"/>
        </w:rPr>
        <w:t xml:space="preserve"> </w:t>
      </w:r>
      <w:r w:rsidR="007865AA" w:rsidRPr="000E3D3A">
        <w:rPr>
          <w:rFonts w:ascii="Times New Roman" w:hAnsi="Times New Roman" w:cs="Times New Roman"/>
          <w:sz w:val="20"/>
          <w:szCs w:val="20"/>
        </w:rPr>
        <w:t>patient-141</w:t>
      </w:r>
      <w:r w:rsidRPr="000E3D3A">
        <w:rPr>
          <w:rFonts w:ascii="Times New Roman" w:hAnsi="Times New Roman" w:cs="Times New Roman"/>
          <w:sz w:val="20"/>
          <w:szCs w:val="20"/>
        </w:rPr>
        <w:t xml:space="preserve"> presented an intragenic</w:t>
      </w:r>
      <w:r w:rsidRPr="000E3D3A">
        <w:rPr>
          <w:rFonts w:ascii="Times New Roman" w:hAnsi="Times New Roman" w:cs="Times New Roman"/>
          <w:i/>
          <w:sz w:val="20"/>
          <w:szCs w:val="20"/>
        </w:rPr>
        <w:t xml:space="preserve"> FANCA</w:t>
      </w:r>
      <w:r w:rsidRPr="000E3D3A">
        <w:rPr>
          <w:rFonts w:ascii="Times New Roman" w:hAnsi="Times New Roman" w:cs="Times New Roman"/>
          <w:sz w:val="20"/>
          <w:szCs w:val="20"/>
        </w:rPr>
        <w:t xml:space="preserve"> deletion leading to a potential in-frame loss of aa 175-265</w:t>
      </w:r>
      <w:r w:rsidR="00031813"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[6, 7]</w:t>
      </w:r>
      <w:r w:rsidR="003E3A18" w:rsidRPr="000E3D3A">
        <w:rPr>
          <w:rFonts w:ascii="Times New Roman" w:hAnsi="Times New Roman" w:cs="Times New Roman"/>
          <w:sz w:val="20"/>
          <w:szCs w:val="20"/>
        </w:rPr>
        <w:t>.</w:t>
      </w:r>
      <w:r w:rsidRPr="000E3D3A">
        <w:rPr>
          <w:rFonts w:ascii="Times New Roman" w:hAnsi="Times New Roman" w:cs="Times New Roman"/>
          <w:sz w:val="20"/>
          <w:szCs w:val="20"/>
        </w:rPr>
        <w:t xml:space="preserve"> This substantial loss of coding sequence is likely to impair protein function. FANCA has been suggested to play a role in primary diversification of immunoglobulins. It is therefore very well possible that the deletion of </w:t>
      </w:r>
      <w:r w:rsidRPr="000E3D3A">
        <w:rPr>
          <w:rFonts w:ascii="Times New Roman" w:hAnsi="Times New Roman" w:cs="Times New Roman"/>
          <w:i/>
          <w:sz w:val="20"/>
          <w:szCs w:val="20"/>
        </w:rPr>
        <w:t xml:space="preserve">FANCA </w:t>
      </w:r>
      <w:r w:rsidRPr="000E3D3A">
        <w:rPr>
          <w:rFonts w:ascii="Times New Roman" w:hAnsi="Times New Roman" w:cs="Times New Roman"/>
          <w:sz w:val="20"/>
          <w:szCs w:val="20"/>
        </w:rPr>
        <w:t xml:space="preserve">is causative for at least some of the observed clinical features in </w:t>
      </w:r>
      <w:r w:rsidR="00195BA9" w:rsidRPr="000E3D3A">
        <w:rPr>
          <w:rFonts w:ascii="Times New Roman" w:hAnsi="Times New Roman" w:cs="Times New Roman"/>
          <w:sz w:val="20"/>
          <w:szCs w:val="20"/>
        </w:rPr>
        <w:t>patient-141</w:t>
      </w:r>
      <w:r w:rsidRPr="000E3D3A">
        <w:rPr>
          <w:rFonts w:ascii="Times New Roman" w:hAnsi="Times New Roman" w:cs="Times New Roman"/>
          <w:sz w:val="20"/>
          <w:szCs w:val="20"/>
        </w:rPr>
        <w:t>, including decreased Ig levels (IgA, IgM, IgG1, IgG4) and decreased proportions of plasmablasts and switched memory B cells</w:t>
      </w:r>
      <w:r w:rsidR="00CF6756"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[8]</w:t>
      </w:r>
      <w:r w:rsidRPr="000E3D3A">
        <w:rPr>
          <w:rFonts w:ascii="Times New Roman" w:hAnsi="Times New Roman" w:cs="Times New Roman"/>
          <w:sz w:val="20"/>
          <w:szCs w:val="20"/>
        </w:rPr>
        <w:t>.</w:t>
      </w:r>
    </w:p>
    <w:p w14:paraId="14F5B23D" w14:textId="77777777" w:rsidR="002D7946" w:rsidRPr="000E3D3A" w:rsidRDefault="002D7946" w:rsidP="00AD3E9E">
      <w:pPr>
        <w:spacing w:line="360" w:lineRule="auto"/>
        <w:jc w:val="both"/>
        <w:rPr>
          <w:rFonts w:ascii="Times New Roman" w:hAnsi="Times New Roman" w:cs="Times New Roman"/>
          <w:sz w:val="20"/>
          <w:szCs w:val="20"/>
        </w:rPr>
      </w:pPr>
    </w:p>
    <w:p w14:paraId="7F91F7F0" w14:textId="42F03A34" w:rsidR="0072692C" w:rsidRPr="000E3D3A" w:rsidRDefault="0072692C" w:rsidP="00AD3E9E">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t>Duplications</w:t>
      </w:r>
    </w:p>
    <w:p w14:paraId="5AD42F78" w14:textId="01BC692A" w:rsidR="0027105E" w:rsidRPr="000E3D3A" w:rsidRDefault="00D334F2" w:rsidP="0027105E">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We</w:t>
      </w:r>
      <w:r w:rsidR="00AD3E9E" w:rsidRPr="000E3D3A">
        <w:rPr>
          <w:rFonts w:ascii="Times New Roman" w:hAnsi="Times New Roman" w:cs="Times New Roman"/>
          <w:sz w:val="20"/>
          <w:szCs w:val="20"/>
        </w:rPr>
        <w:t xml:space="preserve"> identified a number of duplications affecting IEI-associated genes</w:t>
      </w:r>
      <w:r w:rsidR="00583057" w:rsidRPr="000E3D3A">
        <w:rPr>
          <w:rFonts w:ascii="Times New Roman" w:hAnsi="Times New Roman" w:cs="Times New Roman"/>
          <w:sz w:val="20"/>
          <w:szCs w:val="20"/>
        </w:rPr>
        <w:t xml:space="preserve"> (Fig.S2)</w:t>
      </w:r>
      <w:r w:rsidR="00AD3E9E" w:rsidRPr="000E3D3A">
        <w:rPr>
          <w:rFonts w:ascii="Times New Roman" w:hAnsi="Times New Roman" w:cs="Times New Roman"/>
          <w:sz w:val="20"/>
          <w:szCs w:val="20"/>
        </w:rPr>
        <w:t xml:space="preserve">. </w:t>
      </w:r>
      <w:r w:rsidR="0027105E" w:rsidRPr="000E3D3A">
        <w:rPr>
          <w:rFonts w:ascii="Times New Roman" w:hAnsi="Times New Roman" w:cs="Times New Roman"/>
          <w:sz w:val="20"/>
          <w:szCs w:val="20"/>
        </w:rPr>
        <w:t xml:space="preserve">Three patients presented gains of chromosomal material affecting the entire coding region of IEI-associated genes. </w:t>
      </w:r>
    </w:p>
    <w:p w14:paraId="192DF0E7" w14:textId="77777777" w:rsidR="0027105E" w:rsidRPr="000E3D3A" w:rsidRDefault="0027105E" w:rsidP="0027105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Patient-083</w:t>
      </w:r>
    </w:p>
    <w:p w14:paraId="127F8D63" w14:textId="68424E2E" w:rsidR="0027105E" w:rsidRPr="000E3D3A" w:rsidRDefault="0027105E" w:rsidP="0027105E">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Patient-083, with an early onset of CID at age 2.2 years, carried a large 600 kb duplication at 14q11.2 affecting more than 20 genes including </w:t>
      </w:r>
      <w:r w:rsidRPr="000E3D3A">
        <w:rPr>
          <w:rFonts w:ascii="Times New Roman" w:hAnsi="Times New Roman" w:cs="Times New Roman"/>
          <w:i/>
          <w:sz w:val="20"/>
          <w:szCs w:val="20"/>
        </w:rPr>
        <w:t>TRAC</w:t>
      </w:r>
      <w:r w:rsidRPr="000E3D3A">
        <w:rPr>
          <w:rFonts w:ascii="Times New Roman" w:hAnsi="Times New Roman" w:cs="Times New Roman"/>
          <w:sz w:val="20"/>
          <w:szCs w:val="20"/>
        </w:rPr>
        <w:t xml:space="preserve">, </w:t>
      </w:r>
      <w:r w:rsidRPr="000E3D3A">
        <w:rPr>
          <w:rFonts w:ascii="Times New Roman" w:hAnsi="Times New Roman" w:cs="Times New Roman"/>
          <w:i/>
          <w:sz w:val="20"/>
          <w:szCs w:val="20"/>
        </w:rPr>
        <w:t>SLC7A7</w:t>
      </w:r>
      <w:r w:rsidRPr="000E3D3A">
        <w:rPr>
          <w:rFonts w:ascii="Times New Roman" w:hAnsi="Times New Roman" w:cs="Times New Roman"/>
          <w:sz w:val="20"/>
          <w:szCs w:val="20"/>
        </w:rPr>
        <w:t xml:space="preserve"> and </w:t>
      </w:r>
      <w:r w:rsidRPr="000E3D3A">
        <w:rPr>
          <w:rFonts w:ascii="Times New Roman" w:hAnsi="Times New Roman" w:cs="Times New Roman"/>
          <w:i/>
          <w:sz w:val="20"/>
          <w:szCs w:val="20"/>
        </w:rPr>
        <w:t>CEBPE</w:t>
      </w:r>
      <w:r w:rsidRPr="000E3D3A">
        <w:rPr>
          <w:rFonts w:ascii="Times New Roman" w:hAnsi="Times New Roman" w:cs="Times New Roman"/>
          <w:sz w:val="20"/>
          <w:szCs w:val="20"/>
        </w:rPr>
        <w:t xml:space="preserve">. Dosage effects of duplicated genes might be responsible for the clinical presentation of recurrent and severe virus infections in this patient. Besides, this TD brings one copy of </w:t>
      </w:r>
      <w:r w:rsidRPr="000E3D3A">
        <w:rPr>
          <w:rFonts w:ascii="Times New Roman" w:hAnsi="Times New Roman" w:cs="Times New Roman"/>
          <w:i/>
          <w:sz w:val="20"/>
          <w:szCs w:val="20"/>
        </w:rPr>
        <w:t xml:space="preserve">CEBPE </w:t>
      </w:r>
      <w:r w:rsidRPr="000E3D3A">
        <w:rPr>
          <w:rFonts w:ascii="Times New Roman" w:hAnsi="Times New Roman" w:cs="Times New Roman"/>
          <w:sz w:val="20"/>
          <w:szCs w:val="20"/>
        </w:rPr>
        <w:t xml:space="preserve">in close vicinity of approx. less than 30 kb to </w:t>
      </w:r>
      <w:r w:rsidRPr="000E3D3A">
        <w:rPr>
          <w:rFonts w:ascii="Times New Roman" w:hAnsi="Times New Roman" w:cs="Times New Roman"/>
          <w:i/>
          <w:sz w:val="20"/>
          <w:szCs w:val="20"/>
        </w:rPr>
        <w:t>TRAC</w:t>
      </w:r>
      <w:r w:rsidRPr="000E3D3A">
        <w:rPr>
          <w:rFonts w:ascii="Times New Roman" w:hAnsi="Times New Roman" w:cs="Times New Roman"/>
          <w:sz w:val="20"/>
          <w:szCs w:val="20"/>
        </w:rPr>
        <w:t xml:space="preserve"> (T cell receptor alpha chain constant) (Fig.S2). A broad influence on the inflammasome and interferome is known for the transcription factor C/EBPε encoded by </w:t>
      </w:r>
      <w:r w:rsidRPr="000E3D3A">
        <w:rPr>
          <w:rFonts w:ascii="Times New Roman" w:hAnsi="Times New Roman" w:cs="Times New Roman"/>
          <w:i/>
          <w:sz w:val="20"/>
          <w:szCs w:val="20"/>
        </w:rPr>
        <w:t>CEBPE</w:t>
      </w:r>
      <w:r w:rsidRPr="000E3D3A">
        <w:rPr>
          <w:rFonts w:ascii="Times New Roman" w:hAnsi="Times New Roman" w:cs="Times New Roman"/>
          <w:sz w:val="20"/>
          <w:szCs w:val="20"/>
        </w:rPr>
        <w:t xml:space="preserve"> </w:t>
      </w:r>
      <w:r w:rsidR="008975DD" w:rsidRPr="000E3D3A">
        <w:rPr>
          <w:rFonts w:ascii="Times New Roman" w:hAnsi="Times New Roman" w:cs="Times New Roman"/>
          <w:noProof/>
          <w:sz w:val="20"/>
          <w:szCs w:val="20"/>
        </w:rPr>
        <w:t>[9]</w:t>
      </w:r>
      <w:r w:rsidRPr="000E3D3A">
        <w:rPr>
          <w:rFonts w:ascii="Times New Roman" w:hAnsi="Times New Roman" w:cs="Times New Roman"/>
          <w:sz w:val="20"/>
          <w:szCs w:val="20"/>
        </w:rPr>
        <w:t xml:space="preserve">. If this rearrangement leads to an altered </w:t>
      </w:r>
      <w:r w:rsidRPr="000E3D3A">
        <w:rPr>
          <w:rFonts w:ascii="Times New Roman" w:hAnsi="Times New Roman" w:cs="Times New Roman"/>
          <w:i/>
          <w:sz w:val="20"/>
          <w:szCs w:val="20"/>
        </w:rPr>
        <w:t>CEBPE</w:t>
      </w:r>
      <w:r w:rsidRPr="000E3D3A">
        <w:rPr>
          <w:rFonts w:ascii="Times New Roman" w:hAnsi="Times New Roman" w:cs="Times New Roman"/>
          <w:sz w:val="20"/>
          <w:szCs w:val="20"/>
        </w:rPr>
        <w:t xml:space="preserve"> expression is unclear. Unfortunately, no suitable material was available to test for aberrant C/EBPε levels specifically in T cells, which might be responsible for the low T cell count observed in this patient due to pro-apoptotic features of C/EBPε </w:t>
      </w:r>
      <w:r w:rsidR="008975DD" w:rsidRPr="000E3D3A">
        <w:rPr>
          <w:rFonts w:ascii="Times New Roman" w:hAnsi="Times New Roman" w:cs="Times New Roman"/>
          <w:noProof/>
          <w:sz w:val="20"/>
          <w:szCs w:val="20"/>
        </w:rPr>
        <w:t>[10]</w:t>
      </w:r>
      <w:r w:rsidRPr="000E3D3A">
        <w:rPr>
          <w:rFonts w:ascii="Times New Roman" w:hAnsi="Times New Roman" w:cs="Times New Roman"/>
          <w:sz w:val="20"/>
          <w:szCs w:val="20"/>
        </w:rPr>
        <w:t xml:space="preserve">. A heterozygous pathogenic nonsense variant in </w:t>
      </w:r>
      <w:r w:rsidRPr="000E3D3A">
        <w:rPr>
          <w:rFonts w:ascii="Times New Roman" w:hAnsi="Times New Roman" w:cs="Times New Roman"/>
          <w:i/>
          <w:sz w:val="20"/>
          <w:szCs w:val="20"/>
        </w:rPr>
        <w:t>NLRC4</w:t>
      </w:r>
      <w:r w:rsidRPr="000E3D3A">
        <w:rPr>
          <w:rFonts w:ascii="Times New Roman" w:hAnsi="Times New Roman" w:cs="Times New Roman"/>
          <w:sz w:val="20"/>
          <w:szCs w:val="20"/>
        </w:rPr>
        <w:t xml:space="preserve"> adds more complexity to this case. However, the patient shows no phenotype suspective of NLRC4 inflammasomopathy, usually caused by missense variants of </w:t>
      </w:r>
      <w:r w:rsidRPr="000E3D3A">
        <w:rPr>
          <w:rFonts w:ascii="Times New Roman" w:hAnsi="Times New Roman" w:cs="Times New Roman"/>
          <w:i/>
          <w:sz w:val="20"/>
          <w:szCs w:val="20"/>
        </w:rPr>
        <w:t>NLRC4</w:t>
      </w:r>
      <w:r w:rsidRPr="000E3D3A">
        <w:rPr>
          <w:rFonts w:ascii="Times New Roman" w:hAnsi="Times New Roman" w:cs="Times New Roman"/>
          <w:sz w:val="20"/>
          <w:szCs w:val="20"/>
        </w:rPr>
        <w:t xml:space="preserve">, and the nonsense variant observed in our patient might lead to different phenotypic consequences </w:t>
      </w:r>
      <w:r w:rsidR="008975DD" w:rsidRPr="000E3D3A">
        <w:rPr>
          <w:rFonts w:ascii="Times New Roman" w:hAnsi="Times New Roman" w:cs="Times New Roman"/>
          <w:noProof/>
          <w:sz w:val="20"/>
          <w:szCs w:val="20"/>
        </w:rPr>
        <w:t>[11]</w:t>
      </w:r>
      <w:r w:rsidRPr="000E3D3A">
        <w:rPr>
          <w:rFonts w:ascii="Times New Roman" w:hAnsi="Times New Roman" w:cs="Times New Roman"/>
          <w:sz w:val="20"/>
          <w:szCs w:val="20"/>
        </w:rPr>
        <w:t>.</w:t>
      </w:r>
    </w:p>
    <w:p w14:paraId="425FBCAC" w14:textId="77777777" w:rsidR="0027105E" w:rsidRPr="000E3D3A" w:rsidRDefault="0027105E" w:rsidP="0027105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lastRenderedPageBreak/>
        <w:t>Patient-090</w:t>
      </w:r>
    </w:p>
    <w:p w14:paraId="6DD5E4AE" w14:textId="7AD58DB6" w:rsidR="0027105E" w:rsidRPr="000E3D3A" w:rsidRDefault="0027105E" w:rsidP="0027105E">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Patient-090 carried a 103 kb TD encompassing the </w:t>
      </w:r>
      <w:r w:rsidRPr="000E3D3A">
        <w:rPr>
          <w:rFonts w:ascii="Times New Roman" w:hAnsi="Times New Roman" w:cs="Times New Roman"/>
          <w:i/>
          <w:sz w:val="20"/>
          <w:szCs w:val="20"/>
        </w:rPr>
        <w:t>MEFV</w:t>
      </w:r>
      <w:r w:rsidRPr="000E3D3A">
        <w:rPr>
          <w:rFonts w:ascii="Times New Roman" w:hAnsi="Times New Roman" w:cs="Times New Roman"/>
          <w:sz w:val="20"/>
          <w:szCs w:val="20"/>
        </w:rPr>
        <w:t xml:space="preserve"> gene. The patient did not present typical symptoms of familial Mediterranean fever caused by defects of </w:t>
      </w:r>
      <w:r w:rsidRPr="000E3D3A">
        <w:rPr>
          <w:rFonts w:ascii="Times New Roman" w:hAnsi="Times New Roman" w:cs="Times New Roman"/>
          <w:i/>
          <w:sz w:val="20"/>
          <w:szCs w:val="20"/>
        </w:rPr>
        <w:t>MEFV</w:t>
      </w:r>
      <w:r w:rsidRPr="000E3D3A">
        <w:rPr>
          <w:rFonts w:ascii="Times New Roman" w:hAnsi="Times New Roman" w:cs="Times New Roman"/>
          <w:sz w:val="20"/>
          <w:szCs w:val="20"/>
        </w:rPr>
        <w:t xml:space="preserve"> (MIM 608107), but variability of symptoms as well as subclinical phenotypes have been suggested </w:t>
      </w:r>
      <w:r w:rsidR="008975DD" w:rsidRPr="000E3D3A">
        <w:rPr>
          <w:rFonts w:ascii="Times New Roman" w:hAnsi="Times New Roman" w:cs="Times New Roman"/>
          <w:noProof/>
          <w:sz w:val="20"/>
          <w:szCs w:val="20"/>
        </w:rPr>
        <w:t>[12]</w:t>
      </w:r>
      <w:r w:rsidRPr="000E3D3A">
        <w:rPr>
          <w:rFonts w:ascii="Times New Roman" w:hAnsi="Times New Roman" w:cs="Times New Roman"/>
          <w:sz w:val="20"/>
          <w:szCs w:val="20"/>
        </w:rPr>
        <w:t xml:space="preserve">. The patient carried no other relevant SNVs or CNVs and further analysis on </w:t>
      </w:r>
      <w:r w:rsidRPr="000E3D3A">
        <w:rPr>
          <w:rFonts w:ascii="Times New Roman" w:hAnsi="Times New Roman" w:cs="Times New Roman"/>
          <w:i/>
          <w:sz w:val="20"/>
          <w:szCs w:val="20"/>
        </w:rPr>
        <w:t>MEFV</w:t>
      </w:r>
      <w:r w:rsidRPr="000E3D3A">
        <w:rPr>
          <w:rFonts w:ascii="Times New Roman" w:hAnsi="Times New Roman" w:cs="Times New Roman"/>
          <w:sz w:val="20"/>
          <w:szCs w:val="20"/>
        </w:rPr>
        <w:t xml:space="preserve"> duplications in IEI could be considered. However, the ClinGen consortium reports no evidence for triplosensitivity of </w:t>
      </w:r>
      <w:r w:rsidRPr="000E3D3A">
        <w:rPr>
          <w:rFonts w:ascii="Times New Roman" w:hAnsi="Times New Roman" w:cs="Times New Roman"/>
          <w:i/>
          <w:sz w:val="20"/>
          <w:szCs w:val="20"/>
        </w:rPr>
        <w:t>MEFV</w:t>
      </w:r>
      <w:r w:rsidRPr="000E3D3A">
        <w:rPr>
          <w:rFonts w:ascii="Times New Roman" w:hAnsi="Times New Roman" w:cs="Times New Roman"/>
          <w:sz w:val="20"/>
          <w:szCs w:val="20"/>
        </w:rPr>
        <w:t xml:space="preserve"> (dosage ID: ISCA-24503) and a genome-wide analysis beyond IEI-associated genes is considered for this specific case.</w:t>
      </w:r>
    </w:p>
    <w:p w14:paraId="41B2CB04" w14:textId="77777777" w:rsidR="0027105E" w:rsidRPr="000E3D3A" w:rsidRDefault="0027105E" w:rsidP="0027105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Patient-114</w:t>
      </w:r>
    </w:p>
    <w:p w14:paraId="03233033" w14:textId="38A5534B" w:rsidR="0027105E" w:rsidRPr="000E3D3A" w:rsidRDefault="0027105E" w:rsidP="0027105E">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A 743 kb duplication of chromosome 16q24.2 in patient-114 was the largest chromosomal gain identified in this study. </w:t>
      </w:r>
      <w:r w:rsidRPr="000E3D3A">
        <w:rPr>
          <w:rFonts w:ascii="Times New Roman" w:hAnsi="Times New Roman" w:cs="Times New Roman"/>
          <w:i/>
          <w:sz w:val="20"/>
          <w:szCs w:val="20"/>
        </w:rPr>
        <w:t>CYBA</w:t>
      </w:r>
      <w:r w:rsidRPr="000E3D3A">
        <w:rPr>
          <w:rFonts w:ascii="Times New Roman" w:hAnsi="Times New Roman" w:cs="Times New Roman"/>
          <w:sz w:val="20"/>
          <w:szCs w:val="20"/>
        </w:rPr>
        <w:t xml:space="preserve"> was part of the duplicated region, however at this point it is not clear how </w:t>
      </w:r>
      <w:r w:rsidRPr="000E3D3A">
        <w:rPr>
          <w:rFonts w:ascii="Times New Roman" w:hAnsi="Times New Roman" w:cs="Times New Roman"/>
          <w:i/>
          <w:sz w:val="20"/>
          <w:szCs w:val="20"/>
        </w:rPr>
        <w:t>CYBA</w:t>
      </w:r>
      <w:r w:rsidRPr="000E3D3A">
        <w:rPr>
          <w:rFonts w:ascii="Times New Roman" w:hAnsi="Times New Roman" w:cs="Times New Roman"/>
          <w:sz w:val="20"/>
          <w:szCs w:val="20"/>
        </w:rPr>
        <w:t xml:space="preserve"> function might be affected by the duplication. Yet, defects of </w:t>
      </w:r>
      <w:r w:rsidRPr="000E3D3A">
        <w:rPr>
          <w:rFonts w:ascii="Times New Roman" w:hAnsi="Times New Roman" w:cs="Times New Roman"/>
          <w:i/>
          <w:sz w:val="20"/>
          <w:szCs w:val="20"/>
        </w:rPr>
        <w:t>CYBA</w:t>
      </w:r>
      <w:r w:rsidRPr="000E3D3A">
        <w:rPr>
          <w:rFonts w:ascii="Times New Roman" w:hAnsi="Times New Roman" w:cs="Times New Roman"/>
          <w:sz w:val="20"/>
          <w:szCs w:val="20"/>
        </w:rPr>
        <w:t xml:space="preserve"> are known to cause chronic granulomatous disease 4 (MIM 608508) and in line with this the patient presented pulmonary granulomatosis at age 23 years </w:t>
      </w:r>
      <w:r w:rsidR="008975DD" w:rsidRPr="000E3D3A">
        <w:rPr>
          <w:rFonts w:ascii="Times New Roman" w:hAnsi="Times New Roman" w:cs="Times New Roman"/>
          <w:noProof/>
          <w:sz w:val="20"/>
          <w:szCs w:val="20"/>
        </w:rPr>
        <w:t>[13]</w:t>
      </w:r>
      <w:r w:rsidRPr="000E3D3A">
        <w:rPr>
          <w:rFonts w:ascii="Times New Roman" w:hAnsi="Times New Roman" w:cs="Times New Roman"/>
          <w:sz w:val="20"/>
          <w:szCs w:val="20"/>
        </w:rPr>
        <w:t>.</w:t>
      </w:r>
    </w:p>
    <w:p w14:paraId="32F707F0" w14:textId="77777777" w:rsidR="0027105E" w:rsidRPr="000E3D3A" w:rsidRDefault="0027105E" w:rsidP="00296E6E">
      <w:pPr>
        <w:spacing w:line="360" w:lineRule="auto"/>
        <w:jc w:val="both"/>
        <w:rPr>
          <w:rFonts w:ascii="Times New Roman" w:hAnsi="Times New Roman" w:cs="Times New Roman"/>
          <w:sz w:val="20"/>
          <w:szCs w:val="20"/>
        </w:rPr>
      </w:pPr>
    </w:p>
    <w:p w14:paraId="4696694F" w14:textId="4224D734" w:rsidR="0027105E" w:rsidRPr="000E3D3A" w:rsidRDefault="0027105E" w:rsidP="00296E6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rPr>
        <w:t xml:space="preserve">Four patients carried duplications with breakpoints </w:t>
      </w:r>
      <w:r w:rsidR="005307CB" w:rsidRPr="000E3D3A">
        <w:rPr>
          <w:rFonts w:ascii="Times New Roman" w:hAnsi="Times New Roman" w:cs="Times New Roman"/>
          <w:sz w:val="20"/>
          <w:szCs w:val="20"/>
        </w:rPr>
        <w:t xml:space="preserve">potentially </w:t>
      </w:r>
      <w:r w:rsidRPr="000E3D3A">
        <w:rPr>
          <w:rFonts w:ascii="Times New Roman" w:hAnsi="Times New Roman" w:cs="Times New Roman"/>
          <w:sz w:val="20"/>
          <w:szCs w:val="20"/>
        </w:rPr>
        <w:t xml:space="preserve">located </w:t>
      </w:r>
      <w:r w:rsidR="00B41F67" w:rsidRPr="000E3D3A">
        <w:rPr>
          <w:rFonts w:ascii="Times New Roman" w:hAnsi="Times New Roman" w:cs="Times New Roman"/>
          <w:sz w:val="20"/>
          <w:szCs w:val="20"/>
        </w:rPr>
        <w:t>with</w:t>
      </w:r>
      <w:r w:rsidRPr="000E3D3A">
        <w:rPr>
          <w:rFonts w:ascii="Times New Roman" w:hAnsi="Times New Roman" w:cs="Times New Roman"/>
          <w:sz w:val="20"/>
          <w:szCs w:val="20"/>
        </w:rPr>
        <w:t>in IEI-associated genes.</w:t>
      </w:r>
      <w:r w:rsidR="00B41F67" w:rsidRPr="000E3D3A">
        <w:rPr>
          <w:rFonts w:ascii="Times New Roman" w:hAnsi="Times New Roman" w:cs="Times New Roman"/>
          <w:sz w:val="20"/>
          <w:szCs w:val="20"/>
        </w:rPr>
        <w:t xml:space="preserve"> Duplications either affected 5’ gene regions (</w:t>
      </w:r>
      <w:r w:rsidR="00F558AF" w:rsidRPr="000E3D3A">
        <w:rPr>
          <w:rFonts w:ascii="Times New Roman" w:hAnsi="Times New Roman" w:cs="Times New Roman"/>
          <w:sz w:val="20"/>
          <w:szCs w:val="20"/>
        </w:rPr>
        <w:t xml:space="preserve">patient-081, patient-171, and </w:t>
      </w:r>
      <w:r w:rsidR="00B41F67" w:rsidRPr="000E3D3A">
        <w:rPr>
          <w:rFonts w:ascii="Times New Roman" w:hAnsi="Times New Roman" w:cs="Times New Roman"/>
          <w:sz w:val="20"/>
          <w:szCs w:val="20"/>
        </w:rPr>
        <w:t>patient-160) or the 3’ gene region (patient-149).</w:t>
      </w:r>
    </w:p>
    <w:p w14:paraId="758A9FBB" w14:textId="77777777" w:rsidR="00B41F67" w:rsidRPr="000E3D3A" w:rsidRDefault="00B41F67" w:rsidP="00B41F67">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Patient-081</w:t>
      </w:r>
    </w:p>
    <w:p w14:paraId="621EBF8B" w14:textId="7D1EA2A2" w:rsidR="00B41F67" w:rsidRPr="000E3D3A" w:rsidRDefault="00B41F67" w:rsidP="00B41F67">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Analysis</w:t>
      </w:r>
      <w:r w:rsidR="00583057" w:rsidRPr="000E3D3A">
        <w:rPr>
          <w:rFonts w:ascii="Times New Roman" w:hAnsi="Times New Roman" w:cs="Times New Roman"/>
          <w:sz w:val="20"/>
          <w:szCs w:val="20"/>
        </w:rPr>
        <w:t xml:space="preserve"> of patient-081</w:t>
      </w:r>
      <w:r w:rsidRPr="000E3D3A">
        <w:rPr>
          <w:rFonts w:ascii="Times New Roman" w:hAnsi="Times New Roman" w:cs="Times New Roman"/>
          <w:sz w:val="20"/>
          <w:szCs w:val="20"/>
        </w:rPr>
        <w:t xml:space="preserve"> with OGM showed a TD, meaning that one </w:t>
      </w:r>
      <w:r w:rsidRPr="000E3D3A">
        <w:rPr>
          <w:rFonts w:ascii="Times New Roman" w:hAnsi="Times New Roman" w:cs="Times New Roman"/>
          <w:i/>
          <w:sz w:val="20"/>
          <w:szCs w:val="20"/>
        </w:rPr>
        <w:t>LRBA</w:t>
      </w:r>
      <w:r w:rsidRPr="000E3D3A">
        <w:rPr>
          <w:rFonts w:ascii="Times New Roman" w:hAnsi="Times New Roman" w:cs="Times New Roman"/>
          <w:sz w:val="20"/>
          <w:szCs w:val="20"/>
        </w:rPr>
        <w:t xml:space="preserve"> copy is putatively left unaffected and a putative fusion of </w:t>
      </w:r>
      <w:r w:rsidRPr="000E3D3A">
        <w:rPr>
          <w:rFonts w:ascii="Times New Roman" w:hAnsi="Times New Roman" w:cs="Times New Roman"/>
          <w:i/>
          <w:sz w:val="20"/>
          <w:szCs w:val="20"/>
        </w:rPr>
        <w:t>LRBA</w:t>
      </w:r>
      <w:r w:rsidRPr="000E3D3A">
        <w:rPr>
          <w:rFonts w:ascii="Times New Roman" w:hAnsi="Times New Roman" w:cs="Times New Roman"/>
          <w:sz w:val="20"/>
          <w:szCs w:val="20"/>
        </w:rPr>
        <w:t xml:space="preserve"> to </w:t>
      </w:r>
      <w:r w:rsidRPr="000E3D3A">
        <w:rPr>
          <w:rFonts w:ascii="Times New Roman" w:hAnsi="Times New Roman" w:cs="Times New Roman"/>
          <w:i/>
          <w:sz w:val="20"/>
          <w:szCs w:val="20"/>
        </w:rPr>
        <w:t>SH3D19</w:t>
      </w:r>
      <w:r w:rsidRPr="000E3D3A">
        <w:rPr>
          <w:rFonts w:ascii="Times New Roman" w:hAnsi="Times New Roman" w:cs="Times New Roman"/>
          <w:sz w:val="20"/>
          <w:szCs w:val="20"/>
        </w:rPr>
        <w:t xml:space="preserve">, consisting of the </w:t>
      </w:r>
      <w:r w:rsidRPr="000E3D3A">
        <w:rPr>
          <w:rFonts w:ascii="Times New Roman" w:hAnsi="Times New Roman" w:cs="Times New Roman"/>
          <w:i/>
          <w:sz w:val="20"/>
          <w:szCs w:val="20"/>
        </w:rPr>
        <w:t>LRBA</w:t>
      </w:r>
      <w:r w:rsidRPr="000E3D3A">
        <w:rPr>
          <w:rFonts w:ascii="Times New Roman" w:hAnsi="Times New Roman" w:cs="Times New Roman"/>
          <w:sz w:val="20"/>
          <w:szCs w:val="20"/>
        </w:rPr>
        <w:t xml:space="preserve"> promoter region, </w:t>
      </w:r>
      <w:r w:rsidRPr="000E3D3A">
        <w:rPr>
          <w:rFonts w:ascii="Times New Roman" w:hAnsi="Times New Roman" w:cs="Times New Roman"/>
          <w:i/>
          <w:sz w:val="20"/>
          <w:szCs w:val="20"/>
        </w:rPr>
        <w:t>LRBA</w:t>
      </w:r>
      <w:r w:rsidRPr="000E3D3A">
        <w:rPr>
          <w:rFonts w:ascii="Times New Roman" w:hAnsi="Times New Roman" w:cs="Times New Roman"/>
          <w:sz w:val="20"/>
          <w:szCs w:val="20"/>
        </w:rPr>
        <w:t xml:space="preserve"> exons 1-35 and </w:t>
      </w:r>
      <w:r w:rsidRPr="000E3D3A">
        <w:rPr>
          <w:rFonts w:ascii="Times New Roman" w:hAnsi="Times New Roman" w:cs="Times New Roman"/>
          <w:i/>
          <w:sz w:val="20"/>
          <w:szCs w:val="20"/>
        </w:rPr>
        <w:t>SH3D19</w:t>
      </w:r>
      <w:r w:rsidRPr="000E3D3A">
        <w:rPr>
          <w:rFonts w:ascii="Times New Roman" w:hAnsi="Times New Roman" w:cs="Times New Roman"/>
          <w:sz w:val="20"/>
          <w:szCs w:val="20"/>
        </w:rPr>
        <w:t xml:space="preserve"> exons 10-21.</w:t>
      </w:r>
      <w:r w:rsidR="00583057" w:rsidRPr="000E3D3A">
        <w:rPr>
          <w:rFonts w:ascii="Times New Roman" w:hAnsi="Times New Roman" w:cs="Times New Roman"/>
          <w:sz w:val="20"/>
          <w:szCs w:val="20"/>
        </w:rPr>
        <w:t xml:space="preserve"> </w:t>
      </w:r>
      <w:r w:rsidRPr="000E3D3A">
        <w:rPr>
          <w:rFonts w:ascii="Times New Roman" w:hAnsi="Times New Roman" w:cs="Times New Roman"/>
          <w:sz w:val="20"/>
          <w:szCs w:val="20"/>
        </w:rPr>
        <w:t>The putative fusion protein product would consist of the first 1882 out of 2863 LRBA amino acids</w:t>
      </w:r>
      <w:r w:rsidR="00583057" w:rsidRPr="000E3D3A">
        <w:rPr>
          <w:rFonts w:ascii="Times New Roman" w:hAnsi="Times New Roman" w:cs="Times New Roman"/>
          <w:sz w:val="20"/>
          <w:szCs w:val="20"/>
        </w:rPr>
        <w:t xml:space="preserve"> (</w:t>
      </w:r>
      <w:r w:rsidR="009C0883" w:rsidRPr="000E3D3A">
        <w:rPr>
          <w:rFonts w:ascii="Times New Roman" w:hAnsi="Times New Roman" w:cs="Times New Roman"/>
          <w:sz w:val="20"/>
          <w:szCs w:val="20"/>
        </w:rPr>
        <w:t>approx.</w:t>
      </w:r>
      <w:r w:rsidR="00583057" w:rsidRPr="000E3D3A">
        <w:rPr>
          <w:rFonts w:ascii="Times New Roman" w:hAnsi="Times New Roman" w:cs="Times New Roman"/>
          <w:sz w:val="20"/>
          <w:szCs w:val="20"/>
        </w:rPr>
        <w:t xml:space="preserve"> 66% of the LRBA coding sequence</w:t>
      </w:r>
      <w:r w:rsidR="00583057" w:rsidRPr="000E3D3A">
        <w:rPr>
          <w:rFonts w:ascii="Times New Roman" w:hAnsi="Times New Roman" w:cs="Times New Roman"/>
          <w:i/>
          <w:sz w:val="20"/>
          <w:szCs w:val="20"/>
        </w:rPr>
        <w:t>)</w:t>
      </w:r>
      <w:r w:rsidRPr="000E3D3A">
        <w:rPr>
          <w:rFonts w:ascii="Times New Roman" w:hAnsi="Times New Roman" w:cs="Times New Roman"/>
          <w:sz w:val="20"/>
          <w:szCs w:val="20"/>
        </w:rPr>
        <w:t xml:space="preserve"> with a putative premature stop codon at position 1905. This would likely cause nonsense-mediated mRNA decay (NMD). However, breakpoints are not resolved at sequence-level in our study and NMD does not necessarily need to be activated.</w:t>
      </w:r>
    </w:p>
    <w:p w14:paraId="113ABED5" w14:textId="77777777" w:rsidR="00B41F67" w:rsidRPr="000E3D3A" w:rsidRDefault="00B41F67" w:rsidP="00B41F67">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Patient-171</w:t>
      </w:r>
    </w:p>
    <w:p w14:paraId="15B79F3D" w14:textId="628E337F" w:rsidR="00B41F67" w:rsidRPr="000E3D3A" w:rsidRDefault="009C0883" w:rsidP="00B41F67">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In patient-171 a 9.3 kb duplication of </w:t>
      </w:r>
      <w:r w:rsidRPr="000E3D3A">
        <w:rPr>
          <w:rFonts w:ascii="Times New Roman" w:hAnsi="Times New Roman" w:cs="Times New Roman"/>
          <w:i/>
          <w:sz w:val="20"/>
          <w:szCs w:val="20"/>
        </w:rPr>
        <w:t>TRIM22</w:t>
      </w:r>
      <w:r w:rsidRPr="000E3D3A">
        <w:rPr>
          <w:rFonts w:ascii="Times New Roman" w:hAnsi="Times New Roman" w:cs="Times New Roman"/>
          <w:sz w:val="20"/>
          <w:szCs w:val="20"/>
        </w:rPr>
        <w:t xml:space="preserve"> exons 1 to 4 was indicated to be inserted in tandem. This TD potentially affects the region harboring the potential promoter of </w:t>
      </w:r>
      <w:r w:rsidRPr="000E3D3A">
        <w:rPr>
          <w:rFonts w:ascii="Times New Roman" w:hAnsi="Times New Roman" w:cs="Times New Roman"/>
          <w:i/>
          <w:sz w:val="20"/>
          <w:szCs w:val="20"/>
        </w:rPr>
        <w:t>TRIM22</w:t>
      </w:r>
      <w:r w:rsidRPr="000E3D3A">
        <w:rPr>
          <w:rFonts w:ascii="Times New Roman" w:hAnsi="Times New Roman" w:cs="Times New Roman"/>
          <w:sz w:val="20"/>
          <w:szCs w:val="20"/>
        </w:rPr>
        <w:t xml:space="preserve"> and the 5’ region of the neighboring gene </w:t>
      </w:r>
      <w:r w:rsidRPr="000E3D3A">
        <w:rPr>
          <w:rFonts w:ascii="Times New Roman" w:hAnsi="Times New Roman" w:cs="Times New Roman"/>
          <w:i/>
          <w:sz w:val="20"/>
          <w:szCs w:val="20"/>
        </w:rPr>
        <w:t>TRIM5</w:t>
      </w:r>
      <w:r w:rsidRPr="000E3D3A">
        <w:rPr>
          <w:rFonts w:ascii="Times New Roman" w:hAnsi="Times New Roman" w:cs="Times New Roman"/>
          <w:sz w:val="20"/>
          <w:szCs w:val="20"/>
        </w:rPr>
        <w:t xml:space="preserve">. </w:t>
      </w:r>
      <w:r w:rsidR="00B41F67" w:rsidRPr="000E3D3A">
        <w:rPr>
          <w:rFonts w:ascii="Times New Roman" w:hAnsi="Times New Roman" w:cs="Times New Roman"/>
          <w:sz w:val="20"/>
          <w:szCs w:val="20"/>
        </w:rPr>
        <w:t xml:space="preserve">TRIM22 has an antiviral function and is involved in activation of interferon-beta signaling and nuclear factor-κB </w:t>
      </w:r>
      <w:r w:rsidR="008975DD" w:rsidRPr="000E3D3A">
        <w:rPr>
          <w:rFonts w:ascii="Times New Roman" w:hAnsi="Times New Roman" w:cs="Times New Roman"/>
          <w:noProof/>
          <w:sz w:val="20"/>
          <w:szCs w:val="20"/>
        </w:rPr>
        <w:t>[14, 15]</w:t>
      </w:r>
      <w:r w:rsidR="00B41F67" w:rsidRPr="000E3D3A">
        <w:rPr>
          <w:rFonts w:ascii="Times New Roman" w:hAnsi="Times New Roman" w:cs="Times New Roman"/>
          <w:sz w:val="20"/>
          <w:szCs w:val="20"/>
        </w:rPr>
        <w:t xml:space="preserve">. Additionally, this patient carries a rare missense VUS in </w:t>
      </w:r>
      <w:r w:rsidR="00B41F67" w:rsidRPr="000E3D3A">
        <w:rPr>
          <w:rFonts w:ascii="Times New Roman" w:hAnsi="Times New Roman" w:cs="Times New Roman"/>
          <w:i/>
          <w:sz w:val="20"/>
          <w:szCs w:val="20"/>
        </w:rPr>
        <w:t>NFKB2</w:t>
      </w:r>
      <w:r w:rsidR="00B41F67" w:rsidRPr="000E3D3A">
        <w:rPr>
          <w:rFonts w:ascii="Times New Roman" w:hAnsi="Times New Roman" w:cs="Times New Roman"/>
          <w:sz w:val="20"/>
          <w:szCs w:val="20"/>
        </w:rPr>
        <w:t xml:space="preserve"> (p.Arg261Trp). Based on this data, one can only speculate which of the two aberrations are causing the clinical phenotype</w:t>
      </w:r>
      <w:r w:rsidRPr="000E3D3A">
        <w:rPr>
          <w:rFonts w:ascii="Times New Roman" w:hAnsi="Times New Roman" w:cs="Times New Roman"/>
          <w:sz w:val="20"/>
          <w:szCs w:val="20"/>
        </w:rPr>
        <w:t xml:space="preserve"> (Tab.S2)</w:t>
      </w:r>
      <w:r w:rsidR="00B41F67" w:rsidRPr="000E3D3A">
        <w:rPr>
          <w:rFonts w:ascii="Times New Roman" w:hAnsi="Times New Roman" w:cs="Times New Roman"/>
          <w:sz w:val="20"/>
          <w:szCs w:val="20"/>
        </w:rPr>
        <w:t xml:space="preserve"> or if additive effects of the </w:t>
      </w:r>
      <w:r w:rsidR="00B41F67" w:rsidRPr="000E3D3A">
        <w:rPr>
          <w:rFonts w:ascii="Times New Roman" w:hAnsi="Times New Roman" w:cs="Times New Roman"/>
          <w:i/>
          <w:sz w:val="20"/>
          <w:szCs w:val="20"/>
        </w:rPr>
        <w:t xml:space="preserve">TRIM22 </w:t>
      </w:r>
      <w:r w:rsidR="00B41F67" w:rsidRPr="000E3D3A">
        <w:rPr>
          <w:rFonts w:ascii="Times New Roman" w:hAnsi="Times New Roman" w:cs="Times New Roman"/>
          <w:sz w:val="20"/>
          <w:szCs w:val="20"/>
        </w:rPr>
        <w:t xml:space="preserve">TD and the </w:t>
      </w:r>
      <w:r w:rsidR="00B41F67" w:rsidRPr="000E3D3A">
        <w:rPr>
          <w:rFonts w:ascii="Times New Roman" w:hAnsi="Times New Roman" w:cs="Times New Roman"/>
          <w:i/>
          <w:sz w:val="20"/>
          <w:szCs w:val="20"/>
        </w:rPr>
        <w:t>NFKB2</w:t>
      </w:r>
      <w:r w:rsidR="00B41F67" w:rsidRPr="000E3D3A">
        <w:rPr>
          <w:rFonts w:ascii="Times New Roman" w:hAnsi="Times New Roman" w:cs="Times New Roman"/>
          <w:sz w:val="20"/>
          <w:szCs w:val="20"/>
        </w:rPr>
        <w:t xml:space="preserve"> VUS persist in patient-171.</w:t>
      </w:r>
      <w:r w:rsidR="00583057" w:rsidRPr="000E3D3A">
        <w:rPr>
          <w:rFonts w:ascii="Times New Roman" w:hAnsi="Times New Roman" w:cs="Times New Roman"/>
          <w:sz w:val="20"/>
          <w:szCs w:val="20"/>
        </w:rPr>
        <w:t xml:space="preserve"> </w:t>
      </w:r>
    </w:p>
    <w:p w14:paraId="5B194BCB" w14:textId="77777777" w:rsidR="00B41F67" w:rsidRPr="000E3D3A" w:rsidRDefault="00B41F67" w:rsidP="00296E6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Patient-160</w:t>
      </w:r>
    </w:p>
    <w:p w14:paraId="736A311C" w14:textId="2218C9ED" w:rsidR="00B41F67" w:rsidRPr="000E3D3A" w:rsidRDefault="00583057" w:rsidP="00296E6E">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The third 5’ gene region duplication identified in this study was</w:t>
      </w:r>
      <w:r w:rsidR="00F558AF" w:rsidRPr="000E3D3A">
        <w:rPr>
          <w:rFonts w:ascii="Times New Roman" w:hAnsi="Times New Roman" w:cs="Times New Roman"/>
          <w:sz w:val="20"/>
          <w:szCs w:val="20"/>
        </w:rPr>
        <w:t xml:space="preserve"> a TD of </w:t>
      </w:r>
      <w:r w:rsidR="00F558AF" w:rsidRPr="000E3D3A">
        <w:rPr>
          <w:rFonts w:ascii="Times New Roman" w:hAnsi="Times New Roman" w:cs="Times New Roman"/>
          <w:i/>
          <w:iCs/>
          <w:sz w:val="20"/>
          <w:szCs w:val="20"/>
        </w:rPr>
        <w:t>BRIP1</w:t>
      </w:r>
      <w:r w:rsidR="00F558AF" w:rsidRPr="000E3D3A">
        <w:rPr>
          <w:rFonts w:ascii="Times New Roman" w:hAnsi="Times New Roman" w:cs="Times New Roman"/>
          <w:sz w:val="20"/>
          <w:szCs w:val="20"/>
        </w:rPr>
        <w:t xml:space="preserve"> exons 1-3. This</w:t>
      </w:r>
      <w:r w:rsidR="00AD3E9E" w:rsidRPr="000E3D3A">
        <w:rPr>
          <w:rFonts w:ascii="Times New Roman" w:hAnsi="Times New Roman" w:cs="Times New Roman"/>
          <w:sz w:val="20"/>
          <w:szCs w:val="20"/>
        </w:rPr>
        <w:t xml:space="preserve"> gene</w:t>
      </w:r>
      <w:r w:rsidR="00F558AF" w:rsidRPr="000E3D3A">
        <w:rPr>
          <w:rFonts w:ascii="Times New Roman" w:hAnsi="Times New Roman" w:cs="Times New Roman"/>
          <w:sz w:val="20"/>
          <w:szCs w:val="20"/>
        </w:rPr>
        <w:t xml:space="preserve"> is</w:t>
      </w:r>
      <w:r w:rsidR="00AD3E9E" w:rsidRPr="000E3D3A">
        <w:rPr>
          <w:rFonts w:ascii="Times New Roman" w:hAnsi="Times New Roman" w:cs="Times New Roman"/>
          <w:sz w:val="20"/>
          <w:szCs w:val="20"/>
        </w:rPr>
        <w:t xml:space="preserve"> associated with Fanconi anemia (MIM 609054) and perturbed humoral immunity observed in </w:t>
      </w:r>
      <w:r w:rsidR="007865AA" w:rsidRPr="000E3D3A">
        <w:rPr>
          <w:rFonts w:ascii="Times New Roman" w:hAnsi="Times New Roman" w:cs="Times New Roman"/>
          <w:sz w:val="20"/>
          <w:szCs w:val="20"/>
        </w:rPr>
        <w:t>patient-160</w:t>
      </w:r>
      <w:r w:rsidR="00AD3E9E" w:rsidRPr="000E3D3A">
        <w:rPr>
          <w:rFonts w:ascii="Times New Roman" w:hAnsi="Times New Roman" w:cs="Times New Roman"/>
          <w:sz w:val="20"/>
          <w:szCs w:val="20"/>
        </w:rPr>
        <w:t>, including hypogammaglobulinemia and decreased proportion of plasmablasts, might be explained by a defect</w:t>
      </w:r>
      <w:r w:rsidR="00B41F67" w:rsidRPr="000E3D3A">
        <w:rPr>
          <w:rFonts w:ascii="Times New Roman" w:hAnsi="Times New Roman" w:cs="Times New Roman"/>
          <w:sz w:val="20"/>
          <w:szCs w:val="20"/>
        </w:rPr>
        <w:t xml:space="preserve"> in the Fanconi anemia pathway.</w:t>
      </w:r>
      <w:r w:rsidRPr="000E3D3A">
        <w:rPr>
          <w:rFonts w:ascii="Times New Roman" w:hAnsi="Times New Roman" w:cs="Times New Roman"/>
          <w:sz w:val="20"/>
          <w:szCs w:val="20"/>
        </w:rPr>
        <w:t xml:space="preserve"> </w:t>
      </w:r>
    </w:p>
    <w:p w14:paraId="1DB92ACF" w14:textId="473A8224" w:rsidR="00EC10F0" w:rsidRPr="000E3D3A" w:rsidRDefault="00EC10F0" w:rsidP="00296E6E">
      <w:pPr>
        <w:spacing w:line="360" w:lineRule="auto"/>
        <w:jc w:val="both"/>
        <w:rPr>
          <w:rFonts w:ascii="Times New Roman" w:hAnsi="Times New Roman" w:cs="Times New Roman"/>
          <w:sz w:val="20"/>
          <w:szCs w:val="20"/>
          <w:u w:val="single"/>
        </w:rPr>
      </w:pPr>
      <w:r w:rsidRPr="000E3D3A">
        <w:rPr>
          <w:rFonts w:ascii="Times New Roman" w:hAnsi="Times New Roman" w:cs="Times New Roman"/>
          <w:sz w:val="20"/>
          <w:szCs w:val="20"/>
          <w:u w:val="single"/>
        </w:rPr>
        <w:t>Patient-149</w:t>
      </w:r>
    </w:p>
    <w:p w14:paraId="13DB4A87" w14:textId="1E582C43" w:rsidR="007530CE" w:rsidRPr="000E3D3A" w:rsidRDefault="00AD3E9E" w:rsidP="00A50787">
      <w:pPr>
        <w:spacing w:line="360" w:lineRule="auto"/>
        <w:jc w:val="both"/>
        <w:rPr>
          <w:rFonts w:ascii="Times New Roman" w:hAnsi="Times New Roman" w:cs="Times New Roman"/>
          <w:sz w:val="20"/>
          <w:szCs w:val="20"/>
        </w:rPr>
      </w:pPr>
      <w:r w:rsidRPr="000E3D3A">
        <w:rPr>
          <w:rFonts w:ascii="Times New Roman" w:hAnsi="Times New Roman" w:cs="Times New Roman"/>
          <w:sz w:val="20"/>
          <w:szCs w:val="20"/>
        </w:rPr>
        <w:t xml:space="preserve">A TD of </w:t>
      </w:r>
      <w:r w:rsidR="009F0E9F" w:rsidRPr="000E3D3A">
        <w:rPr>
          <w:rFonts w:ascii="Times New Roman" w:hAnsi="Times New Roman" w:cs="Times New Roman"/>
          <w:i/>
          <w:sz w:val="20"/>
          <w:szCs w:val="20"/>
        </w:rPr>
        <w:t>IKBKG</w:t>
      </w:r>
      <w:r w:rsidR="009F0E9F" w:rsidRPr="000E3D3A">
        <w:rPr>
          <w:rFonts w:ascii="Times New Roman" w:hAnsi="Times New Roman" w:cs="Times New Roman"/>
          <w:sz w:val="20"/>
          <w:szCs w:val="20"/>
        </w:rPr>
        <w:t xml:space="preserve"> </w:t>
      </w:r>
      <w:r w:rsidRPr="000E3D3A">
        <w:rPr>
          <w:rFonts w:ascii="Times New Roman" w:hAnsi="Times New Roman" w:cs="Times New Roman"/>
          <w:sz w:val="20"/>
          <w:szCs w:val="20"/>
        </w:rPr>
        <w:t xml:space="preserve">exons 4-10 in </w:t>
      </w:r>
      <w:r w:rsidR="007865AA" w:rsidRPr="000E3D3A">
        <w:rPr>
          <w:rFonts w:ascii="Times New Roman" w:hAnsi="Times New Roman" w:cs="Times New Roman"/>
          <w:sz w:val="20"/>
          <w:szCs w:val="20"/>
        </w:rPr>
        <w:t>patient-149</w:t>
      </w:r>
      <w:r w:rsidRPr="000E3D3A">
        <w:rPr>
          <w:rFonts w:ascii="Times New Roman" w:hAnsi="Times New Roman" w:cs="Times New Roman"/>
          <w:sz w:val="20"/>
          <w:szCs w:val="20"/>
        </w:rPr>
        <w:t xml:space="preserve"> </w:t>
      </w:r>
      <w:r w:rsidR="009F0E9F" w:rsidRPr="000E3D3A">
        <w:rPr>
          <w:rFonts w:ascii="Times New Roman" w:hAnsi="Times New Roman" w:cs="Times New Roman"/>
          <w:sz w:val="20"/>
          <w:szCs w:val="20"/>
        </w:rPr>
        <w:t xml:space="preserve">was the only duplication of a 3’ gene region of an IEI-associated gene in this study. No other variants were observed for this patient, </w:t>
      </w:r>
      <w:r w:rsidRPr="000E3D3A">
        <w:rPr>
          <w:rFonts w:ascii="Times New Roman" w:hAnsi="Times New Roman" w:cs="Times New Roman"/>
          <w:sz w:val="20"/>
          <w:szCs w:val="20"/>
        </w:rPr>
        <w:t xml:space="preserve">making </w:t>
      </w:r>
      <w:r w:rsidRPr="000E3D3A">
        <w:rPr>
          <w:rFonts w:ascii="Times New Roman" w:hAnsi="Times New Roman" w:cs="Times New Roman"/>
          <w:i/>
          <w:sz w:val="20"/>
          <w:szCs w:val="20"/>
        </w:rPr>
        <w:t>IKBKG</w:t>
      </w:r>
      <w:r w:rsidRPr="000E3D3A">
        <w:rPr>
          <w:rFonts w:ascii="Times New Roman" w:hAnsi="Times New Roman" w:cs="Times New Roman"/>
          <w:sz w:val="20"/>
          <w:szCs w:val="20"/>
        </w:rPr>
        <w:t xml:space="preserve"> a promising explanation for hypogammaglobulinemia alongside with decreased proportion of plasmablasts observed in this patient (MIM 300636).</w:t>
      </w:r>
      <w:r w:rsidR="007530CE" w:rsidRPr="000E3D3A">
        <w:rPr>
          <w:rFonts w:ascii="Times New Roman" w:hAnsi="Times New Roman" w:cs="Times New Roman"/>
          <w:sz w:val="20"/>
          <w:szCs w:val="20"/>
        </w:rPr>
        <w:br w:type="page"/>
      </w:r>
    </w:p>
    <w:p w14:paraId="46BA6C43" w14:textId="333F5B38" w:rsidR="008A442D" w:rsidRPr="000E3D3A" w:rsidRDefault="008A442D" w:rsidP="006363F6">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lastRenderedPageBreak/>
        <w:t>Fig.S1: Analysis strategy for the detection and validation of CN</w:t>
      </w:r>
      <w:r w:rsidR="00883018" w:rsidRPr="000E3D3A">
        <w:rPr>
          <w:rFonts w:ascii="Times New Roman" w:hAnsi="Times New Roman" w:cs="Times New Roman"/>
          <w:b/>
          <w:sz w:val="20"/>
          <w:szCs w:val="20"/>
        </w:rPr>
        <w:t>Vs</w:t>
      </w:r>
      <w:r w:rsidRPr="000E3D3A">
        <w:rPr>
          <w:rFonts w:ascii="Times New Roman" w:hAnsi="Times New Roman" w:cs="Times New Roman"/>
          <w:b/>
          <w:sz w:val="20"/>
          <w:szCs w:val="20"/>
        </w:rPr>
        <w:t xml:space="preserve"> </w:t>
      </w:r>
      <w:r w:rsidR="003F2DC9" w:rsidRPr="000E3D3A">
        <w:rPr>
          <w:rFonts w:ascii="Times New Roman" w:hAnsi="Times New Roman" w:cs="Times New Roman"/>
          <w:b/>
          <w:sz w:val="20"/>
          <w:szCs w:val="20"/>
        </w:rPr>
        <w:t xml:space="preserve">and SNVs </w:t>
      </w:r>
      <w:r w:rsidRPr="000E3D3A">
        <w:rPr>
          <w:rFonts w:ascii="Times New Roman" w:hAnsi="Times New Roman" w:cs="Times New Roman"/>
          <w:b/>
          <w:sz w:val="20"/>
          <w:szCs w:val="20"/>
        </w:rPr>
        <w:t xml:space="preserve">in patients with </w:t>
      </w:r>
      <w:r w:rsidR="005B1483" w:rsidRPr="000E3D3A">
        <w:rPr>
          <w:rFonts w:ascii="Times New Roman" w:hAnsi="Times New Roman" w:cs="Times New Roman"/>
          <w:b/>
          <w:sz w:val="20"/>
          <w:szCs w:val="20"/>
        </w:rPr>
        <w:t>an IEI</w:t>
      </w:r>
    </w:p>
    <w:p w14:paraId="101CE33F" w14:textId="2005BF9A" w:rsidR="00CD3720" w:rsidRPr="000E3D3A" w:rsidRDefault="0010588C" w:rsidP="00CD3720">
      <w:pPr>
        <w:spacing w:line="360" w:lineRule="auto"/>
        <w:jc w:val="both"/>
        <w:rPr>
          <w:rFonts w:ascii="Times New Roman" w:hAnsi="Times New Roman" w:cs="Times New Roman"/>
          <w:b/>
          <w:sz w:val="20"/>
          <w:szCs w:val="20"/>
        </w:rPr>
      </w:pPr>
      <w:r w:rsidRPr="000E3D3A">
        <w:rPr>
          <w:rFonts w:ascii="Times New Roman" w:hAnsi="Times New Roman" w:cs="Times New Roman"/>
          <w:b/>
          <w:noProof/>
          <w:sz w:val="20"/>
          <w:szCs w:val="20"/>
          <w:lang w:val="de-DE" w:eastAsia="de-DE"/>
        </w:rPr>
        <w:drawing>
          <wp:inline distT="0" distB="0" distL="0" distR="0" wp14:anchorId="74B64057" wp14:editId="4664E200">
            <wp:extent cx="5760720" cy="3801745"/>
            <wp:effectExtent l="0" t="0" r="0" b="0"/>
            <wp:docPr id="5" name="Grafik 2">
              <a:extLst xmlns:a="http://schemas.openxmlformats.org/drawingml/2006/main">
                <a:ext uri="{FF2B5EF4-FFF2-40B4-BE49-F238E27FC236}">
                  <a16:creationId xmlns:a16="http://schemas.microsoft.com/office/drawing/2014/main" id="{0EB493ED-0A03-4AE6-8730-B76A2253DA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EB493ED-0A03-4AE6-8730-B76A2253DA28}"/>
                        </a:ext>
                      </a:extLst>
                    </pic:cNvPr>
                    <pic:cNvPicPr>
                      <a:picLocks noChangeAspect="1"/>
                    </pic:cNvPicPr>
                  </pic:nvPicPr>
                  <pic:blipFill>
                    <a:blip r:embed="rId8"/>
                    <a:stretch>
                      <a:fillRect/>
                    </a:stretch>
                  </pic:blipFill>
                  <pic:spPr>
                    <a:xfrm>
                      <a:off x="0" y="0"/>
                      <a:ext cx="5760720" cy="3801745"/>
                    </a:xfrm>
                    <a:prstGeom prst="rect">
                      <a:avLst/>
                    </a:prstGeom>
                  </pic:spPr>
                </pic:pic>
              </a:graphicData>
            </a:graphic>
          </wp:inline>
        </w:drawing>
      </w:r>
      <w:r w:rsidR="00CD3720" w:rsidRPr="000E3D3A">
        <w:rPr>
          <w:rFonts w:ascii="Times New Roman" w:hAnsi="Times New Roman" w:cs="Times New Roman"/>
          <w:b/>
          <w:sz w:val="20"/>
          <w:szCs w:val="20"/>
        </w:rPr>
        <w:br w:type="page"/>
      </w:r>
    </w:p>
    <w:p w14:paraId="568B342E" w14:textId="0BD0FCC4" w:rsidR="00CD3720" w:rsidRPr="000E3D3A" w:rsidRDefault="00CD3720" w:rsidP="00CD3720">
      <w:pPr>
        <w:spacing w:line="360" w:lineRule="auto"/>
        <w:jc w:val="both"/>
        <w:rPr>
          <w:rFonts w:ascii="Times New Roman" w:hAnsi="Times New Roman" w:cs="Times New Roman"/>
          <w:sz w:val="20"/>
          <w:szCs w:val="20"/>
        </w:rPr>
      </w:pPr>
      <w:r w:rsidRPr="000E3D3A">
        <w:rPr>
          <w:rFonts w:ascii="Times New Roman" w:hAnsi="Times New Roman" w:cs="Times New Roman"/>
          <w:b/>
          <w:sz w:val="20"/>
          <w:szCs w:val="20"/>
        </w:rPr>
        <w:lastRenderedPageBreak/>
        <w:t xml:space="preserve">Fig.S2: </w:t>
      </w:r>
      <w:r w:rsidR="00250A90" w:rsidRPr="000E3D3A">
        <w:rPr>
          <w:rFonts w:ascii="Times New Roman" w:hAnsi="Times New Roman" w:cs="Times New Roman"/>
          <w:b/>
          <w:sz w:val="20"/>
          <w:szCs w:val="20"/>
        </w:rPr>
        <w:t>Confirmation of duplications using o</w:t>
      </w:r>
      <w:r w:rsidRPr="000E3D3A">
        <w:rPr>
          <w:rFonts w:ascii="Times New Roman" w:hAnsi="Times New Roman" w:cs="Times New Roman"/>
          <w:b/>
          <w:sz w:val="20"/>
          <w:szCs w:val="20"/>
        </w:rPr>
        <w:t xml:space="preserve">ptical genome mapping. </w:t>
      </w:r>
      <w:r w:rsidRPr="000E3D3A">
        <w:rPr>
          <w:rFonts w:ascii="Times New Roman" w:hAnsi="Times New Roman" w:cs="Times New Roman"/>
          <w:sz w:val="20"/>
          <w:szCs w:val="20"/>
        </w:rPr>
        <w:t>OGM analysis showed that duplications identified from WES data were in tandem (</w:t>
      </w:r>
      <w:r w:rsidR="0059346E" w:rsidRPr="000E3D3A">
        <w:rPr>
          <w:rFonts w:ascii="Times New Roman" w:hAnsi="Times New Roman" w:cs="Times New Roman"/>
          <w:sz w:val="20"/>
          <w:szCs w:val="20"/>
        </w:rPr>
        <w:t>patient-074</w:t>
      </w:r>
      <w:r w:rsidRPr="000E3D3A">
        <w:rPr>
          <w:rFonts w:ascii="Times New Roman" w:hAnsi="Times New Roman" w:cs="Times New Roman"/>
          <w:sz w:val="20"/>
          <w:szCs w:val="20"/>
        </w:rPr>
        <w:t xml:space="preserve">, </w:t>
      </w:r>
      <w:r w:rsidR="0059346E" w:rsidRPr="000E3D3A">
        <w:rPr>
          <w:rFonts w:ascii="Times New Roman" w:hAnsi="Times New Roman" w:cs="Times New Roman"/>
          <w:sz w:val="20"/>
          <w:szCs w:val="20"/>
        </w:rPr>
        <w:t>patient-081</w:t>
      </w:r>
      <w:r w:rsidRPr="000E3D3A">
        <w:rPr>
          <w:rFonts w:ascii="Times New Roman" w:hAnsi="Times New Roman" w:cs="Times New Roman"/>
          <w:sz w:val="20"/>
          <w:szCs w:val="20"/>
        </w:rPr>
        <w:t xml:space="preserve">, </w:t>
      </w:r>
      <w:r w:rsidR="0059346E" w:rsidRPr="000E3D3A">
        <w:rPr>
          <w:rFonts w:ascii="Times New Roman" w:hAnsi="Times New Roman" w:cs="Times New Roman"/>
          <w:sz w:val="20"/>
          <w:szCs w:val="20"/>
        </w:rPr>
        <w:t>patient-083</w:t>
      </w:r>
      <w:r w:rsidRPr="000E3D3A">
        <w:rPr>
          <w:rFonts w:ascii="Times New Roman" w:hAnsi="Times New Roman" w:cs="Times New Roman"/>
          <w:sz w:val="20"/>
          <w:szCs w:val="20"/>
        </w:rPr>
        <w:t xml:space="preserve">, </w:t>
      </w:r>
      <w:r w:rsidR="0059346E" w:rsidRPr="000E3D3A">
        <w:rPr>
          <w:rFonts w:ascii="Times New Roman" w:hAnsi="Times New Roman" w:cs="Times New Roman"/>
          <w:sz w:val="20"/>
          <w:szCs w:val="20"/>
        </w:rPr>
        <w:t>patient-090</w:t>
      </w:r>
      <w:r w:rsidRPr="000E3D3A">
        <w:rPr>
          <w:rFonts w:ascii="Times New Roman" w:hAnsi="Times New Roman" w:cs="Times New Roman"/>
          <w:sz w:val="20"/>
          <w:szCs w:val="20"/>
        </w:rPr>
        <w:t xml:space="preserve">, and </w:t>
      </w:r>
      <w:r w:rsidR="0059346E" w:rsidRPr="000E3D3A">
        <w:rPr>
          <w:rFonts w:ascii="Times New Roman" w:hAnsi="Times New Roman" w:cs="Times New Roman"/>
          <w:sz w:val="20"/>
          <w:szCs w:val="20"/>
        </w:rPr>
        <w:t>patient-160</w:t>
      </w:r>
      <w:r w:rsidRPr="000E3D3A">
        <w:rPr>
          <w:rFonts w:ascii="Times New Roman" w:hAnsi="Times New Roman" w:cs="Times New Roman"/>
          <w:sz w:val="20"/>
          <w:szCs w:val="20"/>
        </w:rPr>
        <w:t>) or to be likely in tandem (</w:t>
      </w:r>
      <w:r w:rsidR="0059346E" w:rsidRPr="000E3D3A">
        <w:rPr>
          <w:rFonts w:ascii="Times New Roman" w:hAnsi="Times New Roman" w:cs="Times New Roman"/>
          <w:sz w:val="20"/>
          <w:szCs w:val="20"/>
        </w:rPr>
        <w:t>patient-149</w:t>
      </w:r>
      <w:r w:rsidRPr="000E3D3A">
        <w:rPr>
          <w:rFonts w:ascii="Times New Roman" w:hAnsi="Times New Roman" w:cs="Times New Roman"/>
          <w:sz w:val="20"/>
          <w:szCs w:val="20"/>
        </w:rPr>
        <w:t xml:space="preserve">, and </w:t>
      </w:r>
      <w:r w:rsidR="0059346E" w:rsidRPr="000E3D3A">
        <w:rPr>
          <w:rFonts w:ascii="Times New Roman" w:hAnsi="Times New Roman" w:cs="Times New Roman"/>
          <w:sz w:val="20"/>
          <w:szCs w:val="20"/>
        </w:rPr>
        <w:t>patient-171</w:t>
      </w:r>
      <w:r w:rsidRPr="000E3D3A">
        <w:rPr>
          <w:rFonts w:ascii="Times New Roman" w:hAnsi="Times New Roman" w:cs="Times New Roman"/>
          <w:sz w:val="20"/>
          <w:szCs w:val="20"/>
        </w:rPr>
        <w:t xml:space="preserve">). </w:t>
      </w:r>
    </w:p>
    <w:p w14:paraId="609CFDD1" w14:textId="7549C2A8" w:rsidR="007530CE" w:rsidRPr="000E3D3A" w:rsidRDefault="0059346E" w:rsidP="00CD3720">
      <w:pPr>
        <w:spacing w:after="200" w:line="276" w:lineRule="auto"/>
        <w:rPr>
          <w:rFonts w:ascii="Times New Roman" w:hAnsi="Times New Roman" w:cs="Times New Roman"/>
          <w:b/>
          <w:sz w:val="20"/>
          <w:szCs w:val="20"/>
        </w:rPr>
      </w:pPr>
      <w:r w:rsidRPr="000E3D3A">
        <w:rPr>
          <w:rFonts w:ascii="Times New Roman" w:hAnsi="Times New Roman" w:cs="Times New Roman"/>
          <w:b/>
          <w:noProof/>
          <w:sz w:val="20"/>
          <w:szCs w:val="20"/>
          <w:lang w:val="de-DE" w:eastAsia="de-DE"/>
        </w:rPr>
        <w:drawing>
          <wp:inline distT="0" distB="0" distL="0" distR="0" wp14:anchorId="29BDA7FC" wp14:editId="46A00EC6">
            <wp:extent cx="4644000" cy="8361471"/>
            <wp:effectExtent l="0" t="0" r="4445" b="1905"/>
            <wp:docPr id="1" name="Grafik 2">
              <a:extLst xmlns:a="http://schemas.openxmlformats.org/drawingml/2006/main">
                <a:ext uri="{FF2B5EF4-FFF2-40B4-BE49-F238E27FC236}">
                  <a16:creationId xmlns:a16="http://schemas.microsoft.com/office/drawing/2014/main" id="{D1A894DB-6AE1-450B-80C1-38CCD962F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D1A894DB-6AE1-450B-80C1-38CCD962FD4A}"/>
                        </a:ext>
                      </a:extLst>
                    </pic:cNvPr>
                    <pic:cNvPicPr>
                      <a:picLocks noChangeAspect="1"/>
                    </pic:cNvPicPr>
                  </pic:nvPicPr>
                  <pic:blipFill>
                    <a:blip r:embed="rId9"/>
                    <a:stretch>
                      <a:fillRect/>
                    </a:stretch>
                  </pic:blipFill>
                  <pic:spPr>
                    <a:xfrm>
                      <a:off x="0" y="0"/>
                      <a:ext cx="4644000" cy="8361471"/>
                    </a:xfrm>
                    <a:prstGeom prst="rect">
                      <a:avLst/>
                    </a:prstGeom>
                  </pic:spPr>
                </pic:pic>
              </a:graphicData>
            </a:graphic>
          </wp:inline>
        </w:drawing>
      </w:r>
      <w:r w:rsidR="007530CE" w:rsidRPr="000E3D3A">
        <w:rPr>
          <w:rFonts w:ascii="Times New Roman" w:hAnsi="Times New Roman" w:cs="Times New Roman"/>
          <w:b/>
          <w:sz w:val="20"/>
          <w:szCs w:val="20"/>
        </w:rPr>
        <w:br w:type="page"/>
      </w:r>
    </w:p>
    <w:p w14:paraId="240DA9A6" w14:textId="4A703C51" w:rsidR="00E67C7B" w:rsidRPr="000E3D3A" w:rsidRDefault="007530CE" w:rsidP="0010588C">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lastRenderedPageBreak/>
        <w:t>Tab.S</w:t>
      </w:r>
      <w:r w:rsidR="00B33B87" w:rsidRPr="000E3D3A">
        <w:rPr>
          <w:rFonts w:ascii="Times New Roman" w:hAnsi="Times New Roman" w:cs="Times New Roman"/>
          <w:b/>
          <w:sz w:val="20"/>
          <w:szCs w:val="20"/>
        </w:rPr>
        <w:t>1</w:t>
      </w:r>
      <w:r w:rsidRPr="000E3D3A">
        <w:rPr>
          <w:rFonts w:ascii="Times New Roman" w:hAnsi="Times New Roman" w:cs="Times New Roman"/>
          <w:b/>
          <w:sz w:val="20"/>
          <w:szCs w:val="20"/>
        </w:rPr>
        <w:t xml:space="preserve">: </w:t>
      </w:r>
      <w:r w:rsidR="00374BA5" w:rsidRPr="000E3D3A">
        <w:rPr>
          <w:rFonts w:ascii="Times New Roman" w:hAnsi="Times New Roman" w:cs="Times New Roman"/>
          <w:b/>
          <w:sz w:val="20"/>
          <w:szCs w:val="20"/>
        </w:rPr>
        <w:t>C</w:t>
      </w:r>
      <w:r w:rsidRPr="000E3D3A">
        <w:rPr>
          <w:rFonts w:ascii="Times New Roman" w:hAnsi="Times New Roman" w:cs="Times New Roman"/>
          <w:b/>
          <w:sz w:val="20"/>
          <w:szCs w:val="20"/>
        </w:rPr>
        <w:t>ohort</w:t>
      </w:r>
      <w:r w:rsidR="00374BA5" w:rsidRPr="000E3D3A">
        <w:rPr>
          <w:rFonts w:ascii="Times New Roman" w:hAnsi="Times New Roman" w:cs="Times New Roman"/>
          <w:b/>
          <w:sz w:val="20"/>
          <w:szCs w:val="20"/>
        </w:rPr>
        <w:t xml:space="preserve"> of patients with a suspected IEI</w:t>
      </w:r>
    </w:p>
    <w:p w14:paraId="07D2403A" w14:textId="2B3B4852" w:rsidR="00B33B87" w:rsidRPr="000E3D3A" w:rsidRDefault="00F92FAD">
      <w:pPr>
        <w:spacing w:after="200" w:line="276" w:lineRule="auto"/>
        <w:rPr>
          <w:rFonts w:ascii="Times New Roman" w:hAnsi="Times New Roman" w:cs="Times New Roman"/>
          <w:b/>
          <w:sz w:val="20"/>
          <w:szCs w:val="20"/>
        </w:rPr>
      </w:pPr>
      <w:r w:rsidRPr="000E3D3A">
        <w:rPr>
          <w:noProof/>
          <w:lang w:val="de-DE" w:eastAsia="de-DE"/>
        </w:rPr>
        <w:drawing>
          <wp:inline distT="0" distB="0" distL="0" distR="0" wp14:anchorId="1C522977" wp14:editId="170D6C23">
            <wp:extent cx="4500000" cy="8796211"/>
            <wp:effectExtent l="0" t="0" r="0" b="508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0000" cy="8796211"/>
                    </a:xfrm>
                    <a:prstGeom prst="rect">
                      <a:avLst/>
                    </a:prstGeom>
                    <a:noFill/>
                    <a:extLst/>
                  </pic:spPr>
                </pic:pic>
              </a:graphicData>
            </a:graphic>
          </wp:inline>
        </w:drawing>
      </w:r>
    </w:p>
    <w:p w14:paraId="4EC7BE9D" w14:textId="6C511465" w:rsidR="00195BA9" w:rsidRPr="000E3D3A" w:rsidRDefault="00F92FAD">
      <w:pPr>
        <w:spacing w:after="200" w:line="276" w:lineRule="auto"/>
        <w:rPr>
          <w:rFonts w:ascii="Times New Roman" w:hAnsi="Times New Roman" w:cs="Times New Roman"/>
          <w:b/>
          <w:sz w:val="20"/>
          <w:szCs w:val="20"/>
        </w:rPr>
      </w:pPr>
      <w:r w:rsidRPr="000E3D3A">
        <w:rPr>
          <w:noProof/>
          <w:lang w:val="de-DE" w:eastAsia="de-DE"/>
        </w:rPr>
        <w:lastRenderedPageBreak/>
        <w:drawing>
          <wp:inline distT="0" distB="0" distL="0" distR="0" wp14:anchorId="7D884612" wp14:editId="6FF52995">
            <wp:extent cx="4500000" cy="8991818"/>
            <wp:effectExtent l="0" t="0" r="0" b="0"/>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0000" cy="8991818"/>
                    </a:xfrm>
                    <a:prstGeom prst="rect">
                      <a:avLst/>
                    </a:prstGeom>
                    <a:noFill/>
                    <a:extLst/>
                  </pic:spPr>
                </pic:pic>
              </a:graphicData>
            </a:graphic>
          </wp:inline>
        </w:drawing>
      </w:r>
    </w:p>
    <w:p w14:paraId="59CDA432" w14:textId="57F1FCB4" w:rsidR="00B33B87" w:rsidRPr="000E3D3A" w:rsidRDefault="00B33B87" w:rsidP="00B33B87">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lastRenderedPageBreak/>
        <w:t>Tab.S2: Clinical phenotypes of patients carrying a validated CNV affecting an IEI-associated gene.</w:t>
      </w:r>
    </w:p>
    <w:p w14:paraId="3A5160FC" w14:textId="2538B33B" w:rsidR="007671FC" w:rsidRPr="000E3D3A" w:rsidRDefault="00D10BD0" w:rsidP="006363F6">
      <w:pPr>
        <w:spacing w:line="360" w:lineRule="auto"/>
        <w:jc w:val="both"/>
        <w:rPr>
          <w:rFonts w:ascii="Times New Roman" w:hAnsi="Times New Roman" w:cs="Times New Roman"/>
          <w:sz w:val="20"/>
          <w:szCs w:val="20"/>
        </w:rPr>
      </w:pPr>
      <w:r w:rsidRPr="000E3D3A">
        <w:rPr>
          <w:noProof/>
          <w:lang w:eastAsia="de-DE"/>
        </w:rPr>
        <w:t xml:space="preserve"> </w:t>
      </w:r>
      <w:r w:rsidRPr="000E3D3A">
        <w:rPr>
          <w:noProof/>
          <w:lang w:val="de-DE" w:eastAsia="de-DE"/>
        </w:rPr>
        <w:drawing>
          <wp:inline distT="0" distB="0" distL="0" distR="0" wp14:anchorId="32D3B282" wp14:editId="77F010C6">
            <wp:extent cx="4789872" cy="8816400"/>
            <wp:effectExtent l="0" t="0" r="0" b="381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9872" cy="8816400"/>
                    </a:xfrm>
                    <a:prstGeom prst="rect">
                      <a:avLst/>
                    </a:prstGeom>
                    <a:noFill/>
                    <a:extLst/>
                  </pic:spPr>
                </pic:pic>
              </a:graphicData>
            </a:graphic>
          </wp:inline>
        </w:drawing>
      </w:r>
    </w:p>
    <w:p w14:paraId="2F5A3873" w14:textId="223C25DB" w:rsidR="00031813" w:rsidRPr="000E3D3A" w:rsidRDefault="00CC1F15" w:rsidP="006363F6">
      <w:pPr>
        <w:spacing w:line="360" w:lineRule="auto"/>
        <w:jc w:val="both"/>
        <w:rPr>
          <w:rFonts w:ascii="Times New Roman" w:hAnsi="Times New Roman" w:cs="Times New Roman"/>
          <w:b/>
          <w:sz w:val="20"/>
          <w:szCs w:val="20"/>
        </w:rPr>
      </w:pPr>
      <w:r w:rsidRPr="000E3D3A">
        <w:rPr>
          <w:rFonts w:ascii="Times New Roman" w:hAnsi="Times New Roman" w:cs="Times New Roman"/>
          <w:b/>
          <w:sz w:val="20"/>
          <w:szCs w:val="20"/>
        </w:rPr>
        <w:lastRenderedPageBreak/>
        <w:t>REFERENCES</w:t>
      </w:r>
    </w:p>
    <w:p w14:paraId="651B4489" w14:textId="65DF814C"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w:t>
      </w:r>
      <w:r w:rsidRPr="000E3D3A">
        <w:rPr>
          <w:rFonts w:ascii="Times New Roman" w:hAnsi="Times New Roman" w:cs="Times New Roman"/>
          <w:noProof/>
          <w:sz w:val="20"/>
          <w:szCs w:val="20"/>
        </w:rPr>
        <w:tab/>
        <w:t>Staples ER, McDermott EM, Reiman A, Byrd PJ, Ritchie S, Taylor AM, et al. Immunodeficiency in ataxia telangiectasia is correlated strongly with the presence of two null mutations in the ataxia telangiectasia mutated gene. Clin Exp Immunol. 2008;153(2):214-20.</w:t>
      </w:r>
    </w:p>
    <w:p w14:paraId="2FBEB45D"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2.</w:t>
      </w:r>
      <w:r w:rsidRPr="000E3D3A">
        <w:rPr>
          <w:rFonts w:ascii="Times New Roman" w:hAnsi="Times New Roman" w:cs="Times New Roman"/>
          <w:noProof/>
          <w:sz w:val="20"/>
          <w:szCs w:val="20"/>
        </w:rPr>
        <w:tab/>
        <w:t>Bousfiha A, Jeddane L, Picard C, Al-Herz W, Ailal F, Chatila T, et al. Human Inborn Errors of Immunity: 2019 Update of the IUIS Phenotypical Classification. J Clin Immunol. 2020;40(1):66-81.</w:t>
      </w:r>
    </w:p>
    <w:p w14:paraId="4A826BC2"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3.</w:t>
      </w:r>
      <w:r w:rsidRPr="000E3D3A">
        <w:rPr>
          <w:rFonts w:ascii="Times New Roman" w:hAnsi="Times New Roman" w:cs="Times New Roman"/>
          <w:noProof/>
          <w:sz w:val="20"/>
          <w:szCs w:val="20"/>
        </w:rPr>
        <w:tab/>
        <w:t>Weitering TJ, Takada S, Weemaes CMR, van Schouwenburg PA, van der Burg M. ATM: Translating the DNA Damage Response to Adaptive Immunity. Trends Immunol. 2021;42(4):350-65.</w:t>
      </w:r>
    </w:p>
    <w:p w14:paraId="0DB0E08A"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4.</w:t>
      </w:r>
      <w:r w:rsidRPr="000E3D3A">
        <w:rPr>
          <w:rFonts w:ascii="Times New Roman" w:hAnsi="Times New Roman" w:cs="Times New Roman"/>
          <w:noProof/>
          <w:sz w:val="20"/>
          <w:szCs w:val="20"/>
        </w:rPr>
        <w:tab/>
        <w:t>Yee CS, Massaad MJ, Bainter W, Ohsumi TK, Foger N, Chan AC, et al. Recurrent viral infections associated with a homozygous CORO1A mutation that disrupts oligomerization and cytoskeletal association. J Allergy Clin Immunol. 2016;137(3):879-88 e2.</w:t>
      </w:r>
    </w:p>
    <w:p w14:paraId="7FD3139F"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5.</w:t>
      </w:r>
      <w:r w:rsidRPr="000E3D3A">
        <w:rPr>
          <w:rFonts w:ascii="Times New Roman" w:hAnsi="Times New Roman" w:cs="Times New Roman"/>
          <w:noProof/>
          <w:sz w:val="20"/>
          <w:szCs w:val="20"/>
        </w:rPr>
        <w:tab/>
        <w:t>Pellenz FM, Dieter C, Lemos NE, Bauer AC, Souza BM, Crispim D. Association of TYK2 polymorphisms with autoimmune diseases: A comprehensive and updated systematic review with meta-analysis. Genet Mol Biol. 2021;44(2):e20200425.</w:t>
      </w:r>
    </w:p>
    <w:p w14:paraId="713F2AF5"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6.</w:t>
      </w:r>
      <w:r w:rsidRPr="000E3D3A">
        <w:rPr>
          <w:rFonts w:ascii="Times New Roman" w:hAnsi="Times New Roman" w:cs="Times New Roman"/>
          <w:noProof/>
          <w:sz w:val="20"/>
          <w:szCs w:val="20"/>
        </w:rPr>
        <w:tab/>
        <w:t>Stray-Pedersen A, Sorte HS, Samarakoon P, Gambin T, Chinn IK, Coban Akdemir ZH, et al. Primary immunodeficiency diseases: Genomic approaches delineate heterogeneous Mendelian disorders. J Allergy Clin Immunol. 2017;139(1):232-45.</w:t>
      </w:r>
    </w:p>
    <w:p w14:paraId="37B44FB8"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7.</w:t>
      </w:r>
      <w:r w:rsidRPr="000E3D3A">
        <w:rPr>
          <w:rFonts w:ascii="Times New Roman" w:hAnsi="Times New Roman" w:cs="Times New Roman"/>
          <w:noProof/>
          <w:sz w:val="20"/>
          <w:szCs w:val="20"/>
        </w:rPr>
        <w:tab/>
        <w:t>Dyer L, Li X, Denton J, Jones B, Liston E, Hilton D, et al. Gene dosage defects in primary immunodeficiencies and related disorders: a pilot study. Journal of Translational Genetics and Genomics. 2017;1:23-7.</w:t>
      </w:r>
    </w:p>
    <w:p w14:paraId="45308955"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8.</w:t>
      </w:r>
      <w:r w:rsidRPr="000E3D3A">
        <w:rPr>
          <w:rFonts w:ascii="Times New Roman" w:hAnsi="Times New Roman" w:cs="Times New Roman"/>
          <w:noProof/>
          <w:sz w:val="20"/>
          <w:szCs w:val="20"/>
        </w:rPr>
        <w:tab/>
        <w:t>Nguyen TV, Pawlikowska P, Firlej V, Rosselli F, Aoufouchi S. V(D)J recombination process and the Pre-B to immature B-cells transition are altered in Fanca(-/-) mice. Sci Rep. 2016;6:36906.</w:t>
      </w:r>
    </w:p>
    <w:p w14:paraId="0F408DBE"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9.</w:t>
      </w:r>
      <w:r w:rsidRPr="000E3D3A">
        <w:rPr>
          <w:rFonts w:ascii="Times New Roman" w:hAnsi="Times New Roman" w:cs="Times New Roman"/>
          <w:noProof/>
          <w:sz w:val="20"/>
          <w:szCs w:val="20"/>
        </w:rPr>
        <w:tab/>
        <w:t>Goos H, Fogarty CL, Sahu B, Plagnol V, Rajamaki K, Nurmi K, et al. Gain-of-function CEBPE mutation causes noncanonical autoinflammatory inflammasomopathy. J Allergy Clin Immunol. 2019;144(5):1364-76.</w:t>
      </w:r>
    </w:p>
    <w:p w14:paraId="3945133F"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10.</w:t>
      </w:r>
      <w:r w:rsidRPr="000E3D3A">
        <w:rPr>
          <w:rFonts w:ascii="Times New Roman" w:hAnsi="Times New Roman" w:cs="Times New Roman"/>
          <w:noProof/>
          <w:sz w:val="20"/>
          <w:szCs w:val="20"/>
        </w:rPr>
        <w:tab/>
        <w:t>Nakajima H, Watanabe N, Shibata F, Kitamura T, Ikeda Y, Handa M. N-terminal region of CCAAT/enhancer-binding protein epsilon is critical for cell cycle arrest, apoptosis, and functional maturation during myeloid differentiation. J Biol Chem. 2006;281(20):14494-502.</w:t>
      </w:r>
    </w:p>
    <w:p w14:paraId="600F1D28"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11.</w:t>
      </w:r>
      <w:r w:rsidRPr="000E3D3A">
        <w:rPr>
          <w:rFonts w:ascii="Times New Roman" w:hAnsi="Times New Roman" w:cs="Times New Roman"/>
          <w:noProof/>
          <w:sz w:val="20"/>
          <w:szCs w:val="20"/>
        </w:rPr>
        <w:tab/>
        <w:t>Romberg N, Vogel TP, Canna SW. NLRC4 inflammasomopathies. Curr Opin Allergy Clin Immunol. 2017;17(6):398-404.</w:t>
      </w:r>
    </w:p>
    <w:p w14:paraId="742AAC9A"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12.</w:t>
      </w:r>
      <w:r w:rsidRPr="000E3D3A">
        <w:rPr>
          <w:rFonts w:ascii="Times New Roman" w:hAnsi="Times New Roman" w:cs="Times New Roman"/>
          <w:noProof/>
          <w:sz w:val="20"/>
          <w:szCs w:val="20"/>
        </w:rPr>
        <w:tab/>
        <w:t>Kallinich T, Orak B, Wittkowski H. [Role of genetics in familial Mediterranean fever]. Z Rheumatol. 2017;76(4):303-12.</w:t>
      </w:r>
    </w:p>
    <w:p w14:paraId="678B84F0"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13.</w:t>
      </w:r>
      <w:r w:rsidRPr="000E3D3A">
        <w:rPr>
          <w:rFonts w:ascii="Times New Roman" w:hAnsi="Times New Roman" w:cs="Times New Roman"/>
          <w:noProof/>
          <w:sz w:val="20"/>
          <w:szCs w:val="20"/>
        </w:rPr>
        <w:tab/>
        <w:t>Salvator H, Mahlaoui N, Catherinot E, Rivaud E, Pilmis B, Borie R, et al. Pulmonary manifestations in adult patients with chronic granulomatous disease. Eur Respir J. 2015;45(6):1613-23.</w:t>
      </w:r>
    </w:p>
    <w:p w14:paraId="5C4FBBC8" w14:textId="77777777" w:rsidR="008975DD" w:rsidRPr="000E3D3A"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14.</w:t>
      </w:r>
      <w:r w:rsidRPr="000E3D3A">
        <w:rPr>
          <w:rFonts w:ascii="Times New Roman" w:hAnsi="Times New Roman" w:cs="Times New Roman"/>
          <w:noProof/>
          <w:sz w:val="20"/>
          <w:szCs w:val="20"/>
        </w:rPr>
        <w:tab/>
        <w:t>Reddi TS, Merkl PE, Lim SY, Letvin NL, Knipe DM. Tripartite Motif 22 (TRIM22) protein restricts herpes simplex virus 1 by epigenetic silencing of viral immediate-early genes. PLoS Pathog. 2021;17(2):e1009281.</w:t>
      </w:r>
    </w:p>
    <w:p w14:paraId="5C98EEA7" w14:textId="77777777" w:rsidR="008975DD" w:rsidRPr="008975DD" w:rsidRDefault="008975DD" w:rsidP="008975DD">
      <w:pPr>
        <w:pStyle w:val="EndNoteBibliography"/>
        <w:ind w:left="426" w:hanging="426"/>
        <w:rPr>
          <w:rFonts w:ascii="Times New Roman" w:hAnsi="Times New Roman" w:cs="Times New Roman"/>
          <w:noProof/>
          <w:sz w:val="20"/>
          <w:szCs w:val="20"/>
        </w:rPr>
      </w:pPr>
      <w:r w:rsidRPr="000E3D3A">
        <w:rPr>
          <w:rFonts w:ascii="Times New Roman" w:hAnsi="Times New Roman" w:cs="Times New Roman"/>
          <w:noProof/>
          <w:sz w:val="20"/>
          <w:szCs w:val="20"/>
        </w:rPr>
        <w:t>15.</w:t>
      </w:r>
      <w:r w:rsidRPr="000E3D3A">
        <w:rPr>
          <w:rFonts w:ascii="Times New Roman" w:hAnsi="Times New Roman" w:cs="Times New Roman"/>
          <w:noProof/>
          <w:sz w:val="20"/>
          <w:szCs w:val="20"/>
        </w:rPr>
        <w:tab/>
        <w:t>Li Q, Lee CH, Peters LA, Mastropaolo LA, Thoeni C, Elkadri A, et al. Variants in TRIM22 That Affect NOD2 Signaling Are Associated With Very-Early-Onset Inflammatory Bowel Disease. Gastroenterology. 2016;150(5):1196-207.</w:t>
      </w:r>
      <w:bookmarkStart w:id="0" w:name="_GoBack"/>
      <w:bookmarkEnd w:id="0"/>
    </w:p>
    <w:sectPr w:rsidR="008975DD" w:rsidRPr="008975DD" w:rsidSect="000E3D3A">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2AB6" w16cex:dateUtc="2022-01-30T21:27:00Z"/>
  <w16cex:commentExtensible w16cex:durableId="255C92AF" w16cex:dateUtc="2021-12-09T13:35:00Z"/>
  <w16cex:commentExtensible w16cex:durableId="24EE3772" w16cex:dateUtc="2021-09-17T04:36:00Z"/>
  <w16cex:commentExtensible w16cex:durableId="253D0729" w16cex:dateUtc="2021-11-15T12:26:00Z"/>
  <w16cex:commentExtensible w16cex:durableId="24E43547" w16cex:dateUtc="2021-07-16T07:27:00Z"/>
  <w16cex:commentExtensible w16cex:durableId="24E4354A" w16cex:dateUtc="2021-08-26T12:46:00Z"/>
  <w16cex:commentExtensible w16cex:durableId="24E49CC4" w16cex:dateUtc="2021-07-16T09:31:00Z"/>
  <w16cex:commentExtensible w16cex:durableId="24E4354B" w16cex:dateUtc="2021-07-16T09:34:00Z"/>
  <w16cex:commentExtensible w16cex:durableId="24E4354D" w16cex:dateUtc="2021-07-16T10:50:00Z"/>
  <w16cex:commentExtensible w16cex:durableId="253D072F" w16cex:dateUtc="2021-11-15T12:32:00Z"/>
  <w16cex:commentExtensible w16cex:durableId="255DBE6C" w16cex:dateUtc="2021-12-10T10:54:00Z"/>
  <w16cex:commentExtensible w16cex:durableId="24E4354E" w16cex:dateUtc="2021-07-16T12:19:00Z"/>
  <w16cex:commentExtensible w16cex:durableId="24EE38A8" w16cex:dateUtc="2021-09-17T04:42:00Z"/>
  <w16cex:commentExtensible w16cex:durableId="255DC0C9" w16cex:dateUtc="2021-12-10T11:04:00Z"/>
  <w16cex:commentExtensible w16cex:durableId="24E43551" w16cex:dateUtc="2021-07-16T12:21:00Z"/>
  <w16cex:commentExtensible w16cex:durableId="24E43552" w16cex:dateUtc="2021-07-21T14:29:00Z"/>
  <w16cex:commentExtensible w16cex:durableId="24EE38E2" w16cex:dateUtc="2021-09-17T04:42:00Z"/>
  <w16cex:commentExtensible w16cex:durableId="255DCBDA" w16cex:dateUtc="2021-12-10T11:51:00Z"/>
  <w16cex:commentExtensible w16cex:durableId="24E43553" w16cex:dateUtc="2021-07-16T12:22:00Z"/>
  <w16cex:commentExtensible w16cex:durableId="24E43554" w16cex:dateUtc="2021-07-22T12:27:00Z"/>
  <w16cex:commentExtensible w16cex:durableId="253D073B" w16cex:dateUtc="2021-11-15T12:39:00Z"/>
  <w16cex:commentExtensible w16cex:durableId="255DC30E" w16cex:dateUtc="2021-12-10T11:14:00Z"/>
  <w16cex:commentExtensible w16cex:durableId="24E43555" w16cex:dateUtc="2021-07-22T12:28:00Z"/>
  <w16cex:commentExtensible w16cex:durableId="24E43556" w16cex:dateUtc="2021-07-22T13:14:00Z"/>
  <w16cex:commentExtensible w16cex:durableId="24E43557" w16cex:dateUtc="2021-07-16T12:22:00Z"/>
  <w16cex:commentExtensible w16cex:durableId="24EE392F" w16cex:dateUtc="2021-09-17T04:44:00Z"/>
  <w16cex:commentExtensible w16cex:durableId="255DCBF2" w16cex:dateUtc="2021-12-10T11:52:00Z"/>
  <w16cex:commentExtensible w16cex:durableId="253D0740" w16cex:dateUtc="2021-08-26T15:56:00Z"/>
  <w16cex:commentExtensible w16cex:durableId="253D0741" w16cex:dateUtc="2021-11-15T13:27:00Z"/>
  <w16cex:commentExtensible w16cex:durableId="24E43559" w16cex:dateUtc="2021-07-22T13:31:00Z"/>
  <w16cex:commentExtensible w16cex:durableId="24E43567" w16cex:dateUtc="2021-08-06T08:46:00Z"/>
  <w16cex:commentExtensible w16cex:durableId="24E43569" w16cex:dateUtc="2021-08-06T08:31:00Z"/>
  <w16cex:commentExtensible w16cex:durableId="24E4356B" w16cex:dateUtc="2021-08-06T08:30:00Z"/>
  <w16cex:commentExtensible w16cex:durableId="24E4356D" w16cex:dateUtc="2021-08-06T09:01:00Z"/>
  <w16cex:commentExtensible w16cex:durableId="24EC5682" w16cex:dateUtc="2021-07-16T12:14:00Z"/>
  <w16cex:commentExtensible w16cex:durableId="24E4357B" w16cex:dateUtc="2021-07-01T09:39:00Z"/>
  <w16cex:commentExtensible w16cex:durableId="24E4357D" w16cex:dateUtc="2021-07-01T09:58:00Z"/>
  <w16cex:commentExtensible w16cex:durableId="253D074D" w16cex:dateUtc="2021-07-01T11:38:00Z"/>
  <w16cex:commentExtensible w16cex:durableId="24E4357F" w16cex:dateUtc="2021-07-01T12:40:00Z"/>
  <w16cex:commentExtensible w16cex:durableId="24E43580" w16cex:dateUtc="2021-07-01T13:08:00Z"/>
  <w16cex:commentExtensible w16cex:durableId="24E43581" w16cex:dateUtc="2021-07-16T12:18:00Z"/>
  <w16cex:commentExtensible w16cex:durableId="24E43582" w16cex:dateUtc="2021-08-12T14:10:00Z"/>
  <w16cex:commentExtensible w16cex:durableId="24E43584" w16cex:dateUtc="2021-07-16T12:17:00Z"/>
  <w16cex:commentExtensible w16cex:durableId="255DC8E6" w16cex:dateUtc="2021-12-10T11:39:00Z"/>
  <w16cex:commentExtensible w16cex:durableId="25A22AE2" w16cex:dateUtc="2022-01-30T2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0DF58B" w16cid:durableId="24E43547"/>
  <w16cid:commentId w16cid:paraId="6B919DCD" w16cid:durableId="24E4354A"/>
  <w16cid:commentId w16cid:paraId="4C5FA62D" w16cid:durableId="24E49CC4"/>
  <w16cid:commentId w16cid:paraId="0C76EAFC" w16cid:durableId="24E4354B"/>
  <w16cid:commentId w16cid:paraId="1CC1D41D" w16cid:durableId="24E4354E"/>
  <w16cid:commentId w16cid:paraId="3AC6CBAA" w16cid:durableId="24EE38A8"/>
  <w16cid:commentId w16cid:paraId="669838A3" w16cid:durableId="255DC0C9"/>
  <w16cid:commentId w16cid:paraId="352825AC" w16cid:durableId="24E43551"/>
  <w16cid:commentId w16cid:paraId="603A0316" w16cid:durableId="24E43552"/>
  <w16cid:commentId w16cid:paraId="2C954766" w16cid:durableId="24EE38E2"/>
  <w16cid:commentId w16cid:paraId="1A9EB55C" w16cid:durableId="255DCBDA"/>
  <w16cid:commentId w16cid:paraId="6D805226" w16cid:durableId="24E43553"/>
  <w16cid:commentId w16cid:paraId="6EDC7C4E" w16cid:durableId="24E43554"/>
  <w16cid:commentId w16cid:paraId="689DA919" w16cid:durableId="253D073B"/>
  <w16cid:commentId w16cid:paraId="0223A164" w16cid:durableId="255DC30E"/>
  <w16cid:commentId w16cid:paraId="1B99A9F5" w16cid:durableId="24E43555"/>
  <w16cid:commentId w16cid:paraId="0BB26609" w16cid:durableId="24E43556"/>
  <w16cid:commentId w16cid:paraId="112A7EA3" w16cid:durableId="24EE392F"/>
  <w16cid:commentId w16cid:paraId="335C7A16" w16cid:durableId="255DCBF2"/>
  <w16cid:commentId w16cid:paraId="0F91ABE9" w16cid:durableId="253D0740"/>
  <w16cid:commentId w16cid:paraId="3D578EB4" w16cid:durableId="253D0741"/>
  <w16cid:commentId w16cid:paraId="572B55EF" w16cid:durableId="24E43559"/>
  <w16cid:commentId w16cid:paraId="74BD3EAE" w16cid:durableId="25AF6E46"/>
  <w16cid:commentId w16cid:paraId="1B1A95AB" w16cid:durableId="25AF6E47"/>
  <w16cid:commentId w16cid:paraId="5949CA6C" w16cid:durableId="25AF6E48"/>
  <w16cid:commentId w16cid:paraId="7EE773FD" w16cid:durableId="25AF6E49"/>
  <w16cid:commentId w16cid:paraId="10599A30" w16cid:durableId="25AF6E4A"/>
  <w16cid:commentId w16cid:paraId="25FD9E87" w16cid:durableId="25AF6E4B"/>
  <w16cid:commentId w16cid:paraId="0DB76408" w16cid:durableId="25AF6E4C"/>
  <w16cid:commentId w16cid:paraId="6E01F438" w16cid:durableId="25AF6E4D"/>
  <w16cid:commentId w16cid:paraId="5C02E807" w16cid:durableId="25AF6E4E"/>
  <w16cid:commentId w16cid:paraId="505D07A3" w16cid:durableId="25AF6E4F"/>
  <w16cid:commentId w16cid:paraId="4064A0EE" w16cid:durableId="25AF6E50"/>
  <w16cid:commentId w16cid:paraId="40AA0E44" w16cid:durableId="25AF6E51"/>
  <w16cid:commentId w16cid:paraId="44131DE4" w16cid:durableId="25AF6E52"/>
  <w16cid:commentId w16cid:paraId="45CCF549" w16cid:durableId="24EC5682"/>
  <w16cid:commentId w16cid:paraId="71B13D69" w16cid:durableId="25A22A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09615" w14:textId="77777777" w:rsidR="004E59E0" w:rsidRDefault="004E59E0">
      <w:r>
        <w:separator/>
      </w:r>
    </w:p>
  </w:endnote>
  <w:endnote w:type="continuationSeparator" w:id="0">
    <w:p w14:paraId="304448F2" w14:textId="77777777" w:rsidR="004E59E0" w:rsidRDefault="004E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utiger LT 47 LightCn">
    <w:panose1 w:val="020B0406020204020204"/>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616847"/>
      <w:docPartObj>
        <w:docPartGallery w:val="Page Numbers (Bottom of Page)"/>
        <w:docPartUnique/>
      </w:docPartObj>
    </w:sdtPr>
    <w:sdtEndPr>
      <w:rPr>
        <w:rFonts w:ascii="Times New Roman" w:hAnsi="Times New Roman" w:cs="Times New Roman"/>
        <w:sz w:val="20"/>
      </w:rPr>
    </w:sdtEndPr>
    <w:sdtContent>
      <w:p w14:paraId="122E1B53" w14:textId="3894BEED" w:rsidR="004E59E0" w:rsidRPr="00AC51FD" w:rsidRDefault="004E59E0" w:rsidP="006363F6">
        <w:pPr>
          <w:pStyle w:val="Fuzeile"/>
          <w:pBdr>
            <w:top w:val="single" w:sz="4" w:space="1" w:color="auto"/>
          </w:pBdr>
          <w:jc w:val="center"/>
          <w:rPr>
            <w:rFonts w:ascii="Times New Roman" w:hAnsi="Times New Roman" w:cs="Times New Roman"/>
            <w:sz w:val="20"/>
          </w:rPr>
        </w:pPr>
        <w:r w:rsidRPr="00AC51FD">
          <w:rPr>
            <w:rFonts w:ascii="Times New Roman" w:hAnsi="Times New Roman" w:cs="Times New Roman"/>
            <w:sz w:val="20"/>
          </w:rPr>
          <w:fldChar w:fldCharType="begin"/>
        </w:r>
        <w:r w:rsidRPr="00AC51FD">
          <w:rPr>
            <w:rFonts w:ascii="Times New Roman" w:hAnsi="Times New Roman" w:cs="Times New Roman"/>
            <w:sz w:val="20"/>
          </w:rPr>
          <w:instrText>PAGE  \* Arabic  \* MERGEFORMAT</w:instrText>
        </w:r>
        <w:r w:rsidRPr="00AC51FD">
          <w:rPr>
            <w:rFonts w:ascii="Times New Roman" w:hAnsi="Times New Roman" w:cs="Times New Roman"/>
            <w:sz w:val="20"/>
          </w:rPr>
          <w:fldChar w:fldCharType="separate"/>
        </w:r>
        <w:r w:rsidR="000E3D3A">
          <w:rPr>
            <w:rFonts w:ascii="Times New Roman" w:hAnsi="Times New Roman" w:cs="Times New Roman"/>
            <w:noProof/>
            <w:sz w:val="20"/>
          </w:rPr>
          <w:t>1</w:t>
        </w:r>
        <w:r w:rsidRPr="00AC51FD">
          <w:rPr>
            <w:rFonts w:ascii="Times New Roman" w:hAnsi="Times New Roman" w:cs="Times New Roman"/>
            <w:sz w:val="20"/>
          </w:rPr>
          <w:fldChar w:fldCharType="end"/>
        </w:r>
        <w:r w:rsidRPr="00AC51FD">
          <w:rPr>
            <w:rFonts w:ascii="Times New Roman" w:hAnsi="Times New Roman" w:cs="Times New Roman"/>
            <w:sz w:val="20"/>
            <w:lang w:val="de-DE"/>
          </w:rPr>
          <w:t xml:space="preserve"> / </w:t>
        </w:r>
        <w:r w:rsidRPr="00AC51FD">
          <w:rPr>
            <w:rFonts w:ascii="Times New Roman" w:hAnsi="Times New Roman" w:cs="Times New Roman"/>
            <w:sz w:val="20"/>
          </w:rPr>
          <w:fldChar w:fldCharType="begin"/>
        </w:r>
        <w:r w:rsidRPr="00AC51FD">
          <w:rPr>
            <w:rFonts w:ascii="Times New Roman" w:hAnsi="Times New Roman" w:cs="Times New Roman"/>
            <w:sz w:val="20"/>
          </w:rPr>
          <w:instrText>NUMPAGES  \* Arabic  \* MERGEFORMAT</w:instrText>
        </w:r>
        <w:r w:rsidRPr="00AC51FD">
          <w:rPr>
            <w:rFonts w:ascii="Times New Roman" w:hAnsi="Times New Roman" w:cs="Times New Roman"/>
            <w:sz w:val="20"/>
          </w:rPr>
          <w:fldChar w:fldCharType="separate"/>
        </w:r>
        <w:r w:rsidR="000E3D3A" w:rsidRPr="000E3D3A">
          <w:rPr>
            <w:rFonts w:ascii="Times New Roman" w:hAnsi="Times New Roman" w:cs="Times New Roman"/>
            <w:noProof/>
            <w:sz w:val="20"/>
            <w:lang w:val="de-DE"/>
          </w:rPr>
          <w:t>9</w:t>
        </w:r>
        <w:r w:rsidRPr="00AC51FD">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7896E" w14:textId="77777777" w:rsidR="004E59E0" w:rsidRDefault="004E59E0">
      <w:r>
        <w:separator/>
      </w:r>
    </w:p>
  </w:footnote>
  <w:footnote w:type="continuationSeparator" w:id="0">
    <w:p w14:paraId="0A23C737" w14:textId="77777777" w:rsidR="004E59E0" w:rsidRDefault="004E5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8F78C" w14:textId="465FEC9E" w:rsidR="004E59E0" w:rsidRPr="001073C4" w:rsidRDefault="001073C4" w:rsidP="006363F6">
    <w:pPr>
      <w:pStyle w:val="Kopfzeile"/>
      <w:pBdr>
        <w:bottom w:val="single" w:sz="4" w:space="1" w:color="auto"/>
      </w:pBdr>
      <w:jc w:val="right"/>
      <w:rPr>
        <w:rFonts w:ascii="Times New Roman" w:hAnsi="Times New Roman" w:cs="Times New Roman"/>
        <w:sz w:val="20"/>
      </w:rPr>
    </w:pPr>
    <w:r w:rsidRPr="001073C4">
      <w:rPr>
        <w:rFonts w:ascii="Times New Roman" w:hAnsi="Times New Roman" w:cs="Times New Roman"/>
        <w:sz w:val="20"/>
      </w:rPr>
      <w:t xml:space="preserve">Online Supplement </w:t>
    </w:r>
    <w:r w:rsidRPr="001073C4">
      <w:rPr>
        <w:rFonts w:ascii="Times New Roman" w:hAnsi="Times New Roman" w:cs="Times New Roman"/>
        <w:sz w:val="20"/>
      </w:rPr>
      <w:ptab w:relativeTo="margin" w:alignment="center" w:leader="none"/>
    </w:r>
    <w:r w:rsidRPr="001073C4">
      <w:rPr>
        <w:rFonts w:ascii="Times New Roman" w:hAnsi="Times New Roman" w:cs="Times New Roman"/>
        <w:sz w:val="20"/>
      </w:rPr>
      <w:ptab w:relativeTo="margin" w:alignment="right" w:leader="none"/>
    </w:r>
    <w:r w:rsidRPr="001073C4">
      <w:rPr>
        <w:rFonts w:ascii="Times New Roman" w:hAnsi="Times New Roman" w:cs="Times New Roman"/>
        <w:sz w:val="20"/>
      </w:rPr>
      <w:t xml:space="preserve">Wan, Schieck, </w:t>
    </w:r>
    <w:r w:rsidRPr="001073C4">
      <w:rPr>
        <w:rFonts w:ascii="Times New Roman" w:hAnsi="Times New Roman" w:cs="Times New Roman"/>
        <w:i/>
        <w:sz w:val="20"/>
      </w:rPr>
      <w:t xml:space="preserve">et al.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EA4"/>
    <w:multiLevelType w:val="hybridMultilevel"/>
    <w:tmpl w:val="0F800E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A11ABC"/>
    <w:multiLevelType w:val="hybridMultilevel"/>
    <w:tmpl w:val="A0D81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6819FF"/>
    <w:multiLevelType w:val="multilevel"/>
    <w:tmpl w:val="0ECE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90327"/>
    <w:multiLevelType w:val="hybridMultilevel"/>
    <w:tmpl w:val="57386B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D46443"/>
    <w:multiLevelType w:val="hybridMultilevel"/>
    <w:tmpl w:val="A732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27156"/>
    <w:multiLevelType w:val="hybridMultilevel"/>
    <w:tmpl w:val="84FC43DC"/>
    <w:lvl w:ilvl="0" w:tplc="B5A656CC">
      <w:start w:val="1"/>
      <w:numFmt w:val="bullet"/>
      <w:lvlText w:val="•"/>
      <w:lvlJc w:val="left"/>
      <w:pPr>
        <w:tabs>
          <w:tab w:val="num" w:pos="720"/>
        </w:tabs>
        <w:ind w:left="720" w:hanging="360"/>
      </w:pPr>
      <w:rPr>
        <w:rFonts w:ascii="Arial" w:hAnsi="Arial" w:hint="default"/>
      </w:rPr>
    </w:lvl>
    <w:lvl w:ilvl="1" w:tplc="6832A8AE">
      <w:start w:val="1"/>
      <w:numFmt w:val="bullet"/>
      <w:lvlText w:val="•"/>
      <w:lvlJc w:val="left"/>
      <w:pPr>
        <w:tabs>
          <w:tab w:val="num" w:pos="1440"/>
        </w:tabs>
        <w:ind w:left="1440" w:hanging="360"/>
      </w:pPr>
      <w:rPr>
        <w:rFonts w:ascii="Arial" w:hAnsi="Arial" w:hint="default"/>
      </w:rPr>
    </w:lvl>
    <w:lvl w:ilvl="2" w:tplc="A246013C">
      <w:start w:val="215"/>
      <w:numFmt w:val="bullet"/>
      <w:lvlText w:val="•"/>
      <w:lvlJc w:val="left"/>
      <w:pPr>
        <w:tabs>
          <w:tab w:val="num" w:pos="2160"/>
        </w:tabs>
        <w:ind w:left="2160" w:hanging="360"/>
      </w:pPr>
      <w:rPr>
        <w:rFonts w:ascii="Arial" w:hAnsi="Arial" w:hint="default"/>
      </w:rPr>
    </w:lvl>
    <w:lvl w:ilvl="3" w:tplc="9C109DE8" w:tentative="1">
      <w:start w:val="1"/>
      <w:numFmt w:val="bullet"/>
      <w:lvlText w:val="•"/>
      <w:lvlJc w:val="left"/>
      <w:pPr>
        <w:tabs>
          <w:tab w:val="num" w:pos="2880"/>
        </w:tabs>
        <w:ind w:left="2880" w:hanging="360"/>
      </w:pPr>
      <w:rPr>
        <w:rFonts w:ascii="Arial" w:hAnsi="Arial" w:hint="default"/>
      </w:rPr>
    </w:lvl>
    <w:lvl w:ilvl="4" w:tplc="7E96DE96" w:tentative="1">
      <w:start w:val="1"/>
      <w:numFmt w:val="bullet"/>
      <w:lvlText w:val="•"/>
      <w:lvlJc w:val="left"/>
      <w:pPr>
        <w:tabs>
          <w:tab w:val="num" w:pos="3600"/>
        </w:tabs>
        <w:ind w:left="3600" w:hanging="360"/>
      </w:pPr>
      <w:rPr>
        <w:rFonts w:ascii="Arial" w:hAnsi="Arial" w:hint="default"/>
      </w:rPr>
    </w:lvl>
    <w:lvl w:ilvl="5" w:tplc="BC6AC27A" w:tentative="1">
      <w:start w:val="1"/>
      <w:numFmt w:val="bullet"/>
      <w:lvlText w:val="•"/>
      <w:lvlJc w:val="left"/>
      <w:pPr>
        <w:tabs>
          <w:tab w:val="num" w:pos="4320"/>
        </w:tabs>
        <w:ind w:left="4320" w:hanging="360"/>
      </w:pPr>
      <w:rPr>
        <w:rFonts w:ascii="Arial" w:hAnsi="Arial" w:hint="default"/>
      </w:rPr>
    </w:lvl>
    <w:lvl w:ilvl="6" w:tplc="60562E64" w:tentative="1">
      <w:start w:val="1"/>
      <w:numFmt w:val="bullet"/>
      <w:lvlText w:val="•"/>
      <w:lvlJc w:val="left"/>
      <w:pPr>
        <w:tabs>
          <w:tab w:val="num" w:pos="5040"/>
        </w:tabs>
        <w:ind w:left="5040" w:hanging="360"/>
      </w:pPr>
      <w:rPr>
        <w:rFonts w:ascii="Arial" w:hAnsi="Arial" w:hint="default"/>
      </w:rPr>
    </w:lvl>
    <w:lvl w:ilvl="7" w:tplc="282A3CD4" w:tentative="1">
      <w:start w:val="1"/>
      <w:numFmt w:val="bullet"/>
      <w:lvlText w:val="•"/>
      <w:lvlJc w:val="left"/>
      <w:pPr>
        <w:tabs>
          <w:tab w:val="num" w:pos="5760"/>
        </w:tabs>
        <w:ind w:left="5760" w:hanging="360"/>
      </w:pPr>
      <w:rPr>
        <w:rFonts w:ascii="Arial" w:hAnsi="Arial" w:hint="default"/>
      </w:rPr>
    </w:lvl>
    <w:lvl w:ilvl="8" w:tplc="E6947B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8D7B5F"/>
    <w:multiLevelType w:val="hybridMultilevel"/>
    <w:tmpl w:val="80EC4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F05CD8"/>
    <w:multiLevelType w:val="multilevel"/>
    <w:tmpl w:val="2FC2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0705E"/>
    <w:multiLevelType w:val="hybridMultilevel"/>
    <w:tmpl w:val="2A4C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A66FD"/>
    <w:multiLevelType w:val="hybridMultilevel"/>
    <w:tmpl w:val="D2DE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1068B"/>
    <w:multiLevelType w:val="hybridMultilevel"/>
    <w:tmpl w:val="35845EC6"/>
    <w:lvl w:ilvl="0" w:tplc="2AEAC8A6">
      <w:start w:val="1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9344A"/>
    <w:multiLevelType w:val="hybridMultilevel"/>
    <w:tmpl w:val="8B3033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9F30EA"/>
    <w:multiLevelType w:val="hybridMultilevel"/>
    <w:tmpl w:val="9BD0EF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A01F67"/>
    <w:multiLevelType w:val="hybridMultilevel"/>
    <w:tmpl w:val="BF8CEFB2"/>
    <w:lvl w:ilvl="0" w:tplc="F0487E6E">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5321D0"/>
    <w:multiLevelType w:val="hybridMultilevel"/>
    <w:tmpl w:val="B052E1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4C3989"/>
    <w:multiLevelType w:val="hybridMultilevel"/>
    <w:tmpl w:val="FCF6209E"/>
    <w:lvl w:ilvl="0" w:tplc="9920E904">
      <w:start w:val="1"/>
      <w:numFmt w:val="bullet"/>
      <w:lvlText w:val="•"/>
      <w:lvlJc w:val="left"/>
      <w:pPr>
        <w:tabs>
          <w:tab w:val="num" w:pos="720"/>
        </w:tabs>
        <w:ind w:left="720" w:hanging="360"/>
      </w:pPr>
      <w:rPr>
        <w:rFonts w:ascii="Arial" w:hAnsi="Arial" w:hint="default"/>
      </w:rPr>
    </w:lvl>
    <w:lvl w:ilvl="1" w:tplc="F7787D3C" w:tentative="1">
      <w:start w:val="1"/>
      <w:numFmt w:val="bullet"/>
      <w:lvlText w:val="•"/>
      <w:lvlJc w:val="left"/>
      <w:pPr>
        <w:tabs>
          <w:tab w:val="num" w:pos="1440"/>
        </w:tabs>
        <w:ind w:left="1440" w:hanging="360"/>
      </w:pPr>
      <w:rPr>
        <w:rFonts w:ascii="Arial" w:hAnsi="Arial" w:hint="default"/>
      </w:rPr>
    </w:lvl>
    <w:lvl w:ilvl="2" w:tplc="F1E6C5A2" w:tentative="1">
      <w:start w:val="1"/>
      <w:numFmt w:val="bullet"/>
      <w:lvlText w:val="•"/>
      <w:lvlJc w:val="left"/>
      <w:pPr>
        <w:tabs>
          <w:tab w:val="num" w:pos="2160"/>
        </w:tabs>
        <w:ind w:left="2160" w:hanging="360"/>
      </w:pPr>
      <w:rPr>
        <w:rFonts w:ascii="Arial" w:hAnsi="Arial" w:hint="default"/>
      </w:rPr>
    </w:lvl>
    <w:lvl w:ilvl="3" w:tplc="53904CCC" w:tentative="1">
      <w:start w:val="1"/>
      <w:numFmt w:val="bullet"/>
      <w:lvlText w:val="•"/>
      <w:lvlJc w:val="left"/>
      <w:pPr>
        <w:tabs>
          <w:tab w:val="num" w:pos="2880"/>
        </w:tabs>
        <w:ind w:left="2880" w:hanging="360"/>
      </w:pPr>
      <w:rPr>
        <w:rFonts w:ascii="Arial" w:hAnsi="Arial" w:hint="default"/>
      </w:rPr>
    </w:lvl>
    <w:lvl w:ilvl="4" w:tplc="AC3AE1CA" w:tentative="1">
      <w:start w:val="1"/>
      <w:numFmt w:val="bullet"/>
      <w:lvlText w:val="•"/>
      <w:lvlJc w:val="left"/>
      <w:pPr>
        <w:tabs>
          <w:tab w:val="num" w:pos="3600"/>
        </w:tabs>
        <w:ind w:left="3600" w:hanging="360"/>
      </w:pPr>
      <w:rPr>
        <w:rFonts w:ascii="Arial" w:hAnsi="Arial" w:hint="default"/>
      </w:rPr>
    </w:lvl>
    <w:lvl w:ilvl="5" w:tplc="9B6ADEFE" w:tentative="1">
      <w:start w:val="1"/>
      <w:numFmt w:val="bullet"/>
      <w:lvlText w:val="•"/>
      <w:lvlJc w:val="left"/>
      <w:pPr>
        <w:tabs>
          <w:tab w:val="num" w:pos="4320"/>
        </w:tabs>
        <w:ind w:left="4320" w:hanging="360"/>
      </w:pPr>
      <w:rPr>
        <w:rFonts w:ascii="Arial" w:hAnsi="Arial" w:hint="default"/>
      </w:rPr>
    </w:lvl>
    <w:lvl w:ilvl="6" w:tplc="44829AB4" w:tentative="1">
      <w:start w:val="1"/>
      <w:numFmt w:val="bullet"/>
      <w:lvlText w:val="•"/>
      <w:lvlJc w:val="left"/>
      <w:pPr>
        <w:tabs>
          <w:tab w:val="num" w:pos="5040"/>
        </w:tabs>
        <w:ind w:left="5040" w:hanging="360"/>
      </w:pPr>
      <w:rPr>
        <w:rFonts w:ascii="Arial" w:hAnsi="Arial" w:hint="default"/>
      </w:rPr>
    </w:lvl>
    <w:lvl w:ilvl="7" w:tplc="74B01944" w:tentative="1">
      <w:start w:val="1"/>
      <w:numFmt w:val="bullet"/>
      <w:lvlText w:val="•"/>
      <w:lvlJc w:val="left"/>
      <w:pPr>
        <w:tabs>
          <w:tab w:val="num" w:pos="5760"/>
        </w:tabs>
        <w:ind w:left="5760" w:hanging="360"/>
      </w:pPr>
      <w:rPr>
        <w:rFonts w:ascii="Arial" w:hAnsi="Arial" w:hint="default"/>
      </w:rPr>
    </w:lvl>
    <w:lvl w:ilvl="8" w:tplc="9FFAB45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713D15"/>
    <w:multiLevelType w:val="hybridMultilevel"/>
    <w:tmpl w:val="4A8E90C6"/>
    <w:lvl w:ilvl="0" w:tplc="9586B182">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A375BE"/>
    <w:multiLevelType w:val="hybridMultilevel"/>
    <w:tmpl w:val="B30E998E"/>
    <w:lvl w:ilvl="0" w:tplc="5FD633EC">
      <w:start w:val="1"/>
      <w:numFmt w:val="bullet"/>
      <w:lvlText w:val="•"/>
      <w:lvlJc w:val="left"/>
      <w:pPr>
        <w:tabs>
          <w:tab w:val="num" w:pos="720"/>
        </w:tabs>
        <w:ind w:left="720" w:hanging="360"/>
      </w:pPr>
      <w:rPr>
        <w:rFonts w:ascii="Arial" w:hAnsi="Arial" w:hint="default"/>
      </w:rPr>
    </w:lvl>
    <w:lvl w:ilvl="1" w:tplc="3B14DDF0">
      <w:start w:val="210"/>
      <w:numFmt w:val="bullet"/>
      <w:lvlText w:val="•"/>
      <w:lvlJc w:val="left"/>
      <w:pPr>
        <w:tabs>
          <w:tab w:val="num" w:pos="1440"/>
        </w:tabs>
        <w:ind w:left="1440" w:hanging="360"/>
      </w:pPr>
      <w:rPr>
        <w:rFonts w:ascii="Arial" w:hAnsi="Arial" w:hint="default"/>
      </w:rPr>
    </w:lvl>
    <w:lvl w:ilvl="2" w:tplc="D6F2C452" w:tentative="1">
      <w:start w:val="1"/>
      <w:numFmt w:val="bullet"/>
      <w:lvlText w:val="•"/>
      <w:lvlJc w:val="left"/>
      <w:pPr>
        <w:tabs>
          <w:tab w:val="num" w:pos="2160"/>
        </w:tabs>
        <w:ind w:left="2160" w:hanging="360"/>
      </w:pPr>
      <w:rPr>
        <w:rFonts w:ascii="Arial" w:hAnsi="Arial" w:hint="default"/>
      </w:rPr>
    </w:lvl>
    <w:lvl w:ilvl="3" w:tplc="18F826BA" w:tentative="1">
      <w:start w:val="1"/>
      <w:numFmt w:val="bullet"/>
      <w:lvlText w:val="•"/>
      <w:lvlJc w:val="left"/>
      <w:pPr>
        <w:tabs>
          <w:tab w:val="num" w:pos="2880"/>
        </w:tabs>
        <w:ind w:left="2880" w:hanging="360"/>
      </w:pPr>
      <w:rPr>
        <w:rFonts w:ascii="Arial" w:hAnsi="Arial" w:hint="default"/>
      </w:rPr>
    </w:lvl>
    <w:lvl w:ilvl="4" w:tplc="25884DEE" w:tentative="1">
      <w:start w:val="1"/>
      <w:numFmt w:val="bullet"/>
      <w:lvlText w:val="•"/>
      <w:lvlJc w:val="left"/>
      <w:pPr>
        <w:tabs>
          <w:tab w:val="num" w:pos="3600"/>
        </w:tabs>
        <w:ind w:left="3600" w:hanging="360"/>
      </w:pPr>
      <w:rPr>
        <w:rFonts w:ascii="Arial" w:hAnsi="Arial" w:hint="default"/>
      </w:rPr>
    </w:lvl>
    <w:lvl w:ilvl="5" w:tplc="329A8A54" w:tentative="1">
      <w:start w:val="1"/>
      <w:numFmt w:val="bullet"/>
      <w:lvlText w:val="•"/>
      <w:lvlJc w:val="left"/>
      <w:pPr>
        <w:tabs>
          <w:tab w:val="num" w:pos="4320"/>
        </w:tabs>
        <w:ind w:left="4320" w:hanging="360"/>
      </w:pPr>
      <w:rPr>
        <w:rFonts w:ascii="Arial" w:hAnsi="Arial" w:hint="default"/>
      </w:rPr>
    </w:lvl>
    <w:lvl w:ilvl="6" w:tplc="36F4B6F8" w:tentative="1">
      <w:start w:val="1"/>
      <w:numFmt w:val="bullet"/>
      <w:lvlText w:val="•"/>
      <w:lvlJc w:val="left"/>
      <w:pPr>
        <w:tabs>
          <w:tab w:val="num" w:pos="5040"/>
        </w:tabs>
        <w:ind w:left="5040" w:hanging="360"/>
      </w:pPr>
      <w:rPr>
        <w:rFonts w:ascii="Arial" w:hAnsi="Arial" w:hint="default"/>
      </w:rPr>
    </w:lvl>
    <w:lvl w:ilvl="7" w:tplc="F2FC444C" w:tentative="1">
      <w:start w:val="1"/>
      <w:numFmt w:val="bullet"/>
      <w:lvlText w:val="•"/>
      <w:lvlJc w:val="left"/>
      <w:pPr>
        <w:tabs>
          <w:tab w:val="num" w:pos="5760"/>
        </w:tabs>
        <w:ind w:left="5760" w:hanging="360"/>
      </w:pPr>
      <w:rPr>
        <w:rFonts w:ascii="Arial" w:hAnsi="Arial" w:hint="default"/>
      </w:rPr>
    </w:lvl>
    <w:lvl w:ilvl="8" w:tplc="9D16BE1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05C5CB0"/>
    <w:multiLevelType w:val="hybridMultilevel"/>
    <w:tmpl w:val="39FE2274"/>
    <w:lvl w:ilvl="0" w:tplc="0ED2E454">
      <w:start w:val="1"/>
      <w:numFmt w:val="bullet"/>
      <w:lvlText w:val="•"/>
      <w:lvlJc w:val="left"/>
      <w:pPr>
        <w:tabs>
          <w:tab w:val="num" w:pos="720"/>
        </w:tabs>
        <w:ind w:left="720" w:hanging="360"/>
      </w:pPr>
      <w:rPr>
        <w:rFonts w:ascii="Arial" w:hAnsi="Arial" w:hint="default"/>
      </w:rPr>
    </w:lvl>
    <w:lvl w:ilvl="1" w:tplc="FCF01C6A">
      <w:start w:val="1"/>
      <w:numFmt w:val="bullet"/>
      <w:lvlText w:val="•"/>
      <w:lvlJc w:val="left"/>
      <w:pPr>
        <w:tabs>
          <w:tab w:val="num" w:pos="1440"/>
        </w:tabs>
        <w:ind w:left="1440" w:hanging="360"/>
      </w:pPr>
      <w:rPr>
        <w:rFonts w:ascii="Arial" w:hAnsi="Arial" w:hint="default"/>
      </w:rPr>
    </w:lvl>
    <w:lvl w:ilvl="2" w:tplc="94E6A1DC" w:tentative="1">
      <w:start w:val="1"/>
      <w:numFmt w:val="bullet"/>
      <w:lvlText w:val="•"/>
      <w:lvlJc w:val="left"/>
      <w:pPr>
        <w:tabs>
          <w:tab w:val="num" w:pos="2160"/>
        </w:tabs>
        <w:ind w:left="2160" w:hanging="360"/>
      </w:pPr>
      <w:rPr>
        <w:rFonts w:ascii="Arial" w:hAnsi="Arial" w:hint="default"/>
      </w:rPr>
    </w:lvl>
    <w:lvl w:ilvl="3" w:tplc="08F86D46" w:tentative="1">
      <w:start w:val="1"/>
      <w:numFmt w:val="bullet"/>
      <w:lvlText w:val="•"/>
      <w:lvlJc w:val="left"/>
      <w:pPr>
        <w:tabs>
          <w:tab w:val="num" w:pos="2880"/>
        </w:tabs>
        <w:ind w:left="2880" w:hanging="360"/>
      </w:pPr>
      <w:rPr>
        <w:rFonts w:ascii="Arial" w:hAnsi="Arial" w:hint="default"/>
      </w:rPr>
    </w:lvl>
    <w:lvl w:ilvl="4" w:tplc="A770FFA2" w:tentative="1">
      <w:start w:val="1"/>
      <w:numFmt w:val="bullet"/>
      <w:lvlText w:val="•"/>
      <w:lvlJc w:val="left"/>
      <w:pPr>
        <w:tabs>
          <w:tab w:val="num" w:pos="3600"/>
        </w:tabs>
        <w:ind w:left="3600" w:hanging="360"/>
      </w:pPr>
      <w:rPr>
        <w:rFonts w:ascii="Arial" w:hAnsi="Arial" w:hint="default"/>
      </w:rPr>
    </w:lvl>
    <w:lvl w:ilvl="5" w:tplc="7FDCA4EE" w:tentative="1">
      <w:start w:val="1"/>
      <w:numFmt w:val="bullet"/>
      <w:lvlText w:val="•"/>
      <w:lvlJc w:val="left"/>
      <w:pPr>
        <w:tabs>
          <w:tab w:val="num" w:pos="4320"/>
        </w:tabs>
        <w:ind w:left="4320" w:hanging="360"/>
      </w:pPr>
      <w:rPr>
        <w:rFonts w:ascii="Arial" w:hAnsi="Arial" w:hint="default"/>
      </w:rPr>
    </w:lvl>
    <w:lvl w:ilvl="6" w:tplc="E080374A" w:tentative="1">
      <w:start w:val="1"/>
      <w:numFmt w:val="bullet"/>
      <w:lvlText w:val="•"/>
      <w:lvlJc w:val="left"/>
      <w:pPr>
        <w:tabs>
          <w:tab w:val="num" w:pos="5040"/>
        </w:tabs>
        <w:ind w:left="5040" w:hanging="360"/>
      </w:pPr>
      <w:rPr>
        <w:rFonts w:ascii="Arial" w:hAnsi="Arial" w:hint="default"/>
      </w:rPr>
    </w:lvl>
    <w:lvl w:ilvl="7" w:tplc="85DCC0FE" w:tentative="1">
      <w:start w:val="1"/>
      <w:numFmt w:val="bullet"/>
      <w:lvlText w:val="•"/>
      <w:lvlJc w:val="left"/>
      <w:pPr>
        <w:tabs>
          <w:tab w:val="num" w:pos="5760"/>
        </w:tabs>
        <w:ind w:left="5760" w:hanging="360"/>
      </w:pPr>
      <w:rPr>
        <w:rFonts w:ascii="Arial" w:hAnsi="Arial" w:hint="default"/>
      </w:rPr>
    </w:lvl>
    <w:lvl w:ilvl="8" w:tplc="52C6F6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3F2952"/>
    <w:multiLevelType w:val="hybridMultilevel"/>
    <w:tmpl w:val="EBDE4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C15003C"/>
    <w:multiLevelType w:val="hybridMultilevel"/>
    <w:tmpl w:val="121E4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24393B"/>
    <w:multiLevelType w:val="hybridMultilevel"/>
    <w:tmpl w:val="ECF40C7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0F0A33"/>
    <w:multiLevelType w:val="hybridMultilevel"/>
    <w:tmpl w:val="DCE25A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5F375C"/>
    <w:multiLevelType w:val="hybridMultilevel"/>
    <w:tmpl w:val="0322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A21CC"/>
    <w:multiLevelType w:val="hybridMultilevel"/>
    <w:tmpl w:val="81F89E8E"/>
    <w:lvl w:ilvl="0" w:tplc="47F4DEBC">
      <w:start w:val="1"/>
      <w:numFmt w:val="bullet"/>
      <w:lvlText w:val="•"/>
      <w:lvlJc w:val="left"/>
      <w:pPr>
        <w:tabs>
          <w:tab w:val="num" w:pos="720"/>
        </w:tabs>
        <w:ind w:left="720" w:hanging="360"/>
      </w:pPr>
      <w:rPr>
        <w:rFonts w:ascii="Arial" w:hAnsi="Arial" w:hint="default"/>
      </w:rPr>
    </w:lvl>
    <w:lvl w:ilvl="1" w:tplc="5B66CC6E">
      <w:start w:val="1"/>
      <w:numFmt w:val="bullet"/>
      <w:lvlText w:val="•"/>
      <w:lvlJc w:val="left"/>
      <w:pPr>
        <w:tabs>
          <w:tab w:val="num" w:pos="1440"/>
        </w:tabs>
        <w:ind w:left="1440" w:hanging="360"/>
      </w:pPr>
      <w:rPr>
        <w:rFonts w:ascii="Arial" w:hAnsi="Arial" w:hint="default"/>
      </w:rPr>
    </w:lvl>
    <w:lvl w:ilvl="2" w:tplc="49C8D40E">
      <w:start w:val="215"/>
      <w:numFmt w:val="bullet"/>
      <w:lvlText w:val="•"/>
      <w:lvlJc w:val="left"/>
      <w:pPr>
        <w:tabs>
          <w:tab w:val="num" w:pos="2160"/>
        </w:tabs>
        <w:ind w:left="2160" w:hanging="360"/>
      </w:pPr>
      <w:rPr>
        <w:rFonts w:ascii="Arial" w:hAnsi="Arial" w:hint="default"/>
      </w:rPr>
    </w:lvl>
    <w:lvl w:ilvl="3" w:tplc="AB5C9A64" w:tentative="1">
      <w:start w:val="1"/>
      <w:numFmt w:val="bullet"/>
      <w:lvlText w:val="•"/>
      <w:lvlJc w:val="left"/>
      <w:pPr>
        <w:tabs>
          <w:tab w:val="num" w:pos="2880"/>
        </w:tabs>
        <w:ind w:left="2880" w:hanging="360"/>
      </w:pPr>
      <w:rPr>
        <w:rFonts w:ascii="Arial" w:hAnsi="Arial" w:hint="default"/>
      </w:rPr>
    </w:lvl>
    <w:lvl w:ilvl="4" w:tplc="7A36EE88" w:tentative="1">
      <w:start w:val="1"/>
      <w:numFmt w:val="bullet"/>
      <w:lvlText w:val="•"/>
      <w:lvlJc w:val="left"/>
      <w:pPr>
        <w:tabs>
          <w:tab w:val="num" w:pos="3600"/>
        </w:tabs>
        <w:ind w:left="3600" w:hanging="360"/>
      </w:pPr>
      <w:rPr>
        <w:rFonts w:ascii="Arial" w:hAnsi="Arial" w:hint="default"/>
      </w:rPr>
    </w:lvl>
    <w:lvl w:ilvl="5" w:tplc="5D02841C" w:tentative="1">
      <w:start w:val="1"/>
      <w:numFmt w:val="bullet"/>
      <w:lvlText w:val="•"/>
      <w:lvlJc w:val="left"/>
      <w:pPr>
        <w:tabs>
          <w:tab w:val="num" w:pos="4320"/>
        </w:tabs>
        <w:ind w:left="4320" w:hanging="360"/>
      </w:pPr>
      <w:rPr>
        <w:rFonts w:ascii="Arial" w:hAnsi="Arial" w:hint="default"/>
      </w:rPr>
    </w:lvl>
    <w:lvl w:ilvl="6" w:tplc="A87AEC52" w:tentative="1">
      <w:start w:val="1"/>
      <w:numFmt w:val="bullet"/>
      <w:lvlText w:val="•"/>
      <w:lvlJc w:val="left"/>
      <w:pPr>
        <w:tabs>
          <w:tab w:val="num" w:pos="5040"/>
        </w:tabs>
        <w:ind w:left="5040" w:hanging="360"/>
      </w:pPr>
      <w:rPr>
        <w:rFonts w:ascii="Arial" w:hAnsi="Arial" w:hint="default"/>
      </w:rPr>
    </w:lvl>
    <w:lvl w:ilvl="7" w:tplc="8F4CCC5A" w:tentative="1">
      <w:start w:val="1"/>
      <w:numFmt w:val="bullet"/>
      <w:lvlText w:val="•"/>
      <w:lvlJc w:val="left"/>
      <w:pPr>
        <w:tabs>
          <w:tab w:val="num" w:pos="5760"/>
        </w:tabs>
        <w:ind w:left="5760" w:hanging="360"/>
      </w:pPr>
      <w:rPr>
        <w:rFonts w:ascii="Arial" w:hAnsi="Arial" w:hint="default"/>
      </w:rPr>
    </w:lvl>
    <w:lvl w:ilvl="8" w:tplc="34D8942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DB3E61"/>
    <w:multiLevelType w:val="hybridMultilevel"/>
    <w:tmpl w:val="BF3CE4F6"/>
    <w:lvl w:ilvl="0" w:tplc="FF42474C">
      <w:start w:val="6"/>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5A53FF"/>
    <w:multiLevelType w:val="hybridMultilevel"/>
    <w:tmpl w:val="3F7A81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5B04BC"/>
    <w:multiLevelType w:val="hybridMultilevel"/>
    <w:tmpl w:val="18E2FB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B04F17"/>
    <w:multiLevelType w:val="hybridMultilevel"/>
    <w:tmpl w:val="F48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1E1517"/>
    <w:multiLevelType w:val="hybridMultilevel"/>
    <w:tmpl w:val="8D4043BC"/>
    <w:lvl w:ilvl="0" w:tplc="DAD823CC">
      <w:start w:val="1"/>
      <w:numFmt w:val="bullet"/>
      <w:lvlText w:val="•"/>
      <w:lvlJc w:val="left"/>
      <w:pPr>
        <w:tabs>
          <w:tab w:val="num" w:pos="720"/>
        </w:tabs>
        <w:ind w:left="720" w:hanging="360"/>
      </w:pPr>
      <w:rPr>
        <w:rFonts w:ascii="Arial" w:hAnsi="Arial" w:hint="default"/>
      </w:rPr>
    </w:lvl>
    <w:lvl w:ilvl="1" w:tplc="B16E6CDC">
      <w:start w:val="1"/>
      <w:numFmt w:val="bullet"/>
      <w:lvlText w:val="•"/>
      <w:lvlJc w:val="left"/>
      <w:pPr>
        <w:tabs>
          <w:tab w:val="num" w:pos="1440"/>
        </w:tabs>
        <w:ind w:left="1440" w:hanging="360"/>
      </w:pPr>
      <w:rPr>
        <w:rFonts w:ascii="Arial" w:hAnsi="Arial" w:hint="default"/>
      </w:rPr>
    </w:lvl>
    <w:lvl w:ilvl="2" w:tplc="C5B2B02C">
      <w:start w:val="215"/>
      <w:numFmt w:val="bullet"/>
      <w:lvlText w:val="•"/>
      <w:lvlJc w:val="left"/>
      <w:pPr>
        <w:tabs>
          <w:tab w:val="num" w:pos="2160"/>
        </w:tabs>
        <w:ind w:left="2160" w:hanging="360"/>
      </w:pPr>
      <w:rPr>
        <w:rFonts w:ascii="Arial" w:hAnsi="Arial" w:hint="default"/>
      </w:rPr>
    </w:lvl>
    <w:lvl w:ilvl="3" w:tplc="050ABFF4" w:tentative="1">
      <w:start w:val="1"/>
      <w:numFmt w:val="bullet"/>
      <w:lvlText w:val="•"/>
      <w:lvlJc w:val="left"/>
      <w:pPr>
        <w:tabs>
          <w:tab w:val="num" w:pos="2880"/>
        </w:tabs>
        <w:ind w:left="2880" w:hanging="360"/>
      </w:pPr>
      <w:rPr>
        <w:rFonts w:ascii="Arial" w:hAnsi="Arial" w:hint="default"/>
      </w:rPr>
    </w:lvl>
    <w:lvl w:ilvl="4" w:tplc="7D107224" w:tentative="1">
      <w:start w:val="1"/>
      <w:numFmt w:val="bullet"/>
      <w:lvlText w:val="•"/>
      <w:lvlJc w:val="left"/>
      <w:pPr>
        <w:tabs>
          <w:tab w:val="num" w:pos="3600"/>
        </w:tabs>
        <w:ind w:left="3600" w:hanging="360"/>
      </w:pPr>
      <w:rPr>
        <w:rFonts w:ascii="Arial" w:hAnsi="Arial" w:hint="default"/>
      </w:rPr>
    </w:lvl>
    <w:lvl w:ilvl="5" w:tplc="2BF6F3AA" w:tentative="1">
      <w:start w:val="1"/>
      <w:numFmt w:val="bullet"/>
      <w:lvlText w:val="•"/>
      <w:lvlJc w:val="left"/>
      <w:pPr>
        <w:tabs>
          <w:tab w:val="num" w:pos="4320"/>
        </w:tabs>
        <w:ind w:left="4320" w:hanging="360"/>
      </w:pPr>
      <w:rPr>
        <w:rFonts w:ascii="Arial" w:hAnsi="Arial" w:hint="default"/>
      </w:rPr>
    </w:lvl>
    <w:lvl w:ilvl="6" w:tplc="516ADD6E" w:tentative="1">
      <w:start w:val="1"/>
      <w:numFmt w:val="bullet"/>
      <w:lvlText w:val="•"/>
      <w:lvlJc w:val="left"/>
      <w:pPr>
        <w:tabs>
          <w:tab w:val="num" w:pos="5040"/>
        </w:tabs>
        <w:ind w:left="5040" w:hanging="360"/>
      </w:pPr>
      <w:rPr>
        <w:rFonts w:ascii="Arial" w:hAnsi="Arial" w:hint="default"/>
      </w:rPr>
    </w:lvl>
    <w:lvl w:ilvl="7" w:tplc="5B0A148E" w:tentative="1">
      <w:start w:val="1"/>
      <w:numFmt w:val="bullet"/>
      <w:lvlText w:val="•"/>
      <w:lvlJc w:val="left"/>
      <w:pPr>
        <w:tabs>
          <w:tab w:val="num" w:pos="5760"/>
        </w:tabs>
        <w:ind w:left="5760" w:hanging="360"/>
      </w:pPr>
      <w:rPr>
        <w:rFonts w:ascii="Arial" w:hAnsi="Arial" w:hint="default"/>
      </w:rPr>
    </w:lvl>
    <w:lvl w:ilvl="8" w:tplc="C89ED55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994214A"/>
    <w:multiLevelType w:val="hybridMultilevel"/>
    <w:tmpl w:val="86C00060"/>
    <w:lvl w:ilvl="0" w:tplc="C1DC919A">
      <w:start w:val="1"/>
      <w:numFmt w:val="bullet"/>
      <w:lvlText w:val="•"/>
      <w:lvlJc w:val="left"/>
      <w:pPr>
        <w:tabs>
          <w:tab w:val="num" w:pos="720"/>
        </w:tabs>
        <w:ind w:left="720" w:hanging="360"/>
      </w:pPr>
      <w:rPr>
        <w:rFonts w:ascii="Arial" w:hAnsi="Arial" w:hint="default"/>
      </w:rPr>
    </w:lvl>
    <w:lvl w:ilvl="1" w:tplc="28465228" w:tentative="1">
      <w:start w:val="1"/>
      <w:numFmt w:val="bullet"/>
      <w:lvlText w:val="•"/>
      <w:lvlJc w:val="left"/>
      <w:pPr>
        <w:tabs>
          <w:tab w:val="num" w:pos="1440"/>
        </w:tabs>
        <w:ind w:left="1440" w:hanging="360"/>
      </w:pPr>
      <w:rPr>
        <w:rFonts w:ascii="Arial" w:hAnsi="Arial" w:hint="default"/>
      </w:rPr>
    </w:lvl>
    <w:lvl w:ilvl="2" w:tplc="5396F200" w:tentative="1">
      <w:start w:val="1"/>
      <w:numFmt w:val="bullet"/>
      <w:lvlText w:val="•"/>
      <w:lvlJc w:val="left"/>
      <w:pPr>
        <w:tabs>
          <w:tab w:val="num" w:pos="2160"/>
        </w:tabs>
        <w:ind w:left="2160" w:hanging="360"/>
      </w:pPr>
      <w:rPr>
        <w:rFonts w:ascii="Arial" w:hAnsi="Arial" w:hint="default"/>
      </w:rPr>
    </w:lvl>
    <w:lvl w:ilvl="3" w:tplc="A9DABB46" w:tentative="1">
      <w:start w:val="1"/>
      <w:numFmt w:val="bullet"/>
      <w:lvlText w:val="•"/>
      <w:lvlJc w:val="left"/>
      <w:pPr>
        <w:tabs>
          <w:tab w:val="num" w:pos="2880"/>
        </w:tabs>
        <w:ind w:left="2880" w:hanging="360"/>
      </w:pPr>
      <w:rPr>
        <w:rFonts w:ascii="Arial" w:hAnsi="Arial" w:hint="default"/>
      </w:rPr>
    </w:lvl>
    <w:lvl w:ilvl="4" w:tplc="01102B6C" w:tentative="1">
      <w:start w:val="1"/>
      <w:numFmt w:val="bullet"/>
      <w:lvlText w:val="•"/>
      <w:lvlJc w:val="left"/>
      <w:pPr>
        <w:tabs>
          <w:tab w:val="num" w:pos="3600"/>
        </w:tabs>
        <w:ind w:left="3600" w:hanging="360"/>
      </w:pPr>
      <w:rPr>
        <w:rFonts w:ascii="Arial" w:hAnsi="Arial" w:hint="default"/>
      </w:rPr>
    </w:lvl>
    <w:lvl w:ilvl="5" w:tplc="5586505A" w:tentative="1">
      <w:start w:val="1"/>
      <w:numFmt w:val="bullet"/>
      <w:lvlText w:val="•"/>
      <w:lvlJc w:val="left"/>
      <w:pPr>
        <w:tabs>
          <w:tab w:val="num" w:pos="4320"/>
        </w:tabs>
        <w:ind w:left="4320" w:hanging="360"/>
      </w:pPr>
      <w:rPr>
        <w:rFonts w:ascii="Arial" w:hAnsi="Arial" w:hint="default"/>
      </w:rPr>
    </w:lvl>
    <w:lvl w:ilvl="6" w:tplc="1C4E3AEC" w:tentative="1">
      <w:start w:val="1"/>
      <w:numFmt w:val="bullet"/>
      <w:lvlText w:val="•"/>
      <w:lvlJc w:val="left"/>
      <w:pPr>
        <w:tabs>
          <w:tab w:val="num" w:pos="5040"/>
        </w:tabs>
        <w:ind w:left="5040" w:hanging="360"/>
      </w:pPr>
      <w:rPr>
        <w:rFonts w:ascii="Arial" w:hAnsi="Arial" w:hint="default"/>
      </w:rPr>
    </w:lvl>
    <w:lvl w:ilvl="7" w:tplc="D890897C" w:tentative="1">
      <w:start w:val="1"/>
      <w:numFmt w:val="bullet"/>
      <w:lvlText w:val="•"/>
      <w:lvlJc w:val="left"/>
      <w:pPr>
        <w:tabs>
          <w:tab w:val="num" w:pos="5760"/>
        </w:tabs>
        <w:ind w:left="5760" w:hanging="360"/>
      </w:pPr>
      <w:rPr>
        <w:rFonts w:ascii="Arial" w:hAnsi="Arial" w:hint="default"/>
      </w:rPr>
    </w:lvl>
    <w:lvl w:ilvl="8" w:tplc="E1C4AF2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F029D5"/>
    <w:multiLevelType w:val="hybridMultilevel"/>
    <w:tmpl w:val="2A72D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D3029"/>
    <w:multiLevelType w:val="hybridMultilevel"/>
    <w:tmpl w:val="DCEE5458"/>
    <w:lvl w:ilvl="0" w:tplc="EE20E9A4">
      <w:start w:val="16"/>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9E433A"/>
    <w:multiLevelType w:val="hybridMultilevel"/>
    <w:tmpl w:val="7ABCDC12"/>
    <w:lvl w:ilvl="0" w:tplc="21F61B8A">
      <w:start w:val="1"/>
      <w:numFmt w:val="bullet"/>
      <w:lvlText w:val="•"/>
      <w:lvlJc w:val="left"/>
      <w:pPr>
        <w:tabs>
          <w:tab w:val="num" w:pos="720"/>
        </w:tabs>
        <w:ind w:left="720" w:hanging="360"/>
      </w:pPr>
      <w:rPr>
        <w:rFonts w:ascii="Arial" w:hAnsi="Arial" w:hint="default"/>
      </w:rPr>
    </w:lvl>
    <w:lvl w:ilvl="1" w:tplc="C1B003C4" w:tentative="1">
      <w:start w:val="1"/>
      <w:numFmt w:val="bullet"/>
      <w:lvlText w:val="•"/>
      <w:lvlJc w:val="left"/>
      <w:pPr>
        <w:tabs>
          <w:tab w:val="num" w:pos="1440"/>
        </w:tabs>
        <w:ind w:left="1440" w:hanging="360"/>
      </w:pPr>
      <w:rPr>
        <w:rFonts w:ascii="Arial" w:hAnsi="Arial" w:hint="default"/>
      </w:rPr>
    </w:lvl>
    <w:lvl w:ilvl="2" w:tplc="EC02C2C8" w:tentative="1">
      <w:start w:val="1"/>
      <w:numFmt w:val="bullet"/>
      <w:lvlText w:val="•"/>
      <w:lvlJc w:val="left"/>
      <w:pPr>
        <w:tabs>
          <w:tab w:val="num" w:pos="2160"/>
        </w:tabs>
        <w:ind w:left="2160" w:hanging="360"/>
      </w:pPr>
      <w:rPr>
        <w:rFonts w:ascii="Arial" w:hAnsi="Arial" w:hint="default"/>
      </w:rPr>
    </w:lvl>
    <w:lvl w:ilvl="3" w:tplc="2F4A8F32" w:tentative="1">
      <w:start w:val="1"/>
      <w:numFmt w:val="bullet"/>
      <w:lvlText w:val="•"/>
      <w:lvlJc w:val="left"/>
      <w:pPr>
        <w:tabs>
          <w:tab w:val="num" w:pos="2880"/>
        </w:tabs>
        <w:ind w:left="2880" w:hanging="360"/>
      </w:pPr>
      <w:rPr>
        <w:rFonts w:ascii="Arial" w:hAnsi="Arial" w:hint="default"/>
      </w:rPr>
    </w:lvl>
    <w:lvl w:ilvl="4" w:tplc="005E62C8" w:tentative="1">
      <w:start w:val="1"/>
      <w:numFmt w:val="bullet"/>
      <w:lvlText w:val="•"/>
      <w:lvlJc w:val="left"/>
      <w:pPr>
        <w:tabs>
          <w:tab w:val="num" w:pos="3600"/>
        </w:tabs>
        <w:ind w:left="3600" w:hanging="360"/>
      </w:pPr>
      <w:rPr>
        <w:rFonts w:ascii="Arial" w:hAnsi="Arial" w:hint="default"/>
      </w:rPr>
    </w:lvl>
    <w:lvl w:ilvl="5" w:tplc="1F66E9EA" w:tentative="1">
      <w:start w:val="1"/>
      <w:numFmt w:val="bullet"/>
      <w:lvlText w:val="•"/>
      <w:lvlJc w:val="left"/>
      <w:pPr>
        <w:tabs>
          <w:tab w:val="num" w:pos="4320"/>
        </w:tabs>
        <w:ind w:left="4320" w:hanging="360"/>
      </w:pPr>
      <w:rPr>
        <w:rFonts w:ascii="Arial" w:hAnsi="Arial" w:hint="default"/>
      </w:rPr>
    </w:lvl>
    <w:lvl w:ilvl="6" w:tplc="4AF8A324" w:tentative="1">
      <w:start w:val="1"/>
      <w:numFmt w:val="bullet"/>
      <w:lvlText w:val="•"/>
      <w:lvlJc w:val="left"/>
      <w:pPr>
        <w:tabs>
          <w:tab w:val="num" w:pos="5040"/>
        </w:tabs>
        <w:ind w:left="5040" w:hanging="360"/>
      </w:pPr>
      <w:rPr>
        <w:rFonts w:ascii="Arial" w:hAnsi="Arial" w:hint="default"/>
      </w:rPr>
    </w:lvl>
    <w:lvl w:ilvl="7" w:tplc="1702EC4A" w:tentative="1">
      <w:start w:val="1"/>
      <w:numFmt w:val="bullet"/>
      <w:lvlText w:val="•"/>
      <w:lvlJc w:val="left"/>
      <w:pPr>
        <w:tabs>
          <w:tab w:val="num" w:pos="5760"/>
        </w:tabs>
        <w:ind w:left="5760" w:hanging="360"/>
      </w:pPr>
      <w:rPr>
        <w:rFonts w:ascii="Arial" w:hAnsi="Arial" w:hint="default"/>
      </w:rPr>
    </w:lvl>
    <w:lvl w:ilvl="8" w:tplc="9A426E1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3"/>
  </w:num>
  <w:num w:numId="3">
    <w:abstractNumId w:val="16"/>
  </w:num>
  <w:num w:numId="4">
    <w:abstractNumId w:val="21"/>
  </w:num>
  <w:num w:numId="5">
    <w:abstractNumId w:val="25"/>
  </w:num>
  <w:num w:numId="6">
    <w:abstractNumId w:val="20"/>
  </w:num>
  <w:num w:numId="7">
    <w:abstractNumId w:val="0"/>
  </w:num>
  <w:num w:numId="8">
    <w:abstractNumId w:val="3"/>
  </w:num>
  <w:num w:numId="9">
    <w:abstractNumId w:val="12"/>
  </w:num>
  <w:num w:numId="10">
    <w:abstractNumId w:val="6"/>
  </w:num>
  <w:num w:numId="11">
    <w:abstractNumId w:val="4"/>
  </w:num>
  <w:num w:numId="12">
    <w:abstractNumId w:val="19"/>
  </w:num>
  <w:num w:numId="13">
    <w:abstractNumId w:val="11"/>
  </w:num>
  <w:num w:numId="14">
    <w:abstractNumId w:val="30"/>
  </w:num>
  <w:num w:numId="15">
    <w:abstractNumId w:val="17"/>
  </w:num>
  <w:num w:numId="16">
    <w:abstractNumId w:val="33"/>
  </w:num>
  <w:num w:numId="17">
    <w:abstractNumId w:val="15"/>
  </w:num>
  <w:num w:numId="18">
    <w:abstractNumId w:val="18"/>
  </w:num>
  <w:num w:numId="19">
    <w:abstractNumId w:val="24"/>
  </w:num>
  <w:num w:numId="20">
    <w:abstractNumId w:val="29"/>
  </w:num>
  <w:num w:numId="21">
    <w:abstractNumId w:val="5"/>
  </w:num>
  <w:num w:numId="22">
    <w:abstractNumId w:val="28"/>
  </w:num>
  <w:num w:numId="23">
    <w:abstractNumId w:val="31"/>
  </w:num>
  <w:num w:numId="24">
    <w:abstractNumId w:val="7"/>
  </w:num>
  <w:num w:numId="25">
    <w:abstractNumId w:val="8"/>
  </w:num>
  <w:num w:numId="26">
    <w:abstractNumId w:val="23"/>
  </w:num>
  <w:num w:numId="27">
    <w:abstractNumId w:val="9"/>
  </w:num>
  <w:num w:numId="28">
    <w:abstractNumId w:val="27"/>
  </w:num>
  <w:num w:numId="29">
    <w:abstractNumId w:val="26"/>
  </w:num>
  <w:num w:numId="30">
    <w:abstractNumId w:val="22"/>
  </w:num>
  <w:num w:numId="31">
    <w:abstractNumId w:val="14"/>
  </w:num>
  <w:num w:numId="32">
    <w:abstractNumId w:val="2"/>
  </w:num>
  <w:num w:numId="33">
    <w:abstractNumId w:val="1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it-IT" w:vendorID="64" w:dllVersion="6" w:nlCheck="1" w:checkStyle="0"/>
  <w:activeWritingStyle w:appName="MSWord" w:lang="it-IT"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fv9fasbvdf0ie5s9g55fa2ze2ap5pssxsd&quot;&gt;My EndNote Library - CNV in PID&lt;record-ids&gt;&lt;item&gt;1&lt;/item&gt;&lt;item&gt;8&lt;/item&gt;&lt;item&gt;35&lt;/item&gt;&lt;item&gt;36&lt;/item&gt;&lt;item&gt;37&lt;/item&gt;&lt;item&gt;38&lt;/item&gt;&lt;item&gt;39&lt;/item&gt;&lt;item&gt;40&lt;/item&gt;&lt;item&gt;41&lt;/item&gt;&lt;item&gt;42&lt;/item&gt;&lt;item&gt;43&lt;/item&gt;&lt;item&gt;44&lt;/item&gt;&lt;item&gt;45&lt;/item&gt;&lt;item&gt;46&lt;/item&gt;&lt;item&gt;47&lt;/item&gt;&lt;/record-ids&gt;&lt;/item&gt;&lt;/Libraries&gt;"/>
  </w:docVars>
  <w:rsids>
    <w:rsidRoot w:val="008A442D"/>
    <w:rsid w:val="000076CF"/>
    <w:rsid w:val="0001118B"/>
    <w:rsid w:val="00011199"/>
    <w:rsid w:val="000117DD"/>
    <w:rsid w:val="000149B2"/>
    <w:rsid w:val="0001601C"/>
    <w:rsid w:val="00017B9E"/>
    <w:rsid w:val="00020BE3"/>
    <w:rsid w:val="00025C93"/>
    <w:rsid w:val="0002685C"/>
    <w:rsid w:val="00031813"/>
    <w:rsid w:val="00034565"/>
    <w:rsid w:val="00034A50"/>
    <w:rsid w:val="0004169D"/>
    <w:rsid w:val="000522CF"/>
    <w:rsid w:val="000612CB"/>
    <w:rsid w:val="00063F23"/>
    <w:rsid w:val="000660AF"/>
    <w:rsid w:val="00071C09"/>
    <w:rsid w:val="0007250D"/>
    <w:rsid w:val="000732B2"/>
    <w:rsid w:val="00075BCF"/>
    <w:rsid w:val="0007689B"/>
    <w:rsid w:val="00076923"/>
    <w:rsid w:val="0007693B"/>
    <w:rsid w:val="0008035B"/>
    <w:rsid w:val="00083E8D"/>
    <w:rsid w:val="00085D24"/>
    <w:rsid w:val="000933A0"/>
    <w:rsid w:val="00095A4C"/>
    <w:rsid w:val="00097A0F"/>
    <w:rsid w:val="00097C7A"/>
    <w:rsid w:val="000A01AA"/>
    <w:rsid w:val="000A0225"/>
    <w:rsid w:val="000B23DA"/>
    <w:rsid w:val="000C62C3"/>
    <w:rsid w:val="000D2DEC"/>
    <w:rsid w:val="000D4574"/>
    <w:rsid w:val="000D7059"/>
    <w:rsid w:val="000D7733"/>
    <w:rsid w:val="000E1905"/>
    <w:rsid w:val="000E3D3A"/>
    <w:rsid w:val="000F176E"/>
    <w:rsid w:val="000F7B8A"/>
    <w:rsid w:val="00101B41"/>
    <w:rsid w:val="0010588C"/>
    <w:rsid w:val="001073C4"/>
    <w:rsid w:val="00113BDB"/>
    <w:rsid w:val="00124B1B"/>
    <w:rsid w:val="00130027"/>
    <w:rsid w:val="00147DB3"/>
    <w:rsid w:val="00150FB7"/>
    <w:rsid w:val="00160EDA"/>
    <w:rsid w:val="00164FB7"/>
    <w:rsid w:val="00167EA0"/>
    <w:rsid w:val="00171F5B"/>
    <w:rsid w:val="001755ED"/>
    <w:rsid w:val="00177AFF"/>
    <w:rsid w:val="00181960"/>
    <w:rsid w:val="00183C0D"/>
    <w:rsid w:val="001909E8"/>
    <w:rsid w:val="00190DD9"/>
    <w:rsid w:val="00193210"/>
    <w:rsid w:val="00194E1A"/>
    <w:rsid w:val="00195BA9"/>
    <w:rsid w:val="001A1843"/>
    <w:rsid w:val="001B4C80"/>
    <w:rsid w:val="001B510B"/>
    <w:rsid w:val="001B7728"/>
    <w:rsid w:val="001C2424"/>
    <w:rsid w:val="001C4FE6"/>
    <w:rsid w:val="001C61ED"/>
    <w:rsid w:val="001C7AD2"/>
    <w:rsid w:val="001C7B9F"/>
    <w:rsid w:val="001D5F52"/>
    <w:rsid w:val="001D68F1"/>
    <w:rsid w:val="001E0BB9"/>
    <w:rsid w:val="001E4EC3"/>
    <w:rsid w:val="001F7024"/>
    <w:rsid w:val="00201870"/>
    <w:rsid w:val="00202FC1"/>
    <w:rsid w:val="00203BB1"/>
    <w:rsid w:val="0020606A"/>
    <w:rsid w:val="00212501"/>
    <w:rsid w:val="00212944"/>
    <w:rsid w:val="002157B0"/>
    <w:rsid w:val="0022517C"/>
    <w:rsid w:val="00226B43"/>
    <w:rsid w:val="00230BD1"/>
    <w:rsid w:val="00234B49"/>
    <w:rsid w:val="00236169"/>
    <w:rsid w:val="00242CA1"/>
    <w:rsid w:val="00250A90"/>
    <w:rsid w:val="0025105D"/>
    <w:rsid w:val="0025320A"/>
    <w:rsid w:val="002556FC"/>
    <w:rsid w:val="00257A69"/>
    <w:rsid w:val="00261087"/>
    <w:rsid w:val="0026401C"/>
    <w:rsid w:val="00265462"/>
    <w:rsid w:val="0027105E"/>
    <w:rsid w:val="0027393E"/>
    <w:rsid w:val="002739BB"/>
    <w:rsid w:val="00275DFC"/>
    <w:rsid w:val="00280D37"/>
    <w:rsid w:val="002821CD"/>
    <w:rsid w:val="00282589"/>
    <w:rsid w:val="00283D97"/>
    <w:rsid w:val="00284882"/>
    <w:rsid w:val="002873B7"/>
    <w:rsid w:val="00290417"/>
    <w:rsid w:val="00291901"/>
    <w:rsid w:val="0029278B"/>
    <w:rsid w:val="0029496E"/>
    <w:rsid w:val="00296E6E"/>
    <w:rsid w:val="002976D9"/>
    <w:rsid w:val="002A12A7"/>
    <w:rsid w:val="002A284B"/>
    <w:rsid w:val="002A30A5"/>
    <w:rsid w:val="002A7270"/>
    <w:rsid w:val="002B349C"/>
    <w:rsid w:val="002B6D9F"/>
    <w:rsid w:val="002C0086"/>
    <w:rsid w:val="002D0B08"/>
    <w:rsid w:val="002D117D"/>
    <w:rsid w:val="002D1C6D"/>
    <w:rsid w:val="002D35F5"/>
    <w:rsid w:val="002D7946"/>
    <w:rsid w:val="002D7F03"/>
    <w:rsid w:val="002E0722"/>
    <w:rsid w:val="002E3A38"/>
    <w:rsid w:val="002F3EA1"/>
    <w:rsid w:val="002F3F14"/>
    <w:rsid w:val="002F7C0E"/>
    <w:rsid w:val="002F7DB8"/>
    <w:rsid w:val="00302F68"/>
    <w:rsid w:val="00305B66"/>
    <w:rsid w:val="00311D35"/>
    <w:rsid w:val="003156B8"/>
    <w:rsid w:val="0031597B"/>
    <w:rsid w:val="00315FBD"/>
    <w:rsid w:val="003244FD"/>
    <w:rsid w:val="00325292"/>
    <w:rsid w:val="003252E3"/>
    <w:rsid w:val="003268E2"/>
    <w:rsid w:val="00327D57"/>
    <w:rsid w:val="00334AC7"/>
    <w:rsid w:val="00335720"/>
    <w:rsid w:val="00336315"/>
    <w:rsid w:val="00345C6D"/>
    <w:rsid w:val="00371D23"/>
    <w:rsid w:val="0037473C"/>
    <w:rsid w:val="00374B0E"/>
    <w:rsid w:val="00374BA5"/>
    <w:rsid w:val="00375149"/>
    <w:rsid w:val="00387930"/>
    <w:rsid w:val="00393D6F"/>
    <w:rsid w:val="003A180F"/>
    <w:rsid w:val="003A2B70"/>
    <w:rsid w:val="003B17C3"/>
    <w:rsid w:val="003B185D"/>
    <w:rsid w:val="003B2942"/>
    <w:rsid w:val="003B3B2D"/>
    <w:rsid w:val="003C4363"/>
    <w:rsid w:val="003D29FB"/>
    <w:rsid w:val="003D7663"/>
    <w:rsid w:val="003D797F"/>
    <w:rsid w:val="003E0828"/>
    <w:rsid w:val="003E30B2"/>
    <w:rsid w:val="003E33AF"/>
    <w:rsid w:val="003E3A18"/>
    <w:rsid w:val="003E3AD0"/>
    <w:rsid w:val="003F0027"/>
    <w:rsid w:val="003F1A0C"/>
    <w:rsid w:val="003F27C2"/>
    <w:rsid w:val="003F2DC9"/>
    <w:rsid w:val="003F2FCA"/>
    <w:rsid w:val="003F3D2D"/>
    <w:rsid w:val="003F4C3B"/>
    <w:rsid w:val="003F4EF3"/>
    <w:rsid w:val="004031E9"/>
    <w:rsid w:val="0041171E"/>
    <w:rsid w:val="00412106"/>
    <w:rsid w:val="00412D45"/>
    <w:rsid w:val="00422380"/>
    <w:rsid w:val="00423E22"/>
    <w:rsid w:val="00425F85"/>
    <w:rsid w:val="00432F92"/>
    <w:rsid w:val="004340EC"/>
    <w:rsid w:val="00435342"/>
    <w:rsid w:val="0043664B"/>
    <w:rsid w:val="0044121D"/>
    <w:rsid w:val="004476C4"/>
    <w:rsid w:val="00451FC7"/>
    <w:rsid w:val="004635ED"/>
    <w:rsid w:val="00463C14"/>
    <w:rsid w:val="00466272"/>
    <w:rsid w:val="00467ACC"/>
    <w:rsid w:val="0047494A"/>
    <w:rsid w:val="0047673F"/>
    <w:rsid w:val="0049235E"/>
    <w:rsid w:val="004941FD"/>
    <w:rsid w:val="00495F6A"/>
    <w:rsid w:val="004966AD"/>
    <w:rsid w:val="004A20EC"/>
    <w:rsid w:val="004A373C"/>
    <w:rsid w:val="004A447E"/>
    <w:rsid w:val="004B083F"/>
    <w:rsid w:val="004B31C0"/>
    <w:rsid w:val="004C121A"/>
    <w:rsid w:val="004C3B09"/>
    <w:rsid w:val="004D6C7B"/>
    <w:rsid w:val="004D7057"/>
    <w:rsid w:val="004E3DC4"/>
    <w:rsid w:val="004E51FA"/>
    <w:rsid w:val="004E59E0"/>
    <w:rsid w:val="004E6803"/>
    <w:rsid w:val="004F0542"/>
    <w:rsid w:val="004F196A"/>
    <w:rsid w:val="004F453E"/>
    <w:rsid w:val="004F642D"/>
    <w:rsid w:val="00500AC8"/>
    <w:rsid w:val="005013B2"/>
    <w:rsid w:val="00511624"/>
    <w:rsid w:val="0051501B"/>
    <w:rsid w:val="00515C71"/>
    <w:rsid w:val="00520CBB"/>
    <w:rsid w:val="00525BBE"/>
    <w:rsid w:val="00527CF3"/>
    <w:rsid w:val="005307CB"/>
    <w:rsid w:val="00532A5F"/>
    <w:rsid w:val="00535D7E"/>
    <w:rsid w:val="00537D1F"/>
    <w:rsid w:val="00540F7B"/>
    <w:rsid w:val="00541E10"/>
    <w:rsid w:val="005508E3"/>
    <w:rsid w:val="005553B3"/>
    <w:rsid w:val="0055552A"/>
    <w:rsid w:val="00555742"/>
    <w:rsid w:val="00560A74"/>
    <w:rsid w:val="00563503"/>
    <w:rsid w:val="00573489"/>
    <w:rsid w:val="00580701"/>
    <w:rsid w:val="00581A13"/>
    <w:rsid w:val="00582FBF"/>
    <w:rsid w:val="00583057"/>
    <w:rsid w:val="005856A7"/>
    <w:rsid w:val="0059223E"/>
    <w:rsid w:val="0059346E"/>
    <w:rsid w:val="0059463C"/>
    <w:rsid w:val="00595306"/>
    <w:rsid w:val="005A32AC"/>
    <w:rsid w:val="005A72E9"/>
    <w:rsid w:val="005A7C99"/>
    <w:rsid w:val="005B0B34"/>
    <w:rsid w:val="005B1183"/>
    <w:rsid w:val="005B1483"/>
    <w:rsid w:val="005B5347"/>
    <w:rsid w:val="005B60DC"/>
    <w:rsid w:val="005B7300"/>
    <w:rsid w:val="005B7CB4"/>
    <w:rsid w:val="005C2C23"/>
    <w:rsid w:val="005C54A7"/>
    <w:rsid w:val="005D2F7C"/>
    <w:rsid w:val="005D4916"/>
    <w:rsid w:val="005D54E2"/>
    <w:rsid w:val="005D595B"/>
    <w:rsid w:val="005E0377"/>
    <w:rsid w:val="005E1C62"/>
    <w:rsid w:val="005E5192"/>
    <w:rsid w:val="005E7B99"/>
    <w:rsid w:val="005F1A46"/>
    <w:rsid w:val="005F4CD0"/>
    <w:rsid w:val="00604571"/>
    <w:rsid w:val="006132DA"/>
    <w:rsid w:val="00620D43"/>
    <w:rsid w:val="00620FFC"/>
    <w:rsid w:val="0062220D"/>
    <w:rsid w:val="00626CDC"/>
    <w:rsid w:val="00627374"/>
    <w:rsid w:val="0063000C"/>
    <w:rsid w:val="006363F6"/>
    <w:rsid w:val="006461AD"/>
    <w:rsid w:val="00651B09"/>
    <w:rsid w:val="00654B07"/>
    <w:rsid w:val="006754B1"/>
    <w:rsid w:val="00683192"/>
    <w:rsid w:val="00684280"/>
    <w:rsid w:val="006864F6"/>
    <w:rsid w:val="00687893"/>
    <w:rsid w:val="00687D58"/>
    <w:rsid w:val="00690B9B"/>
    <w:rsid w:val="00697CB5"/>
    <w:rsid w:val="006A2D99"/>
    <w:rsid w:val="006B099E"/>
    <w:rsid w:val="006B0DB7"/>
    <w:rsid w:val="006B1085"/>
    <w:rsid w:val="006B26D7"/>
    <w:rsid w:val="006B581B"/>
    <w:rsid w:val="006C607A"/>
    <w:rsid w:val="006D5A26"/>
    <w:rsid w:val="006D6500"/>
    <w:rsid w:val="006E2465"/>
    <w:rsid w:val="006E284A"/>
    <w:rsid w:val="006E67D6"/>
    <w:rsid w:val="006F283E"/>
    <w:rsid w:val="006F3533"/>
    <w:rsid w:val="006F5A1D"/>
    <w:rsid w:val="006F6C11"/>
    <w:rsid w:val="006F72AA"/>
    <w:rsid w:val="00700935"/>
    <w:rsid w:val="00705328"/>
    <w:rsid w:val="007079FB"/>
    <w:rsid w:val="00717962"/>
    <w:rsid w:val="00726687"/>
    <w:rsid w:val="0072692C"/>
    <w:rsid w:val="00734E5B"/>
    <w:rsid w:val="00736A51"/>
    <w:rsid w:val="00736EAB"/>
    <w:rsid w:val="007406CF"/>
    <w:rsid w:val="00741155"/>
    <w:rsid w:val="007530CE"/>
    <w:rsid w:val="0075387B"/>
    <w:rsid w:val="007544E5"/>
    <w:rsid w:val="00754E85"/>
    <w:rsid w:val="00760887"/>
    <w:rsid w:val="00760F02"/>
    <w:rsid w:val="007615CE"/>
    <w:rsid w:val="0076287F"/>
    <w:rsid w:val="00763A09"/>
    <w:rsid w:val="00764DE8"/>
    <w:rsid w:val="007671FC"/>
    <w:rsid w:val="0076765B"/>
    <w:rsid w:val="00771A17"/>
    <w:rsid w:val="007734FE"/>
    <w:rsid w:val="00775424"/>
    <w:rsid w:val="00777B48"/>
    <w:rsid w:val="00781496"/>
    <w:rsid w:val="0078550A"/>
    <w:rsid w:val="007865AA"/>
    <w:rsid w:val="00786733"/>
    <w:rsid w:val="00792C3B"/>
    <w:rsid w:val="00795147"/>
    <w:rsid w:val="00796717"/>
    <w:rsid w:val="00797C2D"/>
    <w:rsid w:val="007A23F6"/>
    <w:rsid w:val="007A5377"/>
    <w:rsid w:val="007D2572"/>
    <w:rsid w:val="007D2B5C"/>
    <w:rsid w:val="007E728A"/>
    <w:rsid w:val="007E7CAE"/>
    <w:rsid w:val="007F12B6"/>
    <w:rsid w:val="007F3F90"/>
    <w:rsid w:val="007F5B62"/>
    <w:rsid w:val="0080249A"/>
    <w:rsid w:val="00806008"/>
    <w:rsid w:val="00813DEC"/>
    <w:rsid w:val="00814803"/>
    <w:rsid w:val="00816D87"/>
    <w:rsid w:val="008216B3"/>
    <w:rsid w:val="0082778A"/>
    <w:rsid w:val="00830B65"/>
    <w:rsid w:val="00832565"/>
    <w:rsid w:val="008357BE"/>
    <w:rsid w:val="00837CF6"/>
    <w:rsid w:val="00841CAF"/>
    <w:rsid w:val="00842A9D"/>
    <w:rsid w:val="00842EDC"/>
    <w:rsid w:val="00844343"/>
    <w:rsid w:val="00844A1E"/>
    <w:rsid w:val="00850B8A"/>
    <w:rsid w:val="00850CAD"/>
    <w:rsid w:val="008514E5"/>
    <w:rsid w:val="00851E24"/>
    <w:rsid w:val="00852D9C"/>
    <w:rsid w:val="00860EFB"/>
    <w:rsid w:val="00864329"/>
    <w:rsid w:val="00865419"/>
    <w:rsid w:val="00867BE1"/>
    <w:rsid w:val="00876E6A"/>
    <w:rsid w:val="00883018"/>
    <w:rsid w:val="00884C23"/>
    <w:rsid w:val="00887300"/>
    <w:rsid w:val="00890ECC"/>
    <w:rsid w:val="008975DD"/>
    <w:rsid w:val="008A12FA"/>
    <w:rsid w:val="008A26A9"/>
    <w:rsid w:val="008A442D"/>
    <w:rsid w:val="008B329E"/>
    <w:rsid w:val="008B3EAF"/>
    <w:rsid w:val="008C1097"/>
    <w:rsid w:val="008D3F2F"/>
    <w:rsid w:val="008D5989"/>
    <w:rsid w:val="008E0D67"/>
    <w:rsid w:val="008E11BE"/>
    <w:rsid w:val="008E2924"/>
    <w:rsid w:val="008E3CE9"/>
    <w:rsid w:val="008E6DB3"/>
    <w:rsid w:val="008F3CB0"/>
    <w:rsid w:val="008F4F5A"/>
    <w:rsid w:val="008F65C6"/>
    <w:rsid w:val="008F7C13"/>
    <w:rsid w:val="00900894"/>
    <w:rsid w:val="009067B8"/>
    <w:rsid w:val="00907EFD"/>
    <w:rsid w:val="00913930"/>
    <w:rsid w:val="009147E8"/>
    <w:rsid w:val="009177E0"/>
    <w:rsid w:val="00917CDE"/>
    <w:rsid w:val="009230E1"/>
    <w:rsid w:val="009233B9"/>
    <w:rsid w:val="00925839"/>
    <w:rsid w:val="00940306"/>
    <w:rsid w:val="00941A46"/>
    <w:rsid w:val="00942BEF"/>
    <w:rsid w:val="00944638"/>
    <w:rsid w:val="009468FA"/>
    <w:rsid w:val="00947A9A"/>
    <w:rsid w:val="00947E55"/>
    <w:rsid w:val="0096244F"/>
    <w:rsid w:val="0096671A"/>
    <w:rsid w:val="00970900"/>
    <w:rsid w:val="009734EA"/>
    <w:rsid w:val="0097423B"/>
    <w:rsid w:val="009752EA"/>
    <w:rsid w:val="00986209"/>
    <w:rsid w:val="009922AB"/>
    <w:rsid w:val="00993CE2"/>
    <w:rsid w:val="009970D9"/>
    <w:rsid w:val="00997347"/>
    <w:rsid w:val="009A3667"/>
    <w:rsid w:val="009B4021"/>
    <w:rsid w:val="009B4905"/>
    <w:rsid w:val="009B4B9C"/>
    <w:rsid w:val="009C0883"/>
    <w:rsid w:val="009D04C5"/>
    <w:rsid w:val="009D7573"/>
    <w:rsid w:val="009D792E"/>
    <w:rsid w:val="009D7CAF"/>
    <w:rsid w:val="009F0E9F"/>
    <w:rsid w:val="009F14FD"/>
    <w:rsid w:val="009F7AA3"/>
    <w:rsid w:val="00A02453"/>
    <w:rsid w:val="00A06D8E"/>
    <w:rsid w:val="00A12E8E"/>
    <w:rsid w:val="00A133D0"/>
    <w:rsid w:val="00A17546"/>
    <w:rsid w:val="00A21B43"/>
    <w:rsid w:val="00A22C0B"/>
    <w:rsid w:val="00A241F7"/>
    <w:rsid w:val="00A2494D"/>
    <w:rsid w:val="00A26F34"/>
    <w:rsid w:val="00A30ECB"/>
    <w:rsid w:val="00A33A68"/>
    <w:rsid w:val="00A33BE0"/>
    <w:rsid w:val="00A33F24"/>
    <w:rsid w:val="00A35CCF"/>
    <w:rsid w:val="00A401D4"/>
    <w:rsid w:val="00A40744"/>
    <w:rsid w:val="00A43BDC"/>
    <w:rsid w:val="00A50787"/>
    <w:rsid w:val="00A51FEC"/>
    <w:rsid w:val="00A55715"/>
    <w:rsid w:val="00A57062"/>
    <w:rsid w:val="00A613DB"/>
    <w:rsid w:val="00A6210C"/>
    <w:rsid w:val="00A62527"/>
    <w:rsid w:val="00A640F7"/>
    <w:rsid w:val="00A676A2"/>
    <w:rsid w:val="00A72D65"/>
    <w:rsid w:val="00A73C6B"/>
    <w:rsid w:val="00A74C80"/>
    <w:rsid w:val="00A82F9C"/>
    <w:rsid w:val="00A840C6"/>
    <w:rsid w:val="00A84AC8"/>
    <w:rsid w:val="00A8545C"/>
    <w:rsid w:val="00A864F4"/>
    <w:rsid w:val="00A876A9"/>
    <w:rsid w:val="00AA2EB4"/>
    <w:rsid w:val="00AA3577"/>
    <w:rsid w:val="00AA71DD"/>
    <w:rsid w:val="00AB1255"/>
    <w:rsid w:val="00AB2447"/>
    <w:rsid w:val="00AC0479"/>
    <w:rsid w:val="00AC4B59"/>
    <w:rsid w:val="00AD2B80"/>
    <w:rsid w:val="00AD3E9E"/>
    <w:rsid w:val="00AD42B2"/>
    <w:rsid w:val="00AE0DF3"/>
    <w:rsid w:val="00AE162D"/>
    <w:rsid w:val="00AF08A7"/>
    <w:rsid w:val="00AF5DAB"/>
    <w:rsid w:val="00AF7B2D"/>
    <w:rsid w:val="00B05231"/>
    <w:rsid w:val="00B11A7B"/>
    <w:rsid w:val="00B1250A"/>
    <w:rsid w:val="00B17253"/>
    <w:rsid w:val="00B17763"/>
    <w:rsid w:val="00B17912"/>
    <w:rsid w:val="00B20B8D"/>
    <w:rsid w:val="00B2209A"/>
    <w:rsid w:val="00B2293D"/>
    <w:rsid w:val="00B27CD4"/>
    <w:rsid w:val="00B33B87"/>
    <w:rsid w:val="00B41F67"/>
    <w:rsid w:val="00B42B1B"/>
    <w:rsid w:val="00B43BFF"/>
    <w:rsid w:val="00B50ADF"/>
    <w:rsid w:val="00B55270"/>
    <w:rsid w:val="00B56BDE"/>
    <w:rsid w:val="00B633C1"/>
    <w:rsid w:val="00B63719"/>
    <w:rsid w:val="00B72619"/>
    <w:rsid w:val="00B7654C"/>
    <w:rsid w:val="00B8733A"/>
    <w:rsid w:val="00B95D15"/>
    <w:rsid w:val="00BB013A"/>
    <w:rsid w:val="00BB3454"/>
    <w:rsid w:val="00BC344F"/>
    <w:rsid w:val="00BC3E7D"/>
    <w:rsid w:val="00BC54E6"/>
    <w:rsid w:val="00BC61B3"/>
    <w:rsid w:val="00BD5DEF"/>
    <w:rsid w:val="00BD6E15"/>
    <w:rsid w:val="00BE2F22"/>
    <w:rsid w:val="00BE4B73"/>
    <w:rsid w:val="00BF32A8"/>
    <w:rsid w:val="00BF5F98"/>
    <w:rsid w:val="00C01A90"/>
    <w:rsid w:val="00C07136"/>
    <w:rsid w:val="00C0745A"/>
    <w:rsid w:val="00C07B32"/>
    <w:rsid w:val="00C1400E"/>
    <w:rsid w:val="00C20E4B"/>
    <w:rsid w:val="00C4250F"/>
    <w:rsid w:val="00C443EF"/>
    <w:rsid w:val="00C45A66"/>
    <w:rsid w:val="00C47706"/>
    <w:rsid w:val="00C53095"/>
    <w:rsid w:val="00C53837"/>
    <w:rsid w:val="00C53A8A"/>
    <w:rsid w:val="00C66C9F"/>
    <w:rsid w:val="00C76F51"/>
    <w:rsid w:val="00C771BA"/>
    <w:rsid w:val="00C80198"/>
    <w:rsid w:val="00C90AA9"/>
    <w:rsid w:val="00C94B3A"/>
    <w:rsid w:val="00CA733F"/>
    <w:rsid w:val="00CA7A6B"/>
    <w:rsid w:val="00CA7B82"/>
    <w:rsid w:val="00CB0EB1"/>
    <w:rsid w:val="00CB5C61"/>
    <w:rsid w:val="00CC19EF"/>
    <w:rsid w:val="00CC1F15"/>
    <w:rsid w:val="00CC60AD"/>
    <w:rsid w:val="00CC7743"/>
    <w:rsid w:val="00CD0FC8"/>
    <w:rsid w:val="00CD3720"/>
    <w:rsid w:val="00CD5A95"/>
    <w:rsid w:val="00CD6331"/>
    <w:rsid w:val="00CD67CF"/>
    <w:rsid w:val="00CE3306"/>
    <w:rsid w:val="00CE3CD6"/>
    <w:rsid w:val="00CE6A99"/>
    <w:rsid w:val="00CF6756"/>
    <w:rsid w:val="00D0128A"/>
    <w:rsid w:val="00D029D1"/>
    <w:rsid w:val="00D07662"/>
    <w:rsid w:val="00D1007A"/>
    <w:rsid w:val="00D10BD0"/>
    <w:rsid w:val="00D13546"/>
    <w:rsid w:val="00D14786"/>
    <w:rsid w:val="00D22615"/>
    <w:rsid w:val="00D226A7"/>
    <w:rsid w:val="00D22F22"/>
    <w:rsid w:val="00D25434"/>
    <w:rsid w:val="00D27CB1"/>
    <w:rsid w:val="00D323D4"/>
    <w:rsid w:val="00D334F2"/>
    <w:rsid w:val="00D354FA"/>
    <w:rsid w:val="00D35E23"/>
    <w:rsid w:val="00D416DF"/>
    <w:rsid w:val="00D422A7"/>
    <w:rsid w:val="00D46B55"/>
    <w:rsid w:val="00D47958"/>
    <w:rsid w:val="00D53E57"/>
    <w:rsid w:val="00D57155"/>
    <w:rsid w:val="00D65AB3"/>
    <w:rsid w:val="00D84853"/>
    <w:rsid w:val="00D8627B"/>
    <w:rsid w:val="00D867CD"/>
    <w:rsid w:val="00D91A74"/>
    <w:rsid w:val="00D93995"/>
    <w:rsid w:val="00D96DBB"/>
    <w:rsid w:val="00DA27AA"/>
    <w:rsid w:val="00DA4ED0"/>
    <w:rsid w:val="00DA546F"/>
    <w:rsid w:val="00DA5696"/>
    <w:rsid w:val="00DA5868"/>
    <w:rsid w:val="00DA6269"/>
    <w:rsid w:val="00DB471F"/>
    <w:rsid w:val="00DC5B93"/>
    <w:rsid w:val="00DD11A9"/>
    <w:rsid w:val="00DD527E"/>
    <w:rsid w:val="00DD7696"/>
    <w:rsid w:val="00DE0215"/>
    <w:rsid w:val="00DE132E"/>
    <w:rsid w:val="00DE3F17"/>
    <w:rsid w:val="00DF3064"/>
    <w:rsid w:val="00DF45AA"/>
    <w:rsid w:val="00DF7AA6"/>
    <w:rsid w:val="00E0210A"/>
    <w:rsid w:val="00E04C73"/>
    <w:rsid w:val="00E14065"/>
    <w:rsid w:val="00E172B1"/>
    <w:rsid w:val="00E20F48"/>
    <w:rsid w:val="00E21554"/>
    <w:rsid w:val="00E24BFE"/>
    <w:rsid w:val="00E251CC"/>
    <w:rsid w:val="00E27164"/>
    <w:rsid w:val="00E27CE3"/>
    <w:rsid w:val="00E33A20"/>
    <w:rsid w:val="00E40F70"/>
    <w:rsid w:val="00E41AEF"/>
    <w:rsid w:val="00E426D4"/>
    <w:rsid w:val="00E44537"/>
    <w:rsid w:val="00E4560C"/>
    <w:rsid w:val="00E45D10"/>
    <w:rsid w:val="00E51489"/>
    <w:rsid w:val="00E53847"/>
    <w:rsid w:val="00E540D5"/>
    <w:rsid w:val="00E54F50"/>
    <w:rsid w:val="00E555CE"/>
    <w:rsid w:val="00E6130A"/>
    <w:rsid w:val="00E61619"/>
    <w:rsid w:val="00E64ADB"/>
    <w:rsid w:val="00E65F39"/>
    <w:rsid w:val="00E67C7B"/>
    <w:rsid w:val="00E7065A"/>
    <w:rsid w:val="00E75BAF"/>
    <w:rsid w:val="00E84BFA"/>
    <w:rsid w:val="00E873A0"/>
    <w:rsid w:val="00EA2938"/>
    <w:rsid w:val="00EA4560"/>
    <w:rsid w:val="00EC0CDD"/>
    <w:rsid w:val="00EC10F0"/>
    <w:rsid w:val="00EC688F"/>
    <w:rsid w:val="00ED11CC"/>
    <w:rsid w:val="00ED23A5"/>
    <w:rsid w:val="00ED6B88"/>
    <w:rsid w:val="00EE3349"/>
    <w:rsid w:val="00EE3C0D"/>
    <w:rsid w:val="00EE6354"/>
    <w:rsid w:val="00EE7C45"/>
    <w:rsid w:val="00F013AD"/>
    <w:rsid w:val="00F125CA"/>
    <w:rsid w:val="00F256EA"/>
    <w:rsid w:val="00F2579B"/>
    <w:rsid w:val="00F31600"/>
    <w:rsid w:val="00F34DDC"/>
    <w:rsid w:val="00F43EC6"/>
    <w:rsid w:val="00F51B62"/>
    <w:rsid w:val="00F558AF"/>
    <w:rsid w:val="00F62AEE"/>
    <w:rsid w:val="00F663E3"/>
    <w:rsid w:val="00F70590"/>
    <w:rsid w:val="00F71366"/>
    <w:rsid w:val="00F74EAC"/>
    <w:rsid w:val="00F81489"/>
    <w:rsid w:val="00F8383A"/>
    <w:rsid w:val="00F856A9"/>
    <w:rsid w:val="00F92FAD"/>
    <w:rsid w:val="00F95EB7"/>
    <w:rsid w:val="00F96055"/>
    <w:rsid w:val="00FA250F"/>
    <w:rsid w:val="00FA5769"/>
    <w:rsid w:val="00FB0C12"/>
    <w:rsid w:val="00FB11AD"/>
    <w:rsid w:val="00FB20F5"/>
    <w:rsid w:val="00FC041F"/>
    <w:rsid w:val="00FC229B"/>
    <w:rsid w:val="00FD1314"/>
    <w:rsid w:val="00FD345E"/>
    <w:rsid w:val="00FD7121"/>
    <w:rsid w:val="00FE19C3"/>
    <w:rsid w:val="00FE2154"/>
    <w:rsid w:val="00FE4F7E"/>
    <w:rsid w:val="00FE5E6F"/>
    <w:rsid w:val="00FF138F"/>
    <w:rsid w:val="00FF4749"/>
    <w:rsid w:val="00FF76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774E3"/>
  <w15:docId w15:val="{8B6F0E02-911D-4879-8C4C-E1ECD25D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442D"/>
    <w:pPr>
      <w:spacing w:after="0" w:line="240" w:lineRule="auto"/>
    </w:pPr>
    <w:rPr>
      <w:rFonts w:ascii="Calibri" w:eastAsiaTheme="minorEastAsia" w:hAnsi="Calibri"/>
      <w:sz w:val="24"/>
      <w:szCs w:val="24"/>
      <w:lang w:val="en-US"/>
    </w:rPr>
  </w:style>
  <w:style w:type="paragraph" w:styleId="berschrift1">
    <w:name w:val="heading 1"/>
    <w:basedOn w:val="Standard"/>
    <w:next w:val="Standard"/>
    <w:link w:val="berschrift1Zchn"/>
    <w:uiPriority w:val="9"/>
    <w:qFormat/>
    <w:rsid w:val="008A4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A442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8A442D"/>
    <w:pPr>
      <w:spacing w:before="100" w:beforeAutospacing="1" w:after="100" w:afterAutospacing="1"/>
      <w:outlineLvl w:val="2"/>
    </w:pPr>
    <w:rPr>
      <w:rFonts w:ascii="Times New Roman" w:eastAsia="Times New Roman" w:hAnsi="Times New Roman" w:cs="Times New Roman"/>
      <w:b/>
      <w:bCs/>
      <w:sz w:val="27"/>
      <w:szCs w:val="27"/>
      <w:lang w:val="de-DE" w:eastAsia="de-DE"/>
    </w:rPr>
  </w:style>
  <w:style w:type="paragraph" w:styleId="berschrift4">
    <w:name w:val="heading 4"/>
    <w:basedOn w:val="Standard"/>
    <w:next w:val="Standard"/>
    <w:link w:val="berschrift4Zchn"/>
    <w:uiPriority w:val="9"/>
    <w:semiHidden/>
    <w:unhideWhenUsed/>
    <w:qFormat/>
    <w:rsid w:val="008A44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442D"/>
    <w:rPr>
      <w:rFonts w:asciiTheme="majorHAnsi" w:eastAsiaTheme="majorEastAsia" w:hAnsiTheme="majorHAnsi" w:cstheme="majorBidi"/>
      <w:b/>
      <w:bCs/>
      <w:color w:val="365F91" w:themeColor="accent1" w:themeShade="BF"/>
      <w:sz w:val="28"/>
      <w:szCs w:val="28"/>
      <w:lang w:val="en-US"/>
    </w:rPr>
  </w:style>
  <w:style w:type="paragraph" w:styleId="Verzeichnis1">
    <w:name w:val="toc 1"/>
    <w:basedOn w:val="Standard"/>
    <w:next w:val="Standard"/>
    <w:autoRedefine/>
    <w:uiPriority w:val="39"/>
    <w:qFormat/>
    <w:rsid w:val="008A442D"/>
    <w:pPr>
      <w:tabs>
        <w:tab w:val="left" w:pos="480"/>
        <w:tab w:val="right" w:leader="dot" w:pos="9062"/>
      </w:tabs>
    </w:pPr>
    <w:rPr>
      <w:rFonts w:ascii="Frutiger LT 47 LightCn" w:eastAsia="Times New Roman" w:hAnsi="Frutiger LT 47 LightCn" w:cs="Times New Roman"/>
      <w:noProof/>
    </w:rPr>
  </w:style>
  <w:style w:type="paragraph" w:styleId="Verzeichnis2">
    <w:name w:val="toc 2"/>
    <w:basedOn w:val="Standard"/>
    <w:next w:val="Standard"/>
    <w:autoRedefine/>
    <w:uiPriority w:val="39"/>
    <w:qFormat/>
    <w:rsid w:val="008A442D"/>
    <w:pPr>
      <w:ind w:left="240"/>
    </w:pPr>
    <w:rPr>
      <w:rFonts w:eastAsia="Times New Roman" w:cs="Times New Roman"/>
    </w:rPr>
  </w:style>
  <w:style w:type="paragraph" w:styleId="Verzeichnis3">
    <w:name w:val="toc 3"/>
    <w:basedOn w:val="Standard"/>
    <w:next w:val="Standard"/>
    <w:autoRedefine/>
    <w:uiPriority w:val="39"/>
    <w:qFormat/>
    <w:rsid w:val="008A442D"/>
    <w:pPr>
      <w:ind w:left="480"/>
    </w:pPr>
    <w:rPr>
      <w:rFonts w:eastAsia="Times New Roman" w:cs="Times New Roman"/>
    </w:rPr>
  </w:style>
  <w:style w:type="paragraph" w:styleId="KeinLeerraum">
    <w:name w:val="No Spacing"/>
    <w:uiPriority w:val="1"/>
    <w:qFormat/>
    <w:rsid w:val="008A442D"/>
    <w:pPr>
      <w:spacing w:after="0" w:line="240" w:lineRule="auto"/>
    </w:pPr>
    <w:rPr>
      <w:rFonts w:ascii="Frutiger LT 47 LightCn" w:eastAsia="Times New Roman" w:hAnsi="Frutiger LT 47 LightCn" w:cs="Times New Roman"/>
      <w:sz w:val="24"/>
      <w:szCs w:val="24"/>
      <w:lang w:eastAsia="de-DE"/>
    </w:rPr>
  </w:style>
  <w:style w:type="paragraph" w:styleId="Listenabsatz">
    <w:name w:val="List Paragraph"/>
    <w:basedOn w:val="Standard"/>
    <w:uiPriority w:val="34"/>
    <w:qFormat/>
    <w:rsid w:val="008A442D"/>
    <w:pPr>
      <w:ind w:left="720"/>
      <w:contextualSpacing/>
    </w:pPr>
  </w:style>
  <w:style w:type="character" w:customStyle="1" w:styleId="berschrift2Zchn">
    <w:name w:val="Überschrift 2 Zchn"/>
    <w:basedOn w:val="Absatz-Standardschriftart"/>
    <w:link w:val="berschrift2"/>
    <w:uiPriority w:val="9"/>
    <w:rsid w:val="008A442D"/>
    <w:rPr>
      <w:rFonts w:asciiTheme="majorHAnsi" w:eastAsiaTheme="majorEastAsia" w:hAnsiTheme="majorHAnsi" w:cstheme="majorBidi"/>
      <w:color w:val="365F91" w:themeColor="accent1" w:themeShade="BF"/>
      <w:sz w:val="26"/>
      <w:szCs w:val="26"/>
      <w:lang w:val="en-US"/>
    </w:rPr>
  </w:style>
  <w:style w:type="character" w:customStyle="1" w:styleId="berschrift3Zchn">
    <w:name w:val="Überschrift 3 Zchn"/>
    <w:basedOn w:val="Absatz-Standardschriftart"/>
    <w:link w:val="berschrift3"/>
    <w:uiPriority w:val="9"/>
    <w:rsid w:val="008A442D"/>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semiHidden/>
    <w:rsid w:val="008A442D"/>
    <w:rPr>
      <w:rFonts w:asciiTheme="majorHAnsi" w:eastAsiaTheme="majorEastAsia" w:hAnsiTheme="majorHAnsi" w:cstheme="majorBidi"/>
      <w:i/>
      <w:iCs/>
      <w:color w:val="365F91" w:themeColor="accent1" w:themeShade="BF"/>
      <w:sz w:val="24"/>
      <w:szCs w:val="24"/>
      <w:lang w:val="en-US"/>
    </w:rPr>
  </w:style>
  <w:style w:type="character" w:customStyle="1" w:styleId="Internetlink">
    <w:name w:val="Internetlink"/>
    <w:basedOn w:val="Absatz-Standardschriftart"/>
    <w:uiPriority w:val="99"/>
    <w:unhideWhenUsed/>
    <w:rsid w:val="008A442D"/>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8A442D"/>
    <w:rPr>
      <w:rFonts w:ascii="Tahoma" w:eastAsiaTheme="minorEastAsia" w:hAnsi="Tahoma" w:cs="Tahoma"/>
      <w:sz w:val="16"/>
      <w:szCs w:val="16"/>
      <w:lang w:val="en-US"/>
    </w:rPr>
  </w:style>
  <w:style w:type="paragraph" w:styleId="Sprechblasentext">
    <w:name w:val="Balloon Text"/>
    <w:basedOn w:val="Standard"/>
    <w:link w:val="SprechblasentextZchn"/>
    <w:uiPriority w:val="99"/>
    <w:semiHidden/>
    <w:unhideWhenUsed/>
    <w:qFormat/>
    <w:rsid w:val="008A442D"/>
    <w:rPr>
      <w:rFonts w:ascii="Tahoma" w:hAnsi="Tahoma" w:cs="Tahoma"/>
      <w:sz w:val="16"/>
      <w:szCs w:val="16"/>
    </w:rPr>
  </w:style>
  <w:style w:type="character" w:customStyle="1" w:styleId="SprechblasentextZchn1">
    <w:name w:val="Sprechblasentext Zchn1"/>
    <w:basedOn w:val="Absatz-Standardschriftart"/>
    <w:uiPriority w:val="99"/>
    <w:semiHidden/>
    <w:rsid w:val="008A442D"/>
    <w:rPr>
      <w:rFonts w:ascii="Segoe UI" w:eastAsiaTheme="minorEastAsia" w:hAnsi="Segoe UI" w:cs="Segoe UI"/>
      <w:sz w:val="18"/>
      <w:szCs w:val="18"/>
      <w:lang w:val="en-US"/>
    </w:rPr>
  </w:style>
  <w:style w:type="character" w:customStyle="1" w:styleId="KopfzeileZchn">
    <w:name w:val="Kopfzeile Zchn"/>
    <w:basedOn w:val="Absatz-Standardschriftart"/>
    <w:link w:val="Kopfzeile"/>
    <w:uiPriority w:val="99"/>
    <w:qFormat/>
    <w:rsid w:val="008A442D"/>
    <w:rPr>
      <w:rFonts w:eastAsiaTheme="minorEastAsia"/>
      <w:sz w:val="24"/>
      <w:szCs w:val="24"/>
      <w:lang w:val="en-US"/>
    </w:rPr>
  </w:style>
  <w:style w:type="paragraph" w:styleId="Kopfzeile">
    <w:name w:val="header"/>
    <w:basedOn w:val="Standard"/>
    <w:link w:val="KopfzeileZchn"/>
    <w:uiPriority w:val="99"/>
    <w:unhideWhenUsed/>
    <w:rsid w:val="008A442D"/>
    <w:pPr>
      <w:tabs>
        <w:tab w:val="center" w:pos="4536"/>
        <w:tab w:val="right" w:pos="9072"/>
      </w:tabs>
    </w:pPr>
    <w:rPr>
      <w:rFonts w:asciiTheme="minorHAnsi" w:hAnsiTheme="minorHAnsi"/>
    </w:rPr>
  </w:style>
  <w:style w:type="character" w:customStyle="1" w:styleId="KopfzeileZchn1">
    <w:name w:val="Kopfzeile Zchn1"/>
    <w:basedOn w:val="Absatz-Standardschriftart"/>
    <w:uiPriority w:val="99"/>
    <w:semiHidden/>
    <w:rsid w:val="008A442D"/>
    <w:rPr>
      <w:rFonts w:ascii="Calibri" w:eastAsiaTheme="minorEastAsia" w:hAnsi="Calibri"/>
      <w:sz w:val="24"/>
      <w:szCs w:val="24"/>
      <w:lang w:val="en-US"/>
    </w:rPr>
  </w:style>
  <w:style w:type="character" w:customStyle="1" w:styleId="FuzeileZchn">
    <w:name w:val="Fußzeile Zchn"/>
    <w:basedOn w:val="Absatz-Standardschriftart"/>
    <w:link w:val="Fuzeile"/>
    <w:uiPriority w:val="99"/>
    <w:qFormat/>
    <w:rsid w:val="008A442D"/>
    <w:rPr>
      <w:rFonts w:eastAsiaTheme="minorEastAsia"/>
      <w:sz w:val="24"/>
      <w:szCs w:val="24"/>
      <w:lang w:val="en-US"/>
    </w:rPr>
  </w:style>
  <w:style w:type="paragraph" w:styleId="Fuzeile">
    <w:name w:val="footer"/>
    <w:basedOn w:val="Standard"/>
    <w:link w:val="FuzeileZchn"/>
    <w:uiPriority w:val="99"/>
    <w:unhideWhenUsed/>
    <w:rsid w:val="008A442D"/>
    <w:pPr>
      <w:tabs>
        <w:tab w:val="center" w:pos="4536"/>
        <w:tab w:val="right" w:pos="9072"/>
      </w:tabs>
    </w:pPr>
    <w:rPr>
      <w:rFonts w:asciiTheme="minorHAnsi" w:hAnsiTheme="minorHAnsi"/>
    </w:rPr>
  </w:style>
  <w:style w:type="character" w:customStyle="1" w:styleId="FuzeileZchn1">
    <w:name w:val="Fußzeile Zchn1"/>
    <w:basedOn w:val="Absatz-Standardschriftart"/>
    <w:uiPriority w:val="99"/>
    <w:semiHidden/>
    <w:rsid w:val="008A442D"/>
    <w:rPr>
      <w:rFonts w:ascii="Calibri" w:eastAsiaTheme="minorEastAsia" w:hAnsi="Calibri"/>
      <w:sz w:val="24"/>
      <w:szCs w:val="24"/>
      <w:lang w:val="en-US"/>
    </w:rPr>
  </w:style>
  <w:style w:type="character" w:styleId="Kommentarzeichen">
    <w:name w:val="annotation reference"/>
    <w:basedOn w:val="Absatz-Standardschriftart"/>
    <w:uiPriority w:val="99"/>
    <w:semiHidden/>
    <w:unhideWhenUsed/>
    <w:qFormat/>
    <w:rsid w:val="008A442D"/>
    <w:rPr>
      <w:sz w:val="16"/>
      <w:szCs w:val="16"/>
    </w:rPr>
  </w:style>
  <w:style w:type="character" w:customStyle="1" w:styleId="KommentartextZchn">
    <w:name w:val="Kommentartext Zchn"/>
    <w:basedOn w:val="Absatz-Standardschriftart"/>
    <w:link w:val="Kommentartext"/>
    <w:uiPriority w:val="99"/>
    <w:qFormat/>
    <w:rsid w:val="008A442D"/>
    <w:rPr>
      <w:rFonts w:eastAsiaTheme="minorEastAsia"/>
      <w:sz w:val="20"/>
      <w:szCs w:val="20"/>
      <w:lang w:val="en-US"/>
    </w:rPr>
  </w:style>
  <w:style w:type="paragraph" w:styleId="Kommentartext">
    <w:name w:val="annotation text"/>
    <w:basedOn w:val="Standard"/>
    <w:link w:val="KommentartextZchn"/>
    <w:uiPriority w:val="99"/>
    <w:unhideWhenUsed/>
    <w:qFormat/>
    <w:rsid w:val="008A442D"/>
    <w:rPr>
      <w:rFonts w:asciiTheme="minorHAnsi" w:hAnsiTheme="minorHAnsi"/>
      <w:sz w:val="20"/>
      <w:szCs w:val="20"/>
    </w:rPr>
  </w:style>
  <w:style w:type="character" w:customStyle="1" w:styleId="KommentartextZchn1">
    <w:name w:val="Kommentartext Zchn1"/>
    <w:basedOn w:val="Absatz-Standardschriftart"/>
    <w:uiPriority w:val="99"/>
    <w:semiHidden/>
    <w:rsid w:val="008A442D"/>
    <w:rPr>
      <w:rFonts w:ascii="Calibri" w:eastAsiaTheme="minorEastAsia" w:hAnsi="Calibri"/>
      <w:sz w:val="20"/>
      <w:szCs w:val="20"/>
      <w:lang w:val="en-US"/>
    </w:rPr>
  </w:style>
  <w:style w:type="character" w:customStyle="1" w:styleId="KommentarthemaZchn">
    <w:name w:val="Kommentarthema Zchn"/>
    <w:basedOn w:val="KommentartextZchn"/>
    <w:link w:val="Kommentarthema"/>
    <w:uiPriority w:val="99"/>
    <w:semiHidden/>
    <w:qFormat/>
    <w:rsid w:val="008A442D"/>
    <w:rPr>
      <w:rFonts w:eastAsiaTheme="minorEastAsia"/>
      <w:b/>
      <w:bCs/>
      <w:sz w:val="20"/>
      <w:szCs w:val="20"/>
      <w:lang w:val="en-US"/>
    </w:rPr>
  </w:style>
  <w:style w:type="paragraph" w:styleId="Kommentarthema">
    <w:name w:val="annotation subject"/>
    <w:basedOn w:val="Kommentartext"/>
    <w:link w:val="KommentarthemaZchn"/>
    <w:uiPriority w:val="99"/>
    <w:semiHidden/>
    <w:unhideWhenUsed/>
    <w:qFormat/>
    <w:rsid w:val="008A442D"/>
    <w:rPr>
      <w:b/>
      <w:bCs/>
    </w:rPr>
  </w:style>
  <w:style w:type="character" w:customStyle="1" w:styleId="KommentarthemaZchn1">
    <w:name w:val="Kommentarthema Zchn1"/>
    <w:basedOn w:val="KommentartextZchn1"/>
    <w:uiPriority w:val="99"/>
    <w:semiHidden/>
    <w:rsid w:val="008A442D"/>
    <w:rPr>
      <w:rFonts w:ascii="Calibri" w:eastAsiaTheme="minorEastAsia" w:hAnsi="Calibri"/>
      <w:b/>
      <w:bCs/>
      <w:sz w:val="20"/>
      <w:szCs w:val="20"/>
      <w:lang w:val="en-US"/>
    </w:rPr>
  </w:style>
  <w:style w:type="character" w:customStyle="1" w:styleId="EndNoteBibliographyTitleZchn">
    <w:name w:val="EndNote Bibliography Title Zchn"/>
    <w:basedOn w:val="Absatz-Standardschriftart"/>
    <w:link w:val="EndNoteBibliographyTitle"/>
    <w:qFormat/>
    <w:rsid w:val="008A442D"/>
    <w:rPr>
      <w:rFonts w:ascii="Calibri" w:eastAsiaTheme="minorEastAsia" w:hAnsi="Calibri" w:cs="Calibri"/>
      <w:sz w:val="24"/>
      <w:szCs w:val="24"/>
      <w:lang w:val="en-US"/>
    </w:rPr>
  </w:style>
  <w:style w:type="paragraph" w:customStyle="1" w:styleId="EndNoteBibliographyTitle">
    <w:name w:val="EndNote Bibliography Title"/>
    <w:basedOn w:val="Standard"/>
    <w:link w:val="EndNoteBibliographyTitleZchn"/>
    <w:rsid w:val="008A442D"/>
    <w:pPr>
      <w:jc w:val="center"/>
    </w:pPr>
    <w:rPr>
      <w:rFonts w:cs="Calibri"/>
    </w:rPr>
  </w:style>
  <w:style w:type="character" w:customStyle="1" w:styleId="EndNoteBibliographyZchn">
    <w:name w:val="EndNote Bibliography Zchn"/>
    <w:basedOn w:val="Absatz-Standardschriftart"/>
    <w:link w:val="EndNoteBibliography"/>
    <w:qFormat/>
    <w:rsid w:val="008A442D"/>
    <w:rPr>
      <w:rFonts w:ascii="Calibri" w:eastAsiaTheme="minorEastAsia" w:hAnsi="Calibri" w:cs="Calibri"/>
      <w:sz w:val="24"/>
      <w:szCs w:val="24"/>
      <w:lang w:val="en-US"/>
    </w:rPr>
  </w:style>
  <w:style w:type="paragraph" w:customStyle="1" w:styleId="EndNoteBibliography">
    <w:name w:val="EndNote Bibliography"/>
    <w:basedOn w:val="Standard"/>
    <w:link w:val="EndNoteBibliographyZchn"/>
    <w:rsid w:val="008A442D"/>
    <w:pPr>
      <w:jc w:val="both"/>
    </w:pPr>
    <w:rPr>
      <w:rFonts w:cs="Calibri"/>
    </w:rPr>
  </w:style>
  <w:style w:type="character" w:customStyle="1" w:styleId="apple-converted-space">
    <w:name w:val="apple-converted-space"/>
    <w:basedOn w:val="Absatz-Standardschriftart"/>
    <w:rsid w:val="008A442D"/>
  </w:style>
  <w:style w:type="character" w:customStyle="1" w:styleId="jrnl">
    <w:name w:val="jrnl"/>
    <w:basedOn w:val="Absatz-Standardschriftart"/>
    <w:rsid w:val="008A442D"/>
  </w:style>
  <w:style w:type="character" w:customStyle="1" w:styleId="ListLabel1">
    <w:name w:val="ListLabel 1"/>
    <w:rsid w:val="008A442D"/>
    <w:rPr>
      <w:rFonts w:eastAsia="Times New Roman" w:cs="Arial"/>
    </w:rPr>
  </w:style>
  <w:style w:type="character" w:customStyle="1" w:styleId="ListLabel2">
    <w:name w:val="ListLabel 2"/>
    <w:rsid w:val="008A442D"/>
    <w:rPr>
      <w:rFonts w:cs="Courier New"/>
    </w:rPr>
  </w:style>
  <w:style w:type="character" w:customStyle="1" w:styleId="ListLabel3">
    <w:name w:val="ListLabel 3"/>
    <w:rsid w:val="008A442D"/>
    <w:rPr>
      <w:rFonts w:cs="Courier New"/>
    </w:rPr>
  </w:style>
  <w:style w:type="character" w:customStyle="1" w:styleId="ListLabel4">
    <w:name w:val="ListLabel 4"/>
    <w:rsid w:val="008A442D"/>
    <w:rPr>
      <w:rFonts w:cs="Courier New"/>
    </w:rPr>
  </w:style>
  <w:style w:type="paragraph" w:customStyle="1" w:styleId="berschrift">
    <w:name w:val="Überschrift"/>
    <w:basedOn w:val="Standard"/>
    <w:next w:val="Textkrper"/>
    <w:qFormat/>
    <w:rsid w:val="008A442D"/>
    <w:pPr>
      <w:keepNext/>
      <w:spacing w:before="240" w:after="120"/>
    </w:pPr>
    <w:rPr>
      <w:rFonts w:ascii="Liberation Sans" w:eastAsia="Noto Sans CJK SC Regular" w:hAnsi="Liberation Sans" w:cs="FreeSans"/>
      <w:sz w:val="28"/>
      <w:szCs w:val="28"/>
    </w:rPr>
  </w:style>
  <w:style w:type="paragraph" w:styleId="Textkrper">
    <w:name w:val="Body Text"/>
    <w:basedOn w:val="Standard"/>
    <w:link w:val="TextkrperZchn"/>
    <w:rsid w:val="008A442D"/>
    <w:pPr>
      <w:spacing w:after="140" w:line="288" w:lineRule="auto"/>
    </w:pPr>
  </w:style>
  <w:style w:type="character" w:customStyle="1" w:styleId="TextkrperZchn">
    <w:name w:val="Textkörper Zchn"/>
    <w:basedOn w:val="Absatz-Standardschriftart"/>
    <w:link w:val="Textkrper"/>
    <w:rsid w:val="008A442D"/>
    <w:rPr>
      <w:rFonts w:ascii="Calibri" w:eastAsiaTheme="minorEastAsia" w:hAnsi="Calibri"/>
      <w:sz w:val="24"/>
      <w:szCs w:val="24"/>
      <w:lang w:val="en-US"/>
    </w:rPr>
  </w:style>
  <w:style w:type="paragraph" w:styleId="Liste">
    <w:name w:val="List"/>
    <w:basedOn w:val="Textkrper"/>
    <w:rsid w:val="008A442D"/>
    <w:rPr>
      <w:rFonts w:cs="FreeSans"/>
    </w:rPr>
  </w:style>
  <w:style w:type="paragraph" w:styleId="Beschriftung">
    <w:name w:val="caption"/>
    <w:basedOn w:val="Standard"/>
    <w:rsid w:val="008A442D"/>
    <w:pPr>
      <w:suppressLineNumbers/>
      <w:spacing w:before="120" w:after="120"/>
    </w:pPr>
    <w:rPr>
      <w:rFonts w:cs="FreeSans"/>
      <w:i/>
      <w:iCs/>
    </w:rPr>
  </w:style>
  <w:style w:type="paragraph" w:customStyle="1" w:styleId="Verzeichnis">
    <w:name w:val="Verzeichnis"/>
    <w:basedOn w:val="Standard"/>
    <w:qFormat/>
    <w:rsid w:val="008A442D"/>
    <w:pPr>
      <w:suppressLineNumbers/>
    </w:pPr>
    <w:rPr>
      <w:rFonts w:cs="FreeSans"/>
    </w:rPr>
  </w:style>
  <w:style w:type="paragraph" w:styleId="StandardWeb">
    <w:name w:val="Normal (Web)"/>
    <w:basedOn w:val="Standard"/>
    <w:uiPriority w:val="99"/>
    <w:unhideWhenUsed/>
    <w:rsid w:val="008A442D"/>
    <w:pPr>
      <w:spacing w:beforeAutospacing="1" w:afterAutospacing="1"/>
    </w:pPr>
    <w:rPr>
      <w:rFonts w:ascii="Times New Roman" w:hAnsi="Times New Roman" w:cs="Times New Roman"/>
      <w:lang w:val="de-DE" w:eastAsia="de-DE"/>
    </w:rPr>
  </w:style>
  <w:style w:type="paragraph" w:customStyle="1" w:styleId="Titel1">
    <w:name w:val="Titel1"/>
    <w:basedOn w:val="Standard"/>
    <w:qFormat/>
    <w:rsid w:val="008A442D"/>
    <w:pPr>
      <w:spacing w:beforeAutospacing="1" w:afterAutospacing="1"/>
    </w:pPr>
    <w:rPr>
      <w:rFonts w:ascii="Times New Roman" w:eastAsia="Times New Roman" w:hAnsi="Times New Roman" w:cs="Times New Roman"/>
      <w:lang w:val="de-DE" w:eastAsia="de-DE"/>
    </w:rPr>
  </w:style>
  <w:style w:type="paragraph" w:customStyle="1" w:styleId="desc">
    <w:name w:val="desc"/>
    <w:basedOn w:val="Standard"/>
    <w:rsid w:val="008A442D"/>
    <w:pPr>
      <w:spacing w:beforeAutospacing="1" w:afterAutospacing="1"/>
    </w:pPr>
    <w:rPr>
      <w:rFonts w:ascii="Times New Roman" w:eastAsia="Times New Roman" w:hAnsi="Times New Roman" w:cs="Times New Roman"/>
      <w:lang w:val="de-DE" w:eastAsia="de-DE"/>
    </w:rPr>
  </w:style>
  <w:style w:type="paragraph" w:customStyle="1" w:styleId="details">
    <w:name w:val="details"/>
    <w:basedOn w:val="Standard"/>
    <w:rsid w:val="008A442D"/>
    <w:pPr>
      <w:spacing w:beforeAutospacing="1" w:afterAutospacing="1"/>
    </w:pPr>
    <w:rPr>
      <w:rFonts w:ascii="Times New Roman" w:eastAsia="Times New Roman" w:hAnsi="Times New Roman" w:cs="Times New Roman"/>
      <w:lang w:val="de-DE" w:eastAsia="de-DE"/>
    </w:rPr>
  </w:style>
  <w:style w:type="paragraph" w:styleId="berarbeitung">
    <w:name w:val="Revision"/>
    <w:uiPriority w:val="99"/>
    <w:semiHidden/>
    <w:qFormat/>
    <w:rsid w:val="008A442D"/>
    <w:pPr>
      <w:spacing w:after="0" w:line="240" w:lineRule="auto"/>
    </w:pPr>
    <w:rPr>
      <w:rFonts w:ascii="Calibri" w:eastAsiaTheme="minorEastAsia" w:hAnsi="Calibri"/>
      <w:sz w:val="24"/>
      <w:szCs w:val="24"/>
      <w:lang w:val="en-GB"/>
    </w:rPr>
  </w:style>
  <w:style w:type="table" w:styleId="Tabellenraster">
    <w:name w:val="Table Grid"/>
    <w:basedOn w:val="NormaleTabelle"/>
    <w:uiPriority w:val="59"/>
    <w:rsid w:val="008A442D"/>
    <w:pPr>
      <w:spacing w:after="0" w:line="240" w:lineRule="auto"/>
    </w:pPr>
    <w:rPr>
      <w:rFonts w:eastAsia="Batang"/>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A442D"/>
    <w:rPr>
      <w:color w:val="0000FF" w:themeColor="hyperlink"/>
      <w:u w:val="single"/>
    </w:rPr>
  </w:style>
  <w:style w:type="paragraph" w:styleId="NurText">
    <w:name w:val="Plain Text"/>
    <w:basedOn w:val="Standard"/>
    <w:link w:val="NurTextZchn"/>
    <w:uiPriority w:val="99"/>
    <w:semiHidden/>
    <w:unhideWhenUsed/>
    <w:rsid w:val="008A442D"/>
    <w:rPr>
      <w:rFonts w:eastAsiaTheme="minorHAnsi" w:cs="Times New Roman"/>
      <w:sz w:val="22"/>
      <w:szCs w:val="22"/>
      <w:lang w:val="de-DE"/>
    </w:rPr>
  </w:style>
  <w:style w:type="character" w:customStyle="1" w:styleId="NurTextZchn">
    <w:name w:val="Nur Text Zchn"/>
    <w:basedOn w:val="Absatz-Standardschriftart"/>
    <w:link w:val="NurText"/>
    <w:uiPriority w:val="99"/>
    <w:semiHidden/>
    <w:rsid w:val="008A442D"/>
    <w:rPr>
      <w:rFonts w:ascii="Calibri" w:hAnsi="Calibri" w:cs="Times New Roman"/>
    </w:rPr>
  </w:style>
  <w:style w:type="character" w:customStyle="1" w:styleId="st">
    <w:name w:val="st"/>
    <w:basedOn w:val="Absatz-Standardschriftart"/>
    <w:rsid w:val="008A442D"/>
  </w:style>
  <w:style w:type="character" w:styleId="Hervorhebung">
    <w:name w:val="Emphasis"/>
    <w:basedOn w:val="Absatz-Standardschriftart"/>
    <w:uiPriority w:val="20"/>
    <w:qFormat/>
    <w:rsid w:val="008A442D"/>
    <w:rPr>
      <w:i/>
      <w:iCs/>
    </w:rPr>
  </w:style>
  <w:style w:type="character" w:styleId="Zeilennummer">
    <w:name w:val="line number"/>
    <w:basedOn w:val="Absatz-Standardschriftart"/>
    <w:uiPriority w:val="99"/>
    <w:semiHidden/>
    <w:unhideWhenUsed/>
    <w:rsid w:val="008A442D"/>
  </w:style>
  <w:style w:type="character" w:customStyle="1" w:styleId="EndNoteBibliographyChar">
    <w:name w:val="EndNote Bibliography Char"/>
    <w:basedOn w:val="Absatz-Standardschriftart"/>
    <w:rsid w:val="008A442D"/>
    <w:rPr>
      <w:rFonts w:ascii="Times New Roman" w:eastAsia="Times New Roman" w:hAnsi="Times New Roman" w:cs="Times New Roman"/>
      <w:sz w:val="24"/>
      <w:szCs w:val="24"/>
      <w:lang w:eastAsia="zh-CN"/>
    </w:rPr>
  </w:style>
  <w:style w:type="paragraph" w:customStyle="1" w:styleId="msonormal0">
    <w:name w:val="msonormal"/>
    <w:basedOn w:val="Standard"/>
    <w:rsid w:val="008A442D"/>
    <w:pPr>
      <w:spacing w:before="100" w:beforeAutospacing="1" w:after="100" w:afterAutospacing="1"/>
    </w:pPr>
    <w:rPr>
      <w:rFonts w:ascii="Times New Roman" w:eastAsia="Times New Roman" w:hAnsi="Times New Roman" w:cs="Times New Roman"/>
    </w:rPr>
  </w:style>
  <w:style w:type="paragraph" w:customStyle="1" w:styleId="xl65">
    <w:name w:val="xl65"/>
    <w:basedOn w:val="Standard"/>
    <w:rsid w:val="008A442D"/>
    <w:pPr>
      <w:spacing w:before="100" w:beforeAutospacing="1" w:after="100" w:afterAutospacing="1"/>
    </w:pPr>
    <w:rPr>
      <w:rFonts w:ascii="Times New Roman" w:eastAsia="Times New Roman" w:hAnsi="Times New Roman" w:cs="Times New Roman"/>
      <w:b/>
      <w:bCs/>
    </w:rPr>
  </w:style>
  <w:style w:type="character" w:styleId="BesuchterLink">
    <w:name w:val="FollowedHyperlink"/>
    <w:basedOn w:val="Absatz-Standardschriftart"/>
    <w:uiPriority w:val="99"/>
    <w:semiHidden/>
    <w:unhideWhenUsed/>
    <w:rsid w:val="008A442D"/>
    <w:rPr>
      <w:color w:val="800080" w:themeColor="followedHyperlink"/>
      <w:u w:val="single"/>
    </w:rPr>
  </w:style>
  <w:style w:type="character" w:customStyle="1" w:styleId="id-label">
    <w:name w:val="id-label"/>
    <w:basedOn w:val="Absatz-Standardschriftart"/>
    <w:rsid w:val="008A442D"/>
  </w:style>
  <w:style w:type="character" w:styleId="Fett">
    <w:name w:val="Strong"/>
    <w:basedOn w:val="Absatz-Standardschriftart"/>
    <w:uiPriority w:val="22"/>
    <w:qFormat/>
    <w:rsid w:val="008A442D"/>
    <w:rPr>
      <w:b/>
      <w:bCs/>
    </w:rPr>
  </w:style>
  <w:style w:type="character" w:customStyle="1" w:styleId="mim-text-font">
    <w:name w:val="mim-text-font"/>
    <w:basedOn w:val="Absatz-Standardschriftart"/>
    <w:rsid w:val="0001601C"/>
  </w:style>
  <w:style w:type="character" w:customStyle="1" w:styleId="mim-font">
    <w:name w:val="mim-font"/>
    <w:basedOn w:val="Absatz-Standardschriftart"/>
    <w:rsid w:val="00ED6B88"/>
  </w:style>
  <w:style w:type="character" w:customStyle="1" w:styleId="u-visually-hidden">
    <w:name w:val="u-visually-hidden"/>
    <w:basedOn w:val="Absatz-Standardschriftart"/>
    <w:rsid w:val="0026401C"/>
  </w:style>
  <w:style w:type="character" w:customStyle="1" w:styleId="NichtaufgelsteErwhnung1">
    <w:name w:val="Nicht aufgelöste Erwähnung1"/>
    <w:basedOn w:val="Absatz-Standardschriftart"/>
    <w:uiPriority w:val="99"/>
    <w:semiHidden/>
    <w:unhideWhenUsed/>
    <w:rsid w:val="00A241F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D25434"/>
    <w:rPr>
      <w:color w:val="605E5C"/>
      <w:shd w:val="clear" w:color="auto" w:fill="E1DFDD"/>
    </w:rPr>
  </w:style>
  <w:style w:type="character" w:customStyle="1" w:styleId="UnresolvedMention1">
    <w:name w:val="Unresolved Mention1"/>
    <w:basedOn w:val="Absatz-Standardschriftart"/>
    <w:uiPriority w:val="99"/>
    <w:semiHidden/>
    <w:unhideWhenUsed/>
    <w:rsid w:val="00767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55">
      <w:bodyDiv w:val="1"/>
      <w:marLeft w:val="0"/>
      <w:marRight w:val="0"/>
      <w:marTop w:val="0"/>
      <w:marBottom w:val="0"/>
      <w:divBdr>
        <w:top w:val="none" w:sz="0" w:space="0" w:color="auto"/>
        <w:left w:val="none" w:sz="0" w:space="0" w:color="auto"/>
        <w:bottom w:val="none" w:sz="0" w:space="0" w:color="auto"/>
        <w:right w:val="none" w:sz="0" w:space="0" w:color="auto"/>
      </w:divBdr>
    </w:div>
    <w:div w:id="109931949">
      <w:bodyDiv w:val="1"/>
      <w:marLeft w:val="0"/>
      <w:marRight w:val="0"/>
      <w:marTop w:val="0"/>
      <w:marBottom w:val="0"/>
      <w:divBdr>
        <w:top w:val="none" w:sz="0" w:space="0" w:color="auto"/>
        <w:left w:val="none" w:sz="0" w:space="0" w:color="auto"/>
        <w:bottom w:val="none" w:sz="0" w:space="0" w:color="auto"/>
        <w:right w:val="none" w:sz="0" w:space="0" w:color="auto"/>
      </w:divBdr>
    </w:div>
    <w:div w:id="224681160">
      <w:bodyDiv w:val="1"/>
      <w:marLeft w:val="0"/>
      <w:marRight w:val="0"/>
      <w:marTop w:val="0"/>
      <w:marBottom w:val="0"/>
      <w:divBdr>
        <w:top w:val="none" w:sz="0" w:space="0" w:color="auto"/>
        <w:left w:val="none" w:sz="0" w:space="0" w:color="auto"/>
        <w:bottom w:val="none" w:sz="0" w:space="0" w:color="auto"/>
        <w:right w:val="none" w:sz="0" w:space="0" w:color="auto"/>
      </w:divBdr>
    </w:div>
    <w:div w:id="278221080">
      <w:bodyDiv w:val="1"/>
      <w:marLeft w:val="0"/>
      <w:marRight w:val="0"/>
      <w:marTop w:val="0"/>
      <w:marBottom w:val="0"/>
      <w:divBdr>
        <w:top w:val="none" w:sz="0" w:space="0" w:color="auto"/>
        <w:left w:val="none" w:sz="0" w:space="0" w:color="auto"/>
        <w:bottom w:val="none" w:sz="0" w:space="0" w:color="auto"/>
        <w:right w:val="none" w:sz="0" w:space="0" w:color="auto"/>
      </w:divBdr>
    </w:div>
    <w:div w:id="462231652">
      <w:bodyDiv w:val="1"/>
      <w:marLeft w:val="0"/>
      <w:marRight w:val="0"/>
      <w:marTop w:val="0"/>
      <w:marBottom w:val="0"/>
      <w:divBdr>
        <w:top w:val="none" w:sz="0" w:space="0" w:color="auto"/>
        <w:left w:val="none" w:sz="0" w:space="0" w:color="auto"/>
        <w:bottom w:val="none" w:sz="0" w:space="0" w:color="auto"/>
        <w:right w:val="none" w:sz="0" w:space="0" w:color="auto"/>
      </w:divBdr>
    </w:div>
    <w:div w:id="720060900">
      <w:bodyDiv w:val="1"/>
      <w:marLeft w:val="0"/>
      <w:marRight w:val="0"/>
      <w:marTop w:val="0"/>
      <w:marBottom w:val="0"/>
      <w:divBdr>
        <w:top w:val="none" w:sz="0" w:space="0" w:color="auto"/>
        <w:left w:val="none" w:sz="0" w:space="0" w:color="auto"/>
        <w:bottom w:val="none" w:sz="0" w:space="0" w:color="auto"/>
        <w:right w:val="none" w:sz="0" w:space="0" w:color="auto"/>
      </w:divBdr>
    </w:div>
    <w:div w:id="737246493">
      <w:bodyDiv w:val="1"/>
      <w:marLeft w:val="0"/>
      <w:marRight w:val="0"/>
      <w:marTop w:val="0"/>
      <w:marBottom w:val="0"/>
      <w:divBdr>
        <w:top w:val="none" w:sz="0" w:space="0" w:color="auto"/>
        <w:left w:val="none" w:sz="0" w:space="0" w:color="auto"/>
        <w:bottom w:val="none" w:sz="0" w:space="0" w:color="auto"/>
        <w:right w:val="none" w:sz="0" w:space="0" w:color="auto"/>
      </w:divBdr>
    </w:div>
    <w:div w:id="762381125">
      <w:bodyDiv w:val="1"/>
      <w:marLeft w:val="0"/>
      <w:marRight w:val="0"/>
      <w:marTop w:val="0"/>
      <w:marBottom w:val="0"/>
      <w:divBdr>
        <w:top w:val="none" w:sz="0" w:space="0" w:color="auto"/>
        <w:left w:val="none" w:sz="0" w:space="0" w:color="auto"/>
        <w:bottom w:val="none" w:sz="0" w:space="0" w:color="auto"/>
        <w:right w:val="none" w:sz="0" w:space="0" w:color="auto"/>
      </w:divBdr>
      <w:divsChild>
        <w:div w:id="1190266371">
          <w:marLeft w:val="0"/>
          <w:marRight w:val="0"/>
          <w:marTop w:val="0"/>
          <w:marBottom w:val="45"/>
          <w:divBdr>
            <w:top w:val="none" w:sz="0" w:space="0" w:color="auto"/>
            <w:left w:val="none" w:sz="0" w:space="0" w:color="auto"/>
            <w:bottom w:val="none" w:sz="0" w:space="0" w:color="auto"/>
            <w:right w:val="none" w:sz="0" w:space="0" w:color="auto"/>
          </w:divBdr>
        </w:div>
      </w:divsChild>
    </w:div>
    <w:div w:id="839274447">
      <w:bodyDiv w:val="1"/>
      <w:marLeft w:val="0"/>
      <w:marRight w:val="0"/>
      <w:marTop w:val="0"/>
      <w:marBottom w:val="0"/>
      <w:divBdr>
        <w:top w:val="none" w:sz="0" w:space="0" w:color="auto"/>
        <w:left w:val="none" w:sz="0" w:space="0" w:color="auto"/>
        <w:bottom w:val="none" w:sz="0" w:space="0" w:color="auto"/>
        <w:right w:val="none" w:sz="0" w:space="0" w:color="auto"/>
      </w:divBdr>
    </w:div>
    <w:div w:id="914827745">
      <w:bodyDiv w:val="1"/>
      <w:marLeft w:val="0"/>
      <w:marRight w:val="0"/>
      <w:marTop w:val="0"/>
      <w:marBottom w:val="0"/>
      <w:divBdr>
        <w:top w:val="none" w:sz="0" w:space="0" w:color="auto"/>
        <w:left w:val="none" w:sz="0" w:space="0" w:color="auto"/>
        <w:bottom w:val="none" w:sz="0" w:space="0" w:color="auto"/>
        <w:right w:val="none" w:sz="0" w:space="0" w:color="auto"/>
      </w:divBdr>
    </w:div>
    <w:div w:id="1042482745">
      <w:bodyDiv w:val="1"/>
      <w:marLeft w:val="0"/>
      <w:marRight w:val="0"/>
      <w:marTop w:val="0"/>
      <w:marBottom w:val="0"/>
      <w:divBdr>
        <w:top w:val="none" w:sz="0" w:space="0" w:color="auto"/>
        <w:left w:val="none" w:sz="0" w:space="0" w:color="auto"/>
        <w:bottom w:val="none" w:sz="0" w:space="0" w:color="auto"/>
        <w:right w:val="none" w:sz="0" w:space="0" w:color="auto"/>
      </w:divBdr>
    </w:div>
    <w:div w:id="1066956287">
      <w:bodyDiv w:val="1"/>
      <w:marLeft w:val="0"/>
      <w:marRight w:val="0"/>
      <w:marTop w:val="0"/>
      <w:marBottom w:val="0"/>
      <w:divBdr>
        <w:top w:val="none" w:sz="0" w:space="0" w:color="auto"/>
        <w:left w:val="none" w:sz="0" w:space="0" w:color="auto"/>
        <w:bottom w:val="none" w:sz="0" w:space="0" w:color="auto"/>
        <w:right w:val="none" w:sz="0" w:space="0" w:color="auto"/>
      </w:divBdr>
    </w:div>
    <w:div w:id="1167987751">
      <w:bodyDiv w:val="1"/>
      <w:marLeft w:val="0"/>
      <w:marRight w:val="0"/>
      <w:marTop w:val="0"/>
      <w:marBottom w:val="0"/>
      <w:divBdr>
        <w:top w:val="none" w:sz="0" w:space="0" w:color="auto"/>
        <w:left w:val="none" w:sz="0" w:space="0" w:color="auto"/>
        <w:bottom w:val="none" w:sz="0" w:space="0" w:color="auto"/>
        <w:right w:val="none" w:sz="0" w:space="0" w:color="auto"/>
      </w:divBdr>
    </w:div>
    <w:div w:id="1342900218">
      <w:bodyDiv w:val="1"/>
      <w:marLeft w:val="0"/>
      <w:marRight w:val="0"/>
      <w:marTop w:val="0"/>
      <w:marBottom w:val="0"/>
      <w:divBdr>
        <w:top w:val="none" w:sz="0" w:space="0" w:color="auto"/>
        <w:left w:val="none" w:sz="0" w:space="0" w:color="auto"/>
        <w:bottom w:val="none" w:sz="0" w:space="0" w:color="auto"/>
        <w:right w:val="none" w:sz="0" w:space="0" w:color="auto"/>
      </w:divBdr>
    </w:div>
    <w:div w:id="1433163128">
      <w:bodyDiv w:val="1"/>
      <w:marLeft w:val="0"/>
      <w:marRight w:val="0"/>
      <w:marTop w:val="0"/>
      <w:marBottom w:val="0"/>
      <w:divBdr>
        <w:top w:val="none" w:sz="0" w:space="0" w:color="auto"/>
        <w:left w:val="none" w:sz="0" w:space="0" w:color="auto"/>
        <w:bottom w:val="none" w:sz="0" w:space="0" w:color="auto"/>
        <w:right w:val="none" w:sz="0" w:space="0" w:color="auto"/>
      </w:divBdr>
    </w:div>
    <w:div w:id="1467426780">
      <w:bodyDiv w:val="1"/>
      <w:marLeft w:val="0"/>
      <w:marRight w:val="0"/>
      <w:marTop w:val="0"/>
      <w:marBottom w:val="0"/>
      <w:divBdr>
        <w:top w:val="none" w:sz="0" w:space="0" w:color="auto"/>
        <w:left w:val="none" w:sz="0" w:space="0" w:color="auto"/>
        <w:bottom w:val="none" w:sz="0" w:space="0" w:color="auto"/>
        <w:right w:val="none" w:sz="0" w:space="0" w:color="auto"/>
      </w:divBdr>
    </w:div>
    <w:div w:id="1487283823">
      <w:bodyDiv w:val="1"/>
      <w:marLeft w:val="0"/>
      <w:marRight w:val="0"/>
      <w:marTop w:val="0"/>
      <w:marBottom w:val="0"/>
      <w:divBdr>
        <w:top w:val="none" w:sz="0" w:space="0" w:color="auto"/>
        <w:left w:val="none" w:sz="0" w:space="0" w:color="auto"/>
        <w:bottom w:val="none" w:sz="0" w:space="0" w:color="auto"/>
        <w:right w:val="none" w:sz="0" w:space="0" w:color="auto"/>
      </w:divBdr>
    </w:div>
    <w:div w:id="1771772536">
      <w:bodyDiv w:val="1"/>
      <w:marLeft w:val="0"/>
      <w:marRight w:val="0"/>
      <w:marTop w:val="0"/>
      <w:marBottom w:val="0"/>
      <w:divBdr>
        <w:top w:val="none" w:sz="0" w:space="0" w:color="auto"/>
        <w:left w:val="none" w:sz="0" w:space="0" w:color="auto"/>
        <w:bottom w:val="none" w:sz="0" w:space="0" w:color="auto"/>
        <w:right w:val="none" w:sz="0" w:space="0" w:color="auto"/>
      </w:divBdr>
    </w:div>
    <w:div w:id="1855805269">
      <w:bodyDiv w:val="1"/>
      <w:marLeft w:val="0"/>
      <w:marRight w:val="0"/>
      <w:marTop w:val="0"/>
      <w:marBottom w:val="0"/>
      <w:divBdr>
        <w:top w:val="none" w:sz="0" w:space="0" w:color="auto"/>
        <w:left w:val="none" w:sz="0" w:space="0" w:color="auto"/>
        <w:bottom w:val="none" w:sz="0" w:space="0" w:color="auto"/>
        <w:right w:val="none" w:sz="0" w:space="0" w:color="auto"/>
      </w:divBdr>
    </w:div>
    <w:div w:id="1879925172">
      <w:bodyDiv w:val="1"/>
      <w:marLeft w:val="0"/>
      <w:marRight w:val="0"/>
      <w:marTop w:val="0"/>
      <w:marBottom w:val="0"/>
      <w:divBdr>
        <w:top w:val="none" w:sz="0" w:space="0" w:color="auto"/>
        <w:left w:val="none" w:sz="0" w:space="0" w:color="auto"/>
        <w:bottom w:val="none" w:sz="0" w:space="0" w:color="auto"/>
        <w:right w:val="none" w:sz="0" w:space="0" w:color="auto"/>
      </w:divBdr>
    </w:div>
    <w:div w:id="1912931485">
      <w:bodyDiv w:val="1"/>
      <w:marLeft w:val="0"/>
      <w:marRight w:val="0"/>
      <w:marTop w:val="0"/>
      <w:marBottom w:val="0"/>
      <w:divBdr>
        <w:top w:val="none" w:sz="0" w:space="0" w:color="auto"/>
        <w:left w:val="none" w:sz="0" w:space="0" w:color="auto"/>
        <w:bottom w:val="none" w:sz="0" w:space="0" w:color="auto"/>
        <w:right w:val="none" w:sz="0" w:space="0" w:color="auto"/>
      </w:divBdr>
    </w:div>
    <w:div w:id="1967858241">
      <w:bodyDiv w:val="1"/>
      <w:marLeft w:val="0"/>
      <w:marRight w:val="0"/>
      <w:marTop w:val="0"/>
      <w:marBottom w:val="0"/>
      <w:divBdr>
        <w:top w:val="none" w:sz="0" w:space="0" w:color="auto"/>
        <w:left w:val="none" w:sz="0" w:space="0" w:color="auto"/>
        <w:bottom w:val="none" w:sz="0" w:space="0" w:color="auto"/>
        <w:right w:val="none" w:sz="0" w:space="0" w:color="auto"/>
      </w:divBdr>
    </w:div>
    <w:div w:id="2022850713">
      <w:bodyDiv w:val="1"/>
      <w:marLeft w:val="0"/>
      <w:marRight w:val="0"/>
      <w:marTop w:val="0"/>
      <w:marBottom w:val="0"/>
      <w:divBdr>
        <w:top w:val="none" w:sz="0" w:space="0" w:color="auto"/>
        <w:left w:val="none" w:sz="0" w:space="0" w:color="auto"/>
        <w:bottom w:val="none" w:sz="0" w:space="0" w:color="auto"/>
        <w:right w:val="none" w:sz="0" w:space="0" w:color="auto"/>
      </w:divBdr>
    </w:div>
    <w:div w:id="21189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BE896-38F3-461E-B3E4-D69312F8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1898</Words>
  <Characters>11963</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MHH</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Schieck, Maximilian Dr.</dc:creator>
  <cp:keywords/>
  <dc:description/>
  <cp:lastModifiedBy>Schieck, Maximilian Dr.</cp:lastModifiedBy>
  <cp:revision>3</cp:revision>
  <dcterms:created xsi:type="dcterms:W3CDTF">2022-04-04T11:13:00Z</dcterms:created>
  <dcterms:modified xsi:type="dcterms:W3CDTF">2022-04-04T11:16:00Z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HH-ID">
    <vt:lpwstr>-</vt:lpwstr>
  </property>
  <property fmtid="{D5CDD505-2E9C-101B-9397-08002B2CF9AE}" pid="3" name="Nummer">
    <vt:lpwstr>-</vt:lpwstr>
  </property>
  <property fmtid="{D5CDD505-2E9C-101B-9397-08002B2CF9AE}" pid="4" name="MHH-Datum">
    <vt:lpwstr>-</vt:lpwstr>
  </property>
  <property fmtid="{D5CDD505-2E9C-101B-9397-08002B2CF9AE}" pid="5" name="MHH-Versionsnummer">
    <vt:lpwstr>-</vt:lpwstr>
  </property>
  <property fmtid="{D5CDD505-2E9C-101B-9397-08002B2CF9AE}" pid="6" name="Grp.">
    <vt:lpwstr>-</vt:lpwstr>
  </property>
  <property fmtid="{D5CDD505-2E9C-101B-9397-08002B2CF9AE}" pid="7" name="Abt.">
    <vt:lpwstr>-</vt:lpwstr>
  </property>
  <property fmtid="{D5CDD505-2E9C-101B-9397-08002B2CF9AE}" pid="8" name="Abteilungskürzel">
    <vt:lpwstr>-</vt:lpwstr>
  </property>
  <property fmtid="{D5CDD505-2E9C-101B-9397-08002B2CF9AE}" pid="9" name="Dokumentenuntergruppe">
    <vt:lpwstr>-</vt:lpwstr>
  </property>
  <property fmtid="{D5CDD505-2E9C-101B-9397-08002B2CF9AE}" pid="10" name="DokumentArt">
    <vt:lpwstr>-</vt:lpwstr>
  </property>
</Properties>
</file>