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096F" w14:textId="13AEACDB" w:rsidR="00954BE0" w:rsidRPr="00D71BD2" w:rsidRDefault="00295739">
      <w:pPr>
        <w:rPr>
          <w:rFonts w:ascii="Times" w:hAnsi="Times"/>
        </w:rPr>
      </w:pPr>
      <w:r w:rsidRPr="00D71BD2">
        <w:rPr>
          <w:rFonts w:ascii="Times" w:hAnsi="Times"/>
        </w:rPr>
        <w:t>Supplementary Figure 1</w:t>
      </w:r>
      <w:r w:rsidR="00716451" w:rsidRPr="00D71BD2">
        <w:rPr>
          <w:rFonts w:ascii="Times" w:hAnsi="Times"/>
        </w:rPr>
        <w:t>: Responding centres</w:t>
      </w:r>
    </w:p>
    <w:p w14:paraId="62AE9A59" w14:textId="628EB490" w:rsidR="00954BE0" w:rsidRDefault="00954BE0">
      <w:r w:rsidRPr="00954BE0">
        <w:rPr>
          <w:noProof/>
          <w:lang w:eastAsia="en-GB"/>
        </w:rPr>
        <w:drawing>
          <wp:inline distT="0" distB="0" distL="0" distR="0" wp14:anchorId="17B1D7EC" wp14:editId="530FDC09">
            <wp:extent cx="3587422" cy="3394636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86" cy="33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5B70" w14:textId="3C14C69A" w:rsidR="00295739" w:rsidRDefault="00954BE0">
      <w:r w:rsidRPr="00954BE0">
        <w:rPr>
          <w:noProof/>
          <w:lang w:eastAsia="en-GB"/>
        </w:rPr>
        <w:drawing>
          <wp:inline distT="0" distB="0" distL="0" distR="0" wp14:anchorId="5300F628" wp14:editId="70294693">
            <wp:extent cx="394447" cy="280894"/>
            <wp:effectExtent l="0" t="0" r="5715" b="5080"/>
            <wp:docPr id="32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65" cy="28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Contacted sites </w:t>
      </w:r>
      <w:r>
        <w:tab/>
      </w:r>
      <w:r w:rsidRPr="00954BE0">
        <w:rPr>
          <w:noProof/>
          <w:lang w:eastAsia="en-GB"/>
        </w:rPr>
        <w:drawing>
          <wp:inline distT="0" distB="0" distL="0" distR="0" wp14:anchorId="20BDC888" wp14:editId="7B3BB17B">
            <wp:extent cx="340658" cy="277742"/>
            <wp:effectExtent l="0" t="0" r="2540" b="8255"/>
            <wp:docPr id="33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42" cy="27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Response sites</w:t>
      </w:r>
    </w:p>
    <w:p w14:paraId="5EE9BA69" w14:textId="539CF7F0" w:rsidR="00295739" w:rsidRDefault="00295739"/>
    <w:p w14:paraId="597EE02B" w14:textId="1CE32E83" w:rsidR="00D71BD2" w:rsidRDefault="00D71BD2"/>
    <w:p w14:paraId="527C15B4" w14:textId="1A9637CD" w:rsidR="00D71BD2" w:rsidRDefault="00D71BD2"/>
    <w:p w14:paraId="0FE784EC" w14:textId="3FE31638" w:rsidR="00D71BD2" w:rsidRDefault="00D71BD2"/>
    <w:p w14:paraId="05D83CF0" w14:textId="53A66774" w:rsidR="00D71BD2" w:rsidRDefault="00D71BD2"/>
    <w:p w14:paraId="31DBA3AF" w14:textId="5223428C" w:rsidR="00D71BD2" w:rsidRDefault="00D71BD2"/>
    <w:p w14:paraId="2DBCC3C3" w14:textId="3DAECD95" w:rsidR="00D71BD2" w:rsidRDefault="00D71BD2"/>
    <w:p w14:paraId="76119A61" w14:textId="1C5C5F7F" w:rsidR="00D71BD2" w:rsidRDefault="00D71BD2"/>
    <w:p w14:paraId="1EC8401D" w14:textId="03505C20" w:rsidR="00D71BD2" w:rsidRDefault="00D71BD2"/>
    <w:p w14:paraId="3CEAE4F5" w14:textId="1A5E60BA" w:rsidR="00D71BD2" w:rsidRDefault="00D71BD2"/>
    <w:p w14:paraId="31B18242" w14:textId="01DEEAC8" w:rsidR="00D71BD2" w:rsidRDefault="00D71BD2"/>
    <w:p w14:paraId="5FE1B519" w14:textId="70ED73FF" w:rsidR="00D71BD2" w:rsidRDefault="00D71BD2"/>
    <w:p w14:paraId="6087EE67" w14:textId="77777777" w:rsidR="00D71BD2" w:rsidRDefault="00D71BD2"/>
    <w:p w14:paraId="6031E92A" w14:textId="77777777" w:rsidR="00D71BD2" w:rsidRDefault="00D71BD2"/>
    <w:p w14:paraId="7D24D9B0" w14:textId="77777777" w:rsidR="00D71BD2" w:rsidRDefault="00D71BD2"/>
    <w:p w14:paraId="424FDC9E" w14:textId="77777777" w:rsidR="00D71BD2" w:rsidRDefault="00D71BD2"/>
    <w:p w14:paraId="42132EAC" w14:textId="74F263CF" w:rsidR="00D71BD2" w:rsidRPr="00D71BD2" w:rsidRDefault="004836DC">
      <w:pPr>
        <w:rPr>
          <w:rFonts w:ascii="Times" w:hAnsi="Times"/>
        </w:rPr>
      </w:pPr>
      <w:r w:rsidRPr="00D71BD2">
        <w:rPr>
          <w:rFonts w:ascii="Times" w:hAnsi="Times"/>
        </w:rPr>
        <w:lastRenderedPageBreak/>
        <w:t>Supplementary Figure 2</w:t>
      </w:r>
      <w:r w:rsidR="004B0B47" w:rsidRPr="00D71BD2">
        <w:rPr>
          <w:rFonts w:ascii="Times" w:hAnsi="Times"/>
        </w:rPr>
        <w:t>: Distance to adult care service.</w:t>
      </w:r>
    </w:p>
    <w:p w14:paraId="11F1A9FC" w14:textId="7F12D6B3" w:rsidR="00D71BD2" w:rsidRDefault="00D71BD2">
      <w:r>
        <w:rPr>
          <w:noProof/>
        </w:rPr>
        <w:drawing>
          <wp:inline distT="0" distB="0" distL="0" distR="0" wp14:anchorId="10C38D09" wp14:editId="39065D6C">
            <wp:extent cx="5614416" cy="2743200"/>
            <wp:effectExtent l="0" t="0" r="12065" b="1270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4FD02C45-2B1C-AA4A-9A94-2457107FED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94E077B" w14:textId="0A818537" w:rsidR="00D71BD2" w:rsidRDefault="00D71BD2"/>
    <w:p w14:paraId="25E0563D" w14:textId="2A593209" w:rsidR="00D71BD2" w:rsidRDefault="00D71BD2"/>
    <w:p w14:paraId="3AE14EDF" w14:textId="709BA56A" w:rsidR="00D71BD2" w:rsidRDefault="00D71BD2"/>
    <w:p w14:paraId="1E25BCA2" w14:textId="28C266B3" w:rsidR="00D71BD2" w:rsidRDefault="00D71BD2"/>
    <w:p w14:paraId="44EA9E52" w14:textId="77C87997" w:rsidR="00D71BD2" w:rsidRDefault="00D71BD2"/>
    <w:p w14:paraId="60ED92D6" w14:textId="1526F4AF" w:rsidR="00D71BD2" w:rsidRDefault="00D71BD2"/>
    <w:p w14:paraId="1285A85B" w14:textId="2C98692D" w:rsidR="00D71BD2" w:rsidRDefault="00D71BD2"/>
    <w:p w14:paraId="6E07AD13" w14:textId="3787A7EA" w:rsidR="00D71BD2" w:rsidRDefault="00D71BD2"/>
    <w:p w14:paraId="6A419924" w14:textId="719CF1D0" w:rsidR="00D71BD2" w:rsidRDefault="00D71BD2"/>
    <w:p w14:paraId="2CF59C72" w14:textId="657F79D5" w:rsidR="00D71BD2" w:rsidRDefault="00D71BD2"/>
    <w:p w14:paraId="6671D7F6" w14:textId="3876F4AD" w:rsidR="00D71BD2" w:rsidRDefault="00D71BD2"/>
    <w:p w14:paraId="46955170" w14:textId="6961FF31" w:rsidR="00D71BD2" w:rsidRDefault="00D71BD2"/>
    <w:p w14:paraId="6F87DBE8" w14:textId="4A0C3CB4" w:rsidR="00D71BD2" w:rsidRDefault="00D71BD2"/>
    <w:p w14:paraId="5281B51C" w14:textId="550DC657" w:rsidR="00D71BD2" w:rsidRDefault="00D71BD2"/>
    <w:p w14:paraId="0C7EE946" w14:textId="7BC7EAF5" w:rsidR="00D71BD2" w:rsidRDefault="00D71BD2"/>
    <w:p w14:paraId="3F8DB29D" w14:textId="77777777" w:rsidR="00D71BD2" w:rsidRDefault="00D71BD2"/>
    <w:p w14:paraId="1D2C46E3" w14:textId="77777777" w:rsidR="00D71BD2" w:rsidRDefault="00D71BD2"/>
    <w:p w14:paraId="3F50B75B" w14:textId="77777777" w:rsidR="00D71BD2" w:rsidRDefault="00D71BD2"/>
    <w:p w14:paraId="38F04162" w14:textId="77777777" w:rsidR="00D71BD2" w:rsidRDefault="00D71BD2"/>
    <w:p w14:paraId="1BECA78E" w14:textId="77777777" w:rsidR="00D71BD2" w:rsidRDefault="00D71BD2"/>
    <w:p w14:paraId="305CDBAF" w14:textId="11EBE88C" w:rsidR="003677E8" w:rsidRPr="00D71BD2" w:rsidRDefault="003677E8">
      <w:pPr>
        <w:rPr>
          <w:rFonts w:ascii="Times" w:hAnsi="Times"/>
        </w:rPr>
      </w:pPr>
      <w:r w:rsidRPr="00D71BD2">
        <w:rPr>
          <w:rFonts w:ascii="Times" w:hAnsi="Times"/>
        </w:rPr>
        <w:lastRenderedPageBreak/>
        <w:t>Supplementa</w:t>
      </w:r>
      <w:r w:rsidR="008A2B08" w:rsidRPr="00D71BD2">
        <w:rPr>
          <w:rFonts w:ascii="Times" w:hAnsi="Times"/>
        </w:rPr>
        <w:t>ry</w:t>
      </w:r>
      <w:r w:rsidRPr="00D71BD2">
        <w:rPr>
          <w:rFonts w:ascii="Times" w:hAnsi="Times"/>
        </w:rPr>
        <w:t xml:space="preserve"> Figure 3</w:t>
      </w:r>
      <w:r w:rsidR="00A839AC" w:rsidRPr="00D71BD2">
        <w:rPr>
          <w:rFonts w:ascii="Times" w:hAnsi="Times"/>
        </w:rPr>
        <w:t xml:space="preserve">: </w:t>
      </w:r>
      <w:r w:rsidR="009C032B" w:rsidRPr="00D71BD2">
        <w:rPr>
          <w:rFonts w:ascii="Times" w:hAnsi="Times"/>
        </w:rPr>
        <w:t>Difficulties in identifying adult centre for transfer of care</w:t>
      </w:r>
    </w:p>
    <w:p w14:paraId="161874EA" w14:textId="1E5E5CA6" w:rsidR="00456889" w:rsidRDefault="00456889">
      <w:r>
        <w:rPr>
          <w:noProof/>
        </w:rPr>
        <w:drawing>
          <wp:inline distT="0" distB="0" distL="0" distR="0" wp14:anchorId="25150CAC" wp14:editId="7A3DD044">
            <wp:extent cx="5731510" cy="3213100"/>
            <wp:effectExtent l="0" t="0" r="8890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8232FC9-AE30-DA47-9891-632DA1140E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BB31508" w14:textId="203AC414" w:rsidR="00C70ADF" w:rsidRDefault="00C70ADF"/>
    <w:p w14:paraId="0980E399" w14:textId="4C454FCF" w:rsidR="00C70ADF" w:rsidRDefault="009C032B">
      <w:r>
        <w:br w:type="page"/>
      </w:r>
      <w:r w:rsidR="004243CD">
        <w:lastRenderedPageBreak/>
        <w:t xml:space="preserve">Supplementary Figure </w:t>
      </w:r>
      <w:r w:rsidR="008A2B08">
        <w:t>4</w:t>
      </w:r>
      <w:r w:rsidR="004243CD">
        <w:t xml:space="preserve">: </w:t>
      </w:r>
      <w:r w:rsidR="001B40B6">
        <w:t>(a)</w:t>
      </w:r>
      <w:r w:rsidR="00446939" w:rsidRPr="008550AA">
        <w:t xml:space="preserve">Number of paediatric patients treated </w:t>
      </w:r>
      <w:r w:rsidR="003F1682">
        <w:t xml:space="preserve">at centres </w:t>
      </w:r>
      <w:r w:rsidR="004908A1">
        <w:t>transferring more or less than 10 patients per year</w:t>
      </w:r>
      <w:r w:rsidR="00954BE0">
        <w:t xml:space="preserve"> (</w:t>
      </w:r>
      <w:r w:rsidR="001B40B6">
        <w:t>b</w:t>
      </w:r>
      <w:r w:rsidR="00954BE0">
        <w:t>) and n</w:t>
      </w:r>
      <w:r w:rsidR="00954BE0" w:rsidRPr="008550AA">
        <w:t xml:space="preserve">umber of patients aged twelve to eighteen treated </w:t>
      </w:r>
      <w:r w:rsidR="00954BE0">
        <w:t>at centres transferring more or less than 10 patients per year</w:t>
      </w:r>
      <w:r w:rsidR="00954BE0" w:rsidRPr="008550AA">
        <w:t>.</w:t>
      </w:r>
    </w:p>
    <w:p w14:paraId="099255FC" w14:textId="25EC171B" w:rsidR="00C70ADF" w:rsidRDefault="00C70ADF">
      <w:r w:rsidRPr="008550AA">
        <w:rPr>
          <w:noProof/>
          <w:lang w:eastAsia="en-GB"/>
        </w:rPr>
        <w:drawing>
          <wp:inline distT="0" distB="0" distL="0" distR="0" wp14:anchorId="71B58FB8" wp14:editId="42E11F9E">
            <wp:extent cx="5396753" cy="3065929"/>
            <wp:effectExtent l="0" t="0" r="13970" b="2032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D3F2D77" w14:textId="2BC01316" w:rsidR="00A77517" w:rsidRDefault="00A77517"/>
    <w:p w14:paraId="00F17513" w14:textId="4A250FB3" w:rsidR="003420DB" w:rsidRDefault="003420DB">
      <w:r w:rsidRPr="008550AA">
        <w:rPr>
          <w:noProof/>
          <w:lang w:eastAsia="en-GB"/>
        </w:rPr>
        <w:drawing>
          <wp:inline distT="0" distB="0" distL="0" distR="0" wp14:anchorId="0AD82FE8" wp14:editId="30AD3BB1">
            <wp:extent cx="4572000" cy="2743200"/>
            <wp:effectExtent l="0" t="0" r="19050" b="1905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342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39"/>
    <w:rsid w:val="000174F8"/>
    <w:rsid w:val="000467D5"/>
    <w:rsid w:val="001475A7"/>
    <w:rsid w:val="001B40B6"/>
    <w:rsid w:val="001C5B43"/>
    <w:rsid w:val="00295739"/>
    <w:rsid w:val="002E5CB6"/>
    <w:rsid w:val="003420DB"/>
    <w:rsid w:val="003677E8"/>
    <w:rsid w:val="003F1682"/>
    <w:rsid w:val="004243CD"/>
    <w:rsid w:val="00446939"/>
    <w:rsid w:val="00456889"/>
    <w:rsid w:val="004836DC"/>
    <w:rsid w:val="004908A1"/>
    <w:rsid w:val="004B0B47"/>
    <w:rsid w:val="004B5CA3"/>
    <w:rsid w:val="005376F3"/>
    <w:rsid w:val="005537A0"/>
    <w:rsid w:val="00621511"/>
    <w:rsid w:val="006315EA"/>
    <w:rsid w:val="006C263E"/>
    <w:rsid w:val="00716451"/>
    <w:rsid w:val="00894A8A"/>
    <w:rsid w:val="008A2B08"/>
    <w:rsid w:val="008C7898"/>
    <w:rsid w:val="00954BE0"/>
    <w:rsid w:val="009C032B"/>
    <w:rsid w:val="00A77517"/>
    <w:rsid w:val="00A839AC"/>
    <w:rsid w:val="00AF659D"/>
    <w:rsid w:val="00C70ADF"/>
    <w:rsid w:val="00CA6238"/>
    <w:rsid w:val="00D71BD2"/>
    <w:rsid w:val="00DE6EEE"/>
    <w:rsid w:val="00E944B9"/>
    <w:rsid w:val="00EB134E"/>
    <w:rsid w:val="00EC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EAB1D"/>
  <w15:docId w15:val="{8FBD15AE-A376-40E2-B6FB-7FC41A5C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5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4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3CD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table" w:styleId="TableGrid">
    <w:name w:val="Table Grid"/>
    <w:basedOn w:val="TableNormal"/>
    <w:uiPriority w:val="59"/>
    <w:unhideWhenUsed/>
    <w:rsid w:val="004243CD"/>
    <w:pPr>
      <w:spacing w:after="0" w:line="240" w:lineRule="auto"/>
    </w:pPr>
    <w:rPr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243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7D5"/>
    <w:pPr>
      <w:spacing w:after="16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7D5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chart" Target="charts/chart4.xml"/><Relationship Id="rId5" Type="http://schemas.openxmlformats.org/officeDocument/2006/relationships/image" Target="media/image1.png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nhs-my.sharepoint.com/personal/muskan_israni_nhs_net/Documents/AID%20Figur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nhs-my.sharepoint.com/personal/muskan_israni_nhs_net/Documents/AID%20Figu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83772634121448"/>
          <c:y val="5.0925925925925923E-2"/>
          <c:w val="0.3526164336346318"/>
          <c:h val="0.738425925925925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Sheet1!$B$58</c:f>
              <c:strCache>
                <c:ptCount val="1"/>
                <c:pt idx="0">
                  <c:v>PID (N=44)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2621875353466803E-3"/>
                  <c:y val="9.25925925925925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81-D241-9D98-F4357AE971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Sheet1!$A$59:$A$64</c:f>
              <c:strCache>
                <c:ptCount val="6"/>
                <c:pt idx="0">
                  <c:v>Not applicable</c:v>
                </c:pt>
                <c:pt idx="1">
                  <c:v>Unknown</c:v>
                </c:pt>
                <c:pt idx="2">
                  <c:v>Variable for each patient</c:v>
                </c:pt>
                <c:pt idx="3">
                  <c:v>Nearer to the patients' homes</c:v>
                </c:pt>
                <c:pt idx="4">
                  <c:v>Further from the patients' homes</c:v>
                </c:pt>
                <c:pt idx="5">
                  <c:v>Similar distance from the patients' homes</c:v>
                </c:pt>
              </c:strCache>
            </c:strRef>
          </c:cat>
          <c:val>
            <c:numRef>
              <c:f>Sheet1!$B$59:$B$64</c:f>
              <c:numCache>
                <c:formatCode>General</c:formatCode>
                <c:ptCount val="6"/>
                <c:pt idx="0">
                  <c:v>1</c:v>
                </c:pt>
                <c:pt idx="1">
                  <c:v>0</c:v>
                </c:pt>
                <c:pt idx="2">
                  <c:v>9</c:v>
                </c:pt>
                <c:pt idx="3">
                  <c:v>1</c:v>
                </c:pt>
                <c:pt idx="4">
                  <c:v>0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81-D241-9D98-F4357AE9715C}"/>
            </c:ext>
          </c:extLst>
        </c:ser>
        <c:ser>
          <c:idx val="1"/>
          <c:order val="1"/>
          <c:tx>
            <c:strRef>
              <c:f>Sheet1!$C$58</c:f>
              <c:strCache>
                <c:ptCount val="1"/>
                <c:pt idx="0">
                  <c:v>AID (N=31)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>
              <a:solidFill>
                <a:schemeClr val="accent3">
                  <a:lumMod val="40000"/>
                  <a:lumOff val="60000"/>
                </a:schemeClr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-6.7865626060400405E-3"/>
                  <c:y val="-9.25925925925925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81-D241-9D98-F4357AE971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Sheet1!$A$59:$A$64</c:f>
              <c:strCache>
                <c:ptCount val="6"/>
                <c:pt idx="0">
                  <c:v>Not applicable</c:v>
                </c:pt>
                <c:pt idx="1">
                  <c:v>Unknown</c:v>
                </c:pt>
                <c:pt idx="2">
                  <c:v>Variable for each patient</c:v>
                </c:pt>
                <c:pt idx="3">
                  <c:v>Nearer to the patients' homes</c:v>
                </c:pt>
                <c:pt idx="4">
                  <c:v>Further from the patients' homes</c:v>
                </c:pt>
                <c:pt idx="5">
                  <c:v>Similar distance from the patients' homes</c:v>
                </c:pt>
              </c:strCache>
            </c:strRef>
          </c:cat>
          <c:val>
            <c:numRef>
              <c:f>Sheet1!$C$59:$C$64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</c:v>
                </c:pt>
                <c:pt idx="4">
                  <c:v>1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81-D241-9D98-F4357AE97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3670672"/>
        <c:axId val="1753800704"/>
      </c:barChart>
      <c:catAx>
        <c:axId val="18636706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r>
                  <a:rPr lang="en-GB" b="1"/>
                  <a:t>Distance from patients' homes</a:t>
                </a:r>
              </a:p>
            </c:rich>
          </c:tx>
          <c:layout>
            <c:manualLayout>
              <c:xMode val="edge"/>
              <c:yMode val="edge"/>
              <c:x val="1.583531274742676E-2"/>
              <c:y val="7.40740740740740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" pitchFamily="2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1753800704"/>
        <c:crosses val="autoZero"/>
        <c:auto val="1"/>
        <c:lblAlgn val="ctr"/>
        <c:lblOffset val="100"/>
        <c:noMultiLvlLbl val="0"/>
      </c:catAx>
      <c:valAx>
        <c:axId val="17538007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r>
                  <a:rPr lang="en-GB" b="1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" pitchFamily="2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75000"/>
                <a:lumOff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186367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778025965281653"/>
          <c:y val="0.3338888888888889"/>
          <c:w val="0.16864661513510337"/>
          <c:h val="0.267407407407407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" pitchFamily="2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" pitchFamily="2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684008228198153"/>
          <c:y val="5.0925925925925923E-2"/>
          <c:w val="0.28877398800665094"/>
          <c:h val="0.738425925925925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Sheet1!$B$50</c:f>
              <c:strCache>
                <c:ptCount val="1"/>
                <c:pt idx="0">
                  <c:v>PID (N=23)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Sheet1!$A$51:$A$56</c:f>
              <c:strCache>
                <c:ptCount val="6"/>
                <c:pt idx="0">
                  <c:v>Unknown</c:v>
                </c:pt>
                <c:pt idx="1">
                  <c:v>Not applicable </c:v>
                </c:pt>
                <c:pt idx="2">
                  <c:v>Lack of funding for follow-up of adult patient</c:v>
                </c:pt>
                <c:pt idx="3">
                  <c:v>Lack of engagement from existing specialist adult services</c:v>
                </c:pt>
                <c:pt idx="4">
                  <c:v>Distance for the patient to travel to a specialist centre</c:v>
                </c:pt>
                <c:pt idx="5">
                  <c:v>Lack of specialist adult PID/AID centres</c:v>
                </c:pt>
              </c:strCache>
            </c:strRef>
          </c:cat>
          <c:val>
            <c:numRef>
              <c:f>Sheet1!$B$51:$B$56</c:f>
              <c:numCache>
                <c:formatCode>General</c:formatCode>
                <c:ptCount val="6"/>
                <c:pt idx="0">
                  <c:v>0</c:v>
                </c:pt>
                <c:pt idx="1">
                  <c:v>13</c:v>
                </c:pt>
                <c:pt idx="2">
                  <c:v>2</c:v>
                </c:pt>
                <c:pt idx="3">
                  <c:v>4</c:v>
                </c:pt>
                <c:pt idx="4">
                  <c:v>1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49-CD48-9E81-1D72C731FE93}"/>
            </c:ext>
          </c:extLst>
        </c:ser>
        <c:ser>
          <c:idx val="1"/>
          <c:order val="1"/>
          <c:tx>
            <c:strRef>
              <c:f>Sheet1!$C$50</c:f>
              <c:strCache>
                <c:ptCount val="1"/>
                <c:pt idx="0">
                  <c:v>AID (N=11)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749-CD48-9E81-1D72C731FE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Sheet1!$A$51:$A$56</c:f>
              <c:strCache>
                <c:ptCount val="6"/>
                <c:pt idx="0">
                  <c:v>Unknown</c:v>
                </c:pt>
                <c:pt idx="1">
                  <c:v>Not applicable </c:v>
                </c:pt>
                <c:pt idx="2">
                  <c:v>Lack of funding for follow-up of adult patient</c:v>
                </c:pt>
                <c:pt idx="3">
                  <c:v>Lack of engagement from existing specialist adult services</c:v>
                </c:pt>
                <c:pt idx="4">
                  <c:v>Distance for the patient to travel to a specialist centre</c:v>
                </c:pt>
                <c:pt idx="5">
                  <c:v>Lack of specialist adult PID/AID centres</c:v>
                </c:pt>
              </c:strCache>
            </c:strRef>
          </c:cat>
          <c:val>
            <c:numRef>
              <c:f>Sheet1!$C$51:$C$56</c:f>
              <c:numCache>
                <c:formatCode>General</c:formatCode>
                <c:ptCount val="6"/>
                <c:pt idx="0">
                  <c:v>0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49-CD48-9E81-1D72C731FE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3328224"/>
        <c:axId val="1857306928"/>
      </c:barChart>
      <c:catAx>
        <c:axId val="17533282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r>
                  <a:rPr lang="en-GB" sz="1050" b="1"/>
                  <a:t>Difficulty reported</a:t>
                </a:r>
              </a:p>
            </c:rich>
          </c:tx>
          <c:layout>
            <c:manualLayout>
              <c:xMode val="edge"/>
              <c:yMode val="edge"/>
              <c:x val="1.4423424193624367E-2"/>
              <c:y val="0.245711929289471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" pitchFamily="2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1857306928"/>
        <c:crosses val="autoZero"/>
        <c:auto val="1"/>
        <c:lblAlgn val="ctr"/>
        <c:lblOffset val="100"/>
        <c:noMultiLvlLbl val="0"/>
      </c:catAx>
      <c:valAx>
        <c:axId val="1857306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r>
                  <a:rPr lang="en-GB" sz="1050" b="1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" pitchFamily="2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alpha val="63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1753328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5564903489656308"/>
          <c:y val="0.33817092527465681"/>
          <c:w val="0.12768432751578557"/>
          <c:h val="0.24899878621891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" pitchFamily="2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imes" pitchFamily="2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86985179484145"/>
          <c:y val="7.5076282131400246E-2"/>
          <c:w val="0.6625645152020232"/>
          <c:h val="0.62527850685330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Sheet1!$F$2</c:f>
              <c:strCache>
                <c:ptCount val="1"/>
                <c:pt idx="0">
                  <c:v>&lt;10 (N=60)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1111111111111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C74-4B05-A0F6-211624AF912A}"/>
                </c:ext>
              </c:extLst>
            </c:dLbl>
            <c:dLbl>
              <c:idx val="2"/>
              <c:layout>
                <c:manualLayout>
                  <c:x val="-2.7777996500437444E-2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74-4B05-A0F6-211624AF912A}"/>
                </c:ext>
              </c:extLst>
            </c:dLbl>
            <c:dLbl>
              <c:idx val="3"/>
              <c:layout>
                <c:manualLayout>
                  <c:x val="-2.0006512343851757E-2"/>
                  <c:y val="9.3391659375911349E-3"/>
                </c:manualLayout>
              </c:layout>
              <c:tx>
                <c:rich>
                  <a:bodyPr/>
                  <a:lstStyle/>
                  <a:p>
                    <a:r>
                      <a:rPr lang="en-US" sz="1050"/>
                      <a:t>16.67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C74-4B05-A0F6-211624AF912A}"/>
                </c:ext>
              </c:extLst>
            </c:dLbl>
            <c:dLbl>
              <c:idx val="4"/>
              <c:layout>
                <c:manualLayout>
                  <c:x val="-2.15488215488215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74-4B05-A0F6-211624AF912A}"/>
                </c:ext>
              </c:extLst>
            </c:dLbl>
            <c:dLbl>
              <c:idx val="5"/>
              <c:layout>
                <c:manualLayout>
                  <c:x val="-1.94444444444444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C74-4B05-A0F6-211624AF91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Sheet1!$E$3:$E$8</c:f>
              <c:strCache>
                <c:ptCount val="6"/>
                <c:pt idx="0">
                  <c:v>&lt;50</c:v>
                </c:pt>
                <c:pt idx="1">
                  <c:v>50-100</c:v>
                </c:pt>
                <c:pt idx="2">
                  <c:v>100-200</c:v>
                </c:pt>
                <c:pt idx="3">
                  <c:v>200-500</c:v>
                </c:pt>
                <c:pt idx="4">
                  <c:v>&gt;500</c:v>
                </c:pt>
                <c:pt idx="5">
                  <c:v>Unknown</c:v>
                </c:pt>
              </c:strCache>
            </c:strRef>
          </c:cat>
          <c:val>
            <c:numRef>
              <c:f>Sheet1!$F$3:$F$8</c:f>
              <c:numCache>
                <c:formatCode>0.00%</c:formatCode>
                <c:ptCount val="6"/>
                <c:pt idx="0">
                  <c:v>0.33329999999999999</c:v>
                </c:pt>
                <c:pt idx="1">
                  <c:v>0.26669999999999999</c:v>
                </c:pt>
                <c:pt idx="2">
                  <c:v>0.18329999999999999</c:v>
                </c:pt>
                <c:pt idx="3">
                  <c:v>0.16669999999999999</c:v>
                </c:pt>
                <c:pt idx="4">
                  <c:v>3.3300000000000003E-2</c:v>
                </c:pt>
                <c:pt idx="5">
                  <c:v>1.67E-2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C74-4B05-A0F6-211624AF912A}"/>
            </c:ext>
          </c:extLst>
        </c:ser>
        <c:ser>
          <c:idx val="1"/>
          <c:order val="1"/>
          <c:tx>
            <c:strRef>
              <c:f>Sheet1!$G$2</c:f>
              <c:strCache>
                <c:ptCount val="1"/>
                <c:pt idx="0">
                  <c:v>&gt;10 (N=12)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666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C74-4B05-A0F6-211624AF912A}"/>
                </c:ext>
              </c:extLst>
            </c:dLbl>
            <c:dLbl>
              <c:idx val="1"/>
              <c:layout>
                <c:manualLayout>
                  <c:x val="2.5000000000000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C74-4B05-A0F6-211624AF912A}"/>
                </c:ext>
              </c:extLst>
            </c:dLbl>
            <c:dLbl>
              <c:idx val="5"/>
              <c:layout>
                <c:manualLayout>
                  <c:x val="8.0808080808080808E-3"/>
                  <c:y val="8.64397475823244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74-4B05-A0F6-211624AF91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Sheet1!$E$3:$E$8</c:f>
              <c:strCache>
                <c:ptCount val="6"/>
                <c:pt idx="0">
                  <c:v>&lt;50</c:v>
                </c:pt>
                <c:pt idx="1">
                  <c:v>50-100</c:v>
                </c:pt>
                <c:pt idx="2">
                  <c:v>100-200</c:v>
                </c:pt>
                <c:pt idx="3">
                  <c:v>200-500</c:v>
                </c:pt>
                <c:pt idx="4">
                  <c:v>&gt;500</c:v>
                </c:pt>
                <c:pt idx="5">
                  <c:v>Unknown</c:v>
                </c:pt>
              </c:strCache>
            </c:strRef>
          </c:cat>
          <c:val>
            <c:numRef>
              <c:f>Sheet1!$G$3:$G$8</c:f>
              <c:numCache>
                <c:formatCode>0.00%</c:formatCode>
                <c:ptCount val="6"/>
                <c:pt idx="0" formatCode="0%">
                  <c:v>0</c:v>
                </c:pt>
                <c:pt idx="1">
                  <c:v>8.3299999999999999E-2</c:v>
                </c:pt>
                <c:pt idx="2">
                  <c:v>0.33329999999999999</c:v>
                </c:pt>
                <c:pt idx="3">
                  <c:v>0.41670000000000001</c:v>
                </c:pt>
                <c:pt idx="4">
                  <c:v>0.16669999999999999</c:v>
                </c:pt>
                <c:pt idx="5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C74-4B05-A0F6-211624AF9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970944"/>
        <c:axId val="109972864"/>
      </c:barChart>
      <c:catAx>
        <c:axId val="1099709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Number of paediatric patients</a:t>
                </a:r>
              </a:p>
            </c:rich>
          </c:tx>
          <c:layout>
            <c:manualLayout>
              <c:xMode val="edge"/>
              <c:yMode val="edge"/>
              <c:x val="0.29201224846894136"/>
              <c:y val="0.89907407407407403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09972864"/>
        <c:crosses val="autoZero"/>
        <c:auto val="1"/>
        <c:lblAlgn val="ctr"/>
        <c:lblOffset val="100"/>
        <c:noMultiLvlLbl val="0"/>
      </c:catAx>
      <c:valAx>
        <c:axId val="10997286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Percentage of services </a:t>
                </a:r>
              </a:p>
            </c:rich>
          </c:tx>
          <c:layout>
            <c:manualLayout>
              <c:xMode val="edge"/>
              <c:yMode val="edge"/>
              <c:x val="1.3888855998263375E-2"/>
              <c:y val="0.17959388409782109"/>
            </c:manualLayout>
          </c:layout>
          <c:overlay val="0"/>
        </c:title>
        <c:numFmt formatCode="0%" sourceLinked="0"/>
        <c:majorTickMark val="out"/>
        <c:minorTickMark val="none"/>
        <c:tickLblPos val="nextTo"/>
        <c:crossAx val="10997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059332911853177"/>
          <c:y val="0.25519076782068906"/>
          <c:w val="0.18654483814523182"/>
          <c:h val="0.2746026538349373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Sheet1!$F$11</c:f>
              <c:strCache>
                <c:ptCount val="1"/>
                <c:pt idx="0">
                  <c:v>&lt;10 (N=60)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3.333333333333333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D1-4673-9975-F7A7795F635A}"/>
                </c:ext>
              </c:extLst>
            </c:dLbl>
            <c:dLbl>
              <c:idx val="2"/>
              <c:layout>
                <c:manualLayout>
                  <c:x val="-2.7777777777777776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D1-4673-9975-F7A7795F635A}"/>
                </c:ext>
              </c:extLst>
            </c:dLbl>
            <c:dLbl>
              <c:idx val="3"/>
              <c:layout>
                <c:manualLayout>
                  <c:x val="-2.5000000000000001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D1-4673-9975-F7A7795F635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D1-4673-9975-F7A7795F635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Sheet1!$E$12:$E$15</c:f>
              <c:strCache>
                <c:ptCount val="4"/>
                <c:pt idx="0">
                  <c:v>&lt;50</c:v>
                </c:pt>
                <c:pt idx="1">
                  <c:v>50-100</c:v>
                </c:pt>
                <c:pt idx="2">
                  <c:v>100-200</c:v>
                </c:pt>
                <c:pt idx="3">
                  <c:v>&gt;200</c:v>
                </c:pt>
              </c:strCache>
            </c:strRef>
          </c:cat>
          <c:val>
            <c:numRef>
              <c:f>Sheet1!$F$12:$F$15</c:f>
              <c:numCache>
                <c:formatCode>0.00%</c:formatCode>
                <c:ptCount val="4"/>
                <c:pt idx="0" formatCode="0%">
                  <c:v>0.7</c:v>
                </c:pt>
                <c:pt idx="1">
                  <c:v>0.26669999999999999</c:v>
                </c:pt>
                <c:pt idx="2">
                  <c:v>1.67E-2</c:v>
                </c:pt>
                <c:pt idx="3">
                  <c:v>1.67E-2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D1-4673-9975-F7A7795F635A}"/>
            </c:ext>
          </c:extLst>
        </c:ser>
        <c:ser>
          <c:idx val="1"/>
          <c:order val="1"/>
          <c:tx>
            <c:strRef>
              <c:f>Sheet1!$G$11</c:f>
              <c:strCache>
                <c:ptCount val="1"/>
                <c:pt idx="0">
                  <c:v>&gt;10 (N=12)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77777777777777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D1-4673-9975-F7A7795F635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D1-4673-9975-F7A7795F635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Sheet1!$E$12:$E$15</c:f>
              <c:strCache>
                <c:ptCount val="4"/>
                <c:pt idx="0">
                  <c:v>&lt;50</c:v>
                </c:pt>
                <c:pt idx="1">
                  <c:v>50-100</c:v>
                </c:pt>
                <c:pt idx="2">
                  <c:v>100-200</c:v>
                </c:pt>
                <c:pt idx="3">
                  <c:v>&gt;200</c:v>
                </c:pt>
              </c:strCache>
            </c:strRef>
          </c:cat>
          <c:val>
            <c:numRef>
              <c:f>Sheet1!$G$12:$G$15</c:f>
              <c:numCache>
                <c:formatCode>0%</c:formatCode>
                <c:ptCount val="4"/>
                <c:pt idx="0" formatCode="0.00%">
                  <c:v>8.3299999999999999E-2</c:v>
                </c:pt>
                <c:pt idx="1">
                  <c:v>0.5</c:v>
                </c:pt>
                <c:pt idx="2" formatCode="0.00%">
                  <c:v>0.16669999999999999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8D1-4673-9975-F7A7795F63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043520"/>
        <c:axId val="110045440"/>
      </c:barChart>
      <c:catAx>
        <c:axId val="1100435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Number of patients aged 12-18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110045440"/>
        <c:crosses val="autoZero"/>
        <c:auto val="1"/>
        <c:lblAlgn val="ctr"/>
        <c:lblOffset val="100"/>
        <c:noMultiLvlLbl val="0"/>
      </c:catAx>
      <c:valAx>
        <c:axId val="1100454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Percentage of services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1312266695829688"/>
            </c:manualLayout>
          </c:layout>
          <c:overlay val="0"/>
        </c:title>
        <c:numFmt formatCode="0%" sourceLinked="1"/>
        <c:majorTickMark val="out"/>
        <c:minorTickMark val="none"/>
        <c:tickLblPos val="nextTo"/>
        <c:crossAx val="110043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DF4BC-BACA-44FD-A85E-1731E1FA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Free London NHS Foundation Trust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and Siobhan Burns</dc:creator>
  <cp:lastModifiedBy>ISRANI, Muskan (ROYAL FREE LONDON NHS FOUNDATION TRUST)</cp:lastModifiedBy>
  <cp:revision>2</cp:revision>
  <dcterms:created xsi:type="dcterms:W3CDTF">2022-07-30T15:04:00Z</dcterms:created>
  <dcterms:modified xsi:type="dcterms:W3CDTF">2022-07-30T15:04:00Z</dcterms:modified>
</cp:coreProperties>
</file>