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6EDC" w14:textId="0EC48CF3" w:rsidR="009D63C3" w:rsidRDefault="009D63C3" w:rsidP="009D63C3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484AA2">
        <w:rPr>
          <w:rFonts w:asciiTheme="minorHAnsi" w:hAnsiTheme="minorHAnsi" w:cstheme="minorHAnsi"/>
          <w:b/>
          <w:color w:val="000000" w:themeColor="text1"/>
        </w:rPr>
        <w:t>Supplementary materials</w:t>
      </w:r>
      <w:r>
        <w:rPr>
          <w:rFonts w:asciiTheme="minorHAnsi" w:hAnsiTheme="minorHAnsi" w:cstheme="minorHAnsi"/>
          <w:b/>
          <w:color w:val="000000" w:themeColor="text1"/>
        </w:rPr>
        <w:t xml:space="preserve"> for manuscript: </w:t>
      </w:r>
    </w:p>
    <w:p w14:paraId="256007D7" w14:textId="70199A78" w:rsidR="009D63C3" w:rsidRPr="00484AA2" w:rsidRDefault="009D63C3" w:rsidP="009D63C3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484AA2">
        <w:rPr>
          <w:rFonts w:asciiTheme="minorHAnsi" w:hAnsiTheme="minorHAnsi" w:cstheme="minorHAnsi"/>
          <w:color w:val="000000" w:themeColor="text1"/>
        </w:rPr>
        <w:t xml:space="preserve">Safety of COVID-19 vaccines and adverse events in IEI patients: an Italian multicentric </w:t>
      </w:r>
      <w:r>
        <w:rPr>
          <w:rFonts w:asciiTheme="minorHAnsi" w:hAnsiTheme="minorHAnsi" w:cstheme="minorHAnsi"/>
          <w:color w:val="000000" w:themeColor="text1"/>
        </w:rPr>
        <w:t>study</w:t>
      </w:r>
    </w:p>
    <w:p w14:paraId="3328DC98" w14:textId="77777777" w:rsidR="009D63C3" w:rsidRPr="00484AA2" w:rsidRDefault="009D63C3" w:rsidP="009D63C3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1A3718F" w14:textId="77777777" w:rsidR="009D63C3" w:rsidRPr="00484AA2" w:rsidRDefault="009D63C3" w:rsidP="009D63C3">
      <w:pPr>
        <w:jc w:val="both"/>
        <w:rPr>
          <w:rFonts w:asciiTheme="minorHAnsi" w:hAnsiTheme="minorHAnsi" w:cstheme="minorHAnsi"/>
          <w:color w:val="000000" w:themeColor="text1"/>
        </w:rPr>
      </w:pPr>
      <w:r w:rsidRPr="00484AA2">
        <w:rPr>
          <w:rFonts w:asciiTheme="minorHAnsi" w:hAnsiTheme="minorHAnsi" w:cstheme="minorHAnsi"/>
          <w:color w:val="000000" w:themeColor="text1"/>
        </w:rPr>
        <w:t xml:space="preserve">First vaccination cycle reported AE: </w:t>
      </w:r>
    </w:p>
    <w:p w14:paraId="36485996" w14:textId="77777777" w:rsidR="009D63C3" w:rsidRPr="00484AA2" w:rsidRDefault="009D63C3" w:rsidP="009D63C3">
      <w:pPr>
        <w:jc w:val="both"/>
        <w:rPr>
          <w:rFonts w:asciiTheme="minorHAnsi" w:hAnsiTheme="minorHAnsi" w:cstheme="minorHAnsi"/>
          <w:color w:val="000000" w:themeColor="text1"/>
        </w:rPr>
      </w:pPr>
      <w:r w:rsidRPr="00484AA2">
        <w:rPr>
          <w:rFonts w:asciiTheme="minorHAnsi" w:hAnsiTheme="minorHAnsi" w:cstheme="minorHAnsi"/>
          <w:color w:val="000000" w:themeColor="text1"/>
        </w:rPr>
        <w:t xml:space="preserve">We observed that the most frequent common symptom was pain at the site of inoculation (79.8% [50,9% mild, 25.1% moderate, 3.8% severe]), followed by fatigue (36.9% [19.3% mild, 15.8% moderate, 1.8% severe]), muscle aches (25,1% [17.5% mild, 6.1% moderate, 1.5% severe]), headache (22% [12.3% mild, 7.9% moderate, 1.8% severe]), joint pain (19.3% [10.8% mild, 7.3% moderate, 1.2% severe]), fever (17.25%) and chills (15.2% [8.5% mild, 5.8% moderate, 0.9% severe]). Other symptoms were reported in &lt;10% of cases and were likely never severe. </w:t>
      </w:r>
    </w:p>
    <w:p w14:paraId="2188BA7B" w14:textId="77777777" w:rsidR="009D63C3" w:rsidRPr="00484AA2" w:rsidRDefault="009D63C3" w:rsidP="009D63C3">
      <w:pPr>
        <w:jc w:val="both"/>
        <w:rPr>
          <w:rFonts w:asciiTheme="minorHAnsi" w:hAnsiTheme="minorHAnsi" w:cstheme="minorHAnsi"/>
          <w:color w:val="000000" w:themeColor="text1"/>
        </w:rPr>
      </w:pPr>
      <w:r w:rsidRPr="00484AA2">
        <w:rPr>
          <w:rFonts w:asciiTheme="minorHAnsi" w:hAnsiTheme="minorHAnsi" w:cstheme="minorHAnsi"/>
          <w:color w:val="000000" w:themeColor="text1"/>
        </w:rPr>
        <w:t xml:space="preserve">AE reported after booster dose: </w:t>
      </w:r>
    </w:p>
    <w:p w14:paraId="1566C087" w14:textId="77777777" w:rsidR="009D63C3" w:rsidRPr="00484AA2" w:rsidRDefault="009D63C3" w:rsidP="009D63C3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484AA2">
        <w:rPr>
          <w:rFonts w:asciiTheme="minorHAnsi" w:hAnsiTheme="minorHAnsi" w:cstheme="minorHAnsi"/>
          <w:color w:val="000000" w:themeColor="text1"/>
        </w:rPr>
        <w:t>Injection site pain was reported in 61.3% of cases (52.1% mild, 9.2% moderate), fatigue in 32.2% (21.5% mild, 9.2% moderate, severe 1.5%), muscle aches in 18% (10.3% mild, 6.9% moderate, 0.8% severe), headache in 15.8% (10% mild, 5.4% moderate, 0.4% severe), fever in 17.2%, joint pain in 19.2% (12.3% mild, 6.1% moderate, 0.8% severe), chills in 11.1% (8.4% mild, 2.3% moderate). Other symptoms were reported in &lt;5% of cases and were almost totally mild.</w:t>
      </w:r>
    </w:p>
    <w:p w14:paraId="41738606" w14:textId="77777777" w:rsidR="009D63C3" w:rsidRPr="00484AA2" w:rsidRDefault="009D63C3" w:rsidP="009D63C3">
      <w:pPr>
        <w:spacing w:before="280" w:after="280" w:line="360" w:lineRule="auto"/>
        <w:rPr>
          <w:rFonts w:asciiTheme="minorHAnsi" w:hAnsiTheme="minorHAnsi" w:cstheme="minorHAnsi"/>
          <w:color w:val="000000" w:themeColor="text1"/>
          <w:highlight w:val="white"/>
        </w:rPr>
      </w:pPr>
      <w:r w:rsidRPr="00484AA2">
        <w:rPr>
          <w:rFonts w:asciiTheme="minorHAnsi" w:hAnsiTheme="minorHAnsi" w:cstheme="minorHAnsi"/>
          <w:color w:val="000000" w:themeColor="text1"/>
          <w:highlight w:val="white"/>
        </w:rPr>
        <w:t xml:space="preserve">AE reported after second booster (fourth) dose: </w:t>
      </w:r>
    </w:p>
    <w:p w14:paraId="07E979DC" w14:textId="77777777" w:rsidR="009D63C3" w:rsidRPr="00484AA2" w:rsidRDefault="009D63C3" w:rsidP="009D63C3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484AA2">
        <w:rPr>
          <w:rFonts w:asciiTheme="minorHAnsi" w:hAnsiTheme="minorHAnsi" w:cstheme="minorHAnsi"/>
          <w:color w:val="000000" w:themeColor="text1"/>
        </w:rPr>
        <w:t xml:space="preserve">Pain was present in 41.4% of cases (34.5% mild and 6.9% moderate), fatigue in 29.3% (24.1% mild and 5.2% moderate), headache in 18.9% (17.2% mild and 1.7% moderate), mild muscle aches in 15.5%, joint pain in 15.5% (13.8% mild, 1.7% moderate), fever in 8.6%. Mild redness and swelling at the injection site have been reported by 12% and 13.8% of patients, respectively. Other symptoms were reported in &lt;5% of cases and were totally mild. In 58.6% of cases the patients reported no symptoms. Any uncommon AE has been reported. </w:t>
      </w:r>
    </w:p>
    <w:p w14:paraId="40390D5D" w14:textId="77777777" w:rsidR="00D53600" w:rsidRDefault="00D53600"/>
    <w:sectPr w:rsidR="00D536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E2"/>
    <w:rsid w:val="009D63C3"/>
    <w:rsid w:val="00C12CE2"/>
    <w:rsid w:val="00D5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78AB"/>
  <w15:chartTrackingRefBased/>
  <w15:docId w15:val="{7DE4E7C3-C1EB-495F-BAC5-00172B3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3C3"/>
    <w:pPr>
      <w:spacing w:after="200" w:line="276" w:lineRule="auto"/>
    </w:pPr>
    <w:rPr>
      <w:rFonts w:ascii="Calibri" w:eastAsia="Calibri" w:hAnsi="Calibri" w:cs="Calibri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Firinu</dc:creator>
  <cp:keywords/>
  <dc:description/>
  <cp:lastModifiedBy>Davide Firinu</cp:lastModifiedBy>
  <cp:revision>2</cp:revision>
  <dcterms:created xsi:type="dcterms:W3CDTF">2022-08-21T20:25:00Z</dcterms:created>
  <dcterms:modified xsi:type="dcterms:W3CDTF">2022-08-21T20:26:00Z</dcterms:modified>
</cp:coreProperties>
</file>