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10506" w14:textId="77777777" w:rsidR="002C662B" w:rsidRPr="002C662B" w:rsidRDefault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Supplementary Materials</w:t>
      </w:r>
    </w:p>
    <w:p w14:paraId="176A9C8F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Supplemental Figure 1:</w:t>
      </w:r>
    </w:p>
    <w:p w14:paraId="7004EA92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 xml:space="preserve">a) Time of hospitalization, requirement of intensive care and duration of peritoneal dialysis during the five flares of </w:t>
      </w:r>
      <w:proofErr w:type="spellStart"/>
      <w:r w:rsidRPr="002C662B">
        <w:rPr>
          <w:rFonts w:ascii="Times New Roman" w:hAnsi="Times New Roman" w:cs="Times New Roman"/>
        </w:rPr>
        <w:t>aHUS</w:t>
      </w:r>
      <w:proofErr w:type="spellEnd"/>
      <w:r w:rsidRPr="002C662B">
        <w:rPr>
          <w:rFonts w:ascii="Times New Roman" w:hAnsi="Times New Roman" w:cs="Times New Roman"/>
        </w:rPr>
        <w:t>.</w:t>
      </w:r>
    </w:p>
    <w:p w14:paraId="07A7CDF7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 xml:space="preserve">b) Laboratory parameters during the five flares of </w:t>
      </w:r>
      <w:proofErr w:type="spellStart"/>
      <w:r w:rsidRPr="002C662B">
        <w:rPr>
          <w:rFonts w:ascii="Times New Roman" w:hAnsi="Times New Roman" w:cs="Times New Roman"/>
        </w:rPr>
        <w:t>aHUS</w:t>
      </w:r>
      <w:proofErr w:type="spellEnd"/>
      <w:r w:rsidRPr="002C662B">
        <w:rPr>
          <w:rFonts w:ascii="Times New Roman" w:hAnsi="Times New Roman" w:cs="Times New Roman"/>
        </w:rPr>
        <w:t xml:space="preserve"> in family member number 6 (</w:t>
      </w:r>
      <w:proofErr w:type="spellStart"/>
      <w:r w:rsidRPr="002C662B">
        <w:rPr>
          <w:rFonts w:ascii="Times New Roman" w:hAnsi="Times New Roman" w:cs="Times New Roman"/>
        </w:rPr>
        <w:t>aHUS</w:t>
      </w:r>
      <w:proofErr w:type="spellEnd"/>
      <w:r w:rsidRPr="002C662B">
        <w:rPr>
          <w:rFonts w:ascii="Times New Roman" w:hAnsi="Times New Roman" w:cs="Times New Roman"/>
        </w:rPr>
        <w:t xml:space="preserve"> patient).</w:t>
      </w:r>
    </w:p>
    <w:p w14:paraId="4B953800" w14:textId="77777777" w:rsidR="002C662B" w:rsidRPr="002C662B" w:rsidRDefault="002C662B" w:rsidP="002C662B">
      <w:pPr>
        <w:rPr>
          <w:rFonts w:ascii="Times New Roman" w:hAnsi="Times New Roman" w:cs="Times New Roman"/>
        </w:rPr>
      </w:pPr>
    </w:p>
    <w:p w14:paraId="3692257A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Supplemental Figure 2:</w:t>
      </w:r>
    </w:p>
    <w:p w14:paraId="1FB48C1E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(Top) Clinical and laboratory manifestations of SLE in family member 5. X indicates presence of the criteria</w:t>
      </w:r>
    </w:p>
    <w:p w14:paraId="6C7029B8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 xml:space="preserve">(Middle) Serum immunoglobulins in the SLE patient. </w:t>
      </w:r>
    </w:p>
    <w:p w14:paraId="25FD7B58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(Bottom) Quantification of different anti-phospholipid autoantibodies</w:t>
      </w:r>
    </w:p>
    <w:p w14:paraId="0871B06B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 xml:space="preserve">Values in red are above the reference range. </w:t>
      </w:r>
    </w:p>
    <w:p w14:paraId="0C89BD5C" w14:textId="77777777" w:rsidR="002C662B" w:rsidRPr="002C662B" w:rsidRDefault="002C662B" w:rsidP="002C662B">
      <w:pPr>
        <w:rPr>
          <w:rFonts w:ascii="Times New Roman" w:hAnsi="Times New Roman" w:cs="Times New Roman"/>
        </w:rPr>
      </w:pPr>
    </w:p>
    <w:p w14:paraId="1B3226A6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Supplemental Figure 3:</w:t>
      </w:r>
    </w:p>
    <w:p w14:paraId="6E0178EE" w14:textId="77777777" w:rsidR="002C662B" w:rsidRPr="002C662B" w:rsidRDefault="002C662B" w:rsidP="002C662B">
      <w:pPr>
        <w:rPr>
          <w:rFonts w:ascii="Times New Roman" w:hAnsi="Times New Roman" w:cs="Times New Roman"/>
        </w:rPr>
      </w:pPr>
      <w:proofErr w:type="spellStart"/>
      <w:r w:rsidRPr="002C662B">
        <w:rPr>
          <w:rFonts w:ascii="Times New Roman" w:hAnsi="Times New Roman" w:cs="Times New Roman"/>
        </w:rPr>
        <w:t>a+b</w:t>
      </w:r>
      <w:proofErr w:type="spellEnd"/>
      <w:r w:rsidRPr="002C662B">
        <w:rPr>
          <w:rFonts w:ascii="Times New Roman" w:hAnsi="Times New Roman" w:cs="Times New Roman"/>
        </w:rPr>
        <w:t xml:space="preserve">) The indicated lymphocyte and B cell subpopulations of all tested family members were assessed by flow-cytometry. </w:t>
      </w:r>
    </w:p>
    <w:p w14:paraId="49893F5E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 xml:space="preserve">c) The indicated T cell subpopulations in the SLE patient were repeated 6 years following the initial assessment. CM: central memory; EM: effector memory; TEMRA: terminally differentiated effector memory; RTE: recent thymic emigrants; </w:t>
      </w:r>
      <w:proofErr w:type="spellStart"/>
      <w:r w:rsidRPr="002C662B">
        <w:rPr>
          <w:rFonts w:ascii="Times New Roman" w:hAnsi="Times New Roman" w:cs="Times New Roman"/>
        </w:rPr>
        <w:t>fTh</w:t>
      </w:r>
      <w:proofErr w:type="spellEnd"/>
      <w:r w:rsidRPr="002C662B">
        <w:rPr>
          <w:rFonts w:ascii="Times New Roman" w:hAnsi="Times New Roman" w:cs="Times New Roman"/>
        </w:rPr>
        <w:t>: follicular T helper; Treg: regulatory T cells; MHCII+: activated T cells.</w:t>
      </w:r>
    </w:p>
    <w:p w14:paraId="3150CB32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d) Quantification of the indicated serum immunoglobulins.</w:t>
      </w:r>
    </w:p>
    <w:p w14:paraId="03901309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e) Functional assessment of the indicated complement pathways using serum of the individual family members.</w:t>
      </w:r>
    </w:p>
    <w:p w14:paraId="4936F9E4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 xml:space="preserve">The blue and green dots represent the </w:t>
      </w:r>
      <w:proofErr w:type="spellStart"/>
      <w:r w:rsidRPr="002C662B">
        <w:rPr>
          <w:rFonts w:ascii="Times New Roman" w:hAnsi="Times New Roman" w:cs="Times New Roman"/>
        </w:rPr>
        <w:t>aHUS</w:t>
      </w:r>
      <w:proofErr w:type="spellEnd"/>
      <w:r w:rsidRPr="002C662B">
        <w:rPr>
          <w:rFonts w:ascii="Times New Roman" w:hAnsi="Times New Roman" w:cs="Times New Roman"/>
        </w:rPr>
        <w:t xml:space="preserve"> and SLE patient, respectively. Closed symbols represent mutation carriers while the open symbol represents the family member lacking the mutated allele. The lines mark normal reference values.</w:t>
      </w:r>
    </w:p>
    <w:p w14:paraId="5D1D6D74" w14:textId="77777777" w:rsidR="002C662B" w:rsidRPr="002C662B" w:rsidRDefault="002C662B" w:rsidP="002C662B">
      <w:pPr>
        <w:rPr>
          <w:rFonts w:ascii="Times New Roman" w:hAnsi="Times New Roman" w:cs="Times New Roman"/>
        </w:rPr>
      </w:pPr>
    </w:p>
    <w:p w14:paraId="4CFCDBDF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Supplemental Figure 4:</w:t>
      </w:r>
    </w:p>
    <w:p w14:paraId="1B8BE6F6" w14:textId="4F6B3E8D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Purified CD4+ T cells were left non-activated (NA) or stimulated with immobilized agonistic antibodies against CD3, CD3 + CD28 or CD3 + CD46. Supernatants were harvested 36 hours post stimulation and analyzed by cytometric bead array (CBA). Secretion of the indicated cytokines were normalized to anti-</w:t>
      </w:r>
      <w:r w:rsidRPr="002C662B">
        <w:rPr>
          <w:rFonts w:ascii="Times New Roman" w:hAnsi="Times New Roman" w:cs="Times New Roman"/>
        </w:rPr>
        <w:lastRenderedPageBreak/>
        <w:t>CD3-stimulated cells which was set to 1. All bars indicate means ± SD. The ratio of IFN-</w:t>
      </w:r>
      <w:r w:rsidR="00D53C9E" w:rsidRPr="00D53C9E">
        <w:rPr>
          <w:rFonts w:ascii="Times New Roman" w:hAnsi="Times New Roman" w:cs="Times New Roman"/>
        </w:rPr>
        <w:t>γ</w:t>
      </w:r>
      <w:r w:rsidRPr="002C662B">
        <w:rPr>
          <w:rFonts w:ascii="Times New Roman" w:hAnsi="Times New Roman" w:cs="Times New Roman"/>
        </w:rPr>
        <w:t xml:space="preserve"> concentration divided by the IL-10 level in supernatants serves as a marker of proinflammatory CD4+ T cell function and is depicted in a separate graph. All bars indicate means ± SD. Analyzed by unpaired t-tests.</w:t>
      </w:r>
    </w:p>
    <w:p w14:paraId="612822E3" w14:textId="77777777" w:rsidR="002C662B" w:rsidRPr="002C662B" w:rsidRDefault="002C662B" w:rsidP="002C662B">
      <w:pPr>
        <w:rPr>
          <w:rFonts w:ascii="Times New Roman" w:hAnsi="Times New Roman" w:cs="Times New Roman"/>
        </w:rPr>
      </w:pPr>
    </w:p>
    <w:p w14:paraId="5BCF4F28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Supplemental Figure 5:</w:t>
      </w:r>
    </w:p>
    <w:p w14:paraId="3B1C9290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a) Multiple sequence alignment of human TNFRSF4/OX40 and its orthologues. The Arg10 residue of OX40 in humans and other species are colored in pink.</w:t>
      </w:r>
    </w:p>
    <w:p w14:paraId="522F80C4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b) Functional region prediction of TNFRSF4/OX40 via SignalP-6.0 (https://services.healthtech.dtu.dk/services/SignalP-6.0/).</w:t>
      </w:r>
    </w:p>
    <w:p w14:paraId="036BD2F9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 xml:space="preserve">c) Representative TNFRSF4/OX40 expression profiles from one donor and quantification of five individual donors. CD4+ cells from healthy human donors were stimulated for 36h with the indicated antibody combinations. TNFRSF4/OX40 expression was measured on viable cells using anti-human CD134 (OX40) APC-conjugated </w:t>
      </w:r>
      <w:proofErr w:type="spellStart"/>
      <w:r w:rsidRPr="002C662B">
        <w:rPr>
          <w:rFonts w:ascii="Times New Roman" w:hAnsi="Times New Roman" w:cs="Times New Roman"/>
        </w:rPr>
        <w:t>mAb</w:t>
      </w:r>
      <w:proofErr w:type="spellEnd"/>
      <w:r w:rsidRPr="002C662B">
        <w:rPr>
          <w:rFonts w:ascii="Times New Roman" w:hAnsi="Times New Roman" w:cs="Times New Roman"/>
        </w:rPr>
        <w:t xml:space="preserve"> (ACT35). </w:t>
      </w:r>
    </w:p>
    <w:p w14:paraId="5A893FEB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d) Ex vivo expression of OX40 (X axis) and 4-1BB (Y axis) on PBMC-derived viable CD4+ T cells of CD46 mutation carrier 5 aligned with three healthy controls after 36-hour culture.</w:t>
      </w:r>
    </w:p>
    <w:p w14:paraId="5E6613AE" w14:textId="77777777" w:rsidR="002C662B" w:rsidRPr="002C662B" w:rsidRDefault="002C662B" w:rsidP="002C662B">
      <w:pPr>
        <w:rPr>
          <w:rFonts w:ascii="Times New Roman" w:hAnsi="Times New Roman" w:cs="Times New Roman"/>
        </w:rPr>
      </w:pPr>
    </w:p>
    <w:p w14:paraId="0D0DD6FA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 xml:space="preserve">Supplemental Table 1: </w:t>
      </w:r>
    </w:p>
    <w:p w14:paraId="66FCE359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Clinical history, as assessed with a standardized case report form, of all studied family members.</w:t>
      </w:r>
    </w:p>
    <w:p w14:paraId="0EAAC5D2" w14:textId="77777777" w:rsidR="002C662B" w:rsidRPr="002C662B" w:rsidRDefault="002C662B" w:rsidP="002C662B">
      <w:pPr>
        <w:rPr>
          <w:rFonts w:ascii="Times New Roman" w:hAnsi="Times New Roman" w:cs="Times New Roman"/>
        </w:rPr>
      </w:pPr>
    </w:p>
    <w:p w14:paraId="4873BFC3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Supplemental Table 2:</w:t>
      </w:r>
    </w:p>
    <w:p w14:paraId="1B9077B4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 xml:space="preserve">a) Clinical manifestations of CD46 mutation carrier 6 during the </w:t>
      </w:r>
      <w:proofErr w:type="spellStart"/>
      <w:r w:rsidRPr="002C662B">
        <w:rPr>
          <w:rFonts w:ascii="Times New Roman" w:hAnsi="Times New Roman" w:cs="Times New Roman"/>
        </w:rPr>
        <w:t>aHUS</w:t>
      </w:r>
      <w:proofErr w:type="spellEnd"/>
      <w:r w:rsidRPr="002C662B">
        <w:rPr>
          <w:rFonts w:ascii="Times New Roman" w:hAnsi="Times New Roman" w:cs="Times New Roman"/>
        </w:rPr>
        <w:t xml:space="preserve"> flares. b) Complement-related diagnostic-lab analysis during the </w:t>
      </w:r>
      <w:proofErr w:type="spellStart"/>
      <w:r w:rsidRPr="002C662B">
        <w:rPr>
          <w:rFonts w:ascii="Times New Roman" w:hAnsi="Times New Roman" w:cs="Times New Roman"/>
        </w:rPr>
        <w:t>aHUS</w:t>
      </w:r>
      <w:proofErr w:type="spellEnd"/>
      <w:r w:rsidRPr="002C662B">
        <w:rPr>
          <w:rFonts w:ascii="Times New Roman" w:hAnsi="Times New Roman" w:cs="Times New Roman"/>
        </w:rPr>
        <w:t xml:space="preserve"> flares. </w:t>
      </w:r>
    </w:p>
    <w:p w14:paraId="104D0265" w14:textId="77777777" w:rsidR="002C662B" w:rsidRPr="002C662B" w:rsidRDefault="002C662B" w:rsidP="002C662B">
      <w:pPr>
        <w:rPr>
          <w:rFonts w:ascii="Times New Roman" w:hAnsi="Times New Roman" w:cs="Times New Roman"/>
        </w:rPr>
      </w:pPr>
    </w:p>
    <w:p w14:paraId="75619389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Supplemental Table 3:</w:t>
      </w:r>
    </w:p>
    <w:p w14:paraId="3B65ED79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 xml:space="preserve">a) Autoantibody profiles of CD46 mutation carrier 5 (SLE patient). </w:t>
      </w:r>
    </w:p>
    <w:p w14:paraId="50541ACA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b) Complement-related lab analysis in the SLE patient over time. Values in red are above the reference range, values in blue are below the reference range.</w:t>
      </w:r>
    </w:p>
    <w:p w14:paraId="45949D6F" w14:textId="77777777" w:rsidR="002C662B" w:rsidRPr="002C662B" w:rsidRDefault="002C662B" w:rsidP="002C662B">
      <w:pPr>
        <w:rPr>
          <w:rFonts w:ascii="Times New Roman" w:hAnsi="Times New Roman" w:cs="Times New Roman"/>
        </w:rPr>
      </w:pPr>
    </w:p>
    <w:p w14:paraId="7168944C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>Supplemental Table 4:</w:t>
      </w:r>
    </w:p>
    <w:p w14:paraId="540E13CE" w14:textId="77777777" w:rsidR="002C662B" w:rsidRPr="002C662B" w:rsidRDefault="002C662B" w:rsidP="002C662B">
      <w:pPr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</w:rPr>
        <w:t xml:space="preserve">The British NIHR </w:t>
      </w:r>
      <w:proofErr w:type="spellStart"/>
      <w:r w:rsidRPr="002C662B">
        <w:rPr>
          <w:rFonts w:ascii="Times New Roman" w:hAnsi="Times New Roman" w:cs="Times New Roman"/>
        </w:rPr>
        <w:t>BioResource</w:t>
      </w:r>
      <w:proofErr w:type="spellEnd"/>
      <w:r w:rsidRPr="002C662B">
        <w:rPr>
          <w:rFonts w:ascii="Times New Roman" w:hAnsi="Times New Roman" w:cs="Times New Roman"/>
        </w:rPr>
        <w:t xml:space="preserve"> Rare Diseases project database was filtered for individuals carrying rare (allele frequency &lt;1/1000), likely functionally relevant (CADD Score &gt;15) variants in CD46 which have </w:t>
      </w:r>
      <w:r w:rsidRPr="002C662B">
        <w:rPr>
          <w:rFonts w:ascii="Times New Roman" w:hAnsi="Times New Roman" w:cs="Times New Roman"/>
        </w:rPr>
        <w:lastRenderedPageBreak/>
        <w:t xml:space="preserve">already been described in patients with CD46 dependent disease. In such individuals, we searched for rare (allele frequency &lt;1/1000), likely functionally relevant (CADD Score &gt;15) variants in other IEI-related genes (defined as being included in the 2019 update on the IEI-classification from the International Union of Immunological Societies expert </w:t>
      </w:r>
      <w:proofErr w:type="gramStart"/>
      <w:r w:rsidRPr="002C662B">
        <w:rPr>
          <w:rFonts w:ascii="Times New Roman" w:hAnsi="Times New Roman" w:cs="Times New Roman"/>
        </w:rPr>
        <w:t>committee(</w:t>
      </w:r>
      <w:proofErr w:type="gramEnd"/>
      <w:r w:rsidRPr="002C662B">
        <w:rPr>
          <w:rFonts w:ascii="Times New Roman" w:hAnsi="Times New Roman" w:cs="Times New Roman"/>
        </w:rPr>
        <w:t>29). IEI genes were attributed to different clinical categories as proposed by the International Union of Immunological Societies (IUIS</w:t>
      </w:r>
      <w:proofErr w:type="gramStart"/>
      <w:r w:rsidRPr="002C662B">
        <w:rPr>
          <w:rFonts w:ascii="Times New Roman" w:hAnsi="Times New Roman" w:cs="Times New Roman"/>
        </w:rPr>
        <w:t>)(</w:t>
      </w:r>
      <w:proofErr w:type="gramEnd"/>
      <w:r w:rsidRPr="002C662B">
        <w:rPr>
          <w:rFonts w:ascii="Times New Roman" w:hAnsi="Times New Roman" w:cs="Times New Roman"/>
        </w:rPr>
        <w:t>29). Genes linked to autoinflammatory diseases are marked in green, genes linked to the function of the complement system are marked in blue. Mutations in STAT5B are marked in orange.</w:t>
      </w:r>
    </w:p>
    <w:p w14:paraId="3B1AAAC4" w14:textId="77777777" w:rsidR="002C662B" w:rsidRPr="002C662B" w:rsidRDefault="002C662B">
      <w:pPr>
        <w:rPr>
          <w:rFonts w:ascii="Times New Roman" w:hAnsi="Times New Roman" w:cs="Times New Roman"/>
        </w:rPr>
      </w:pPr>
    </w:p>
    <w:p w14:paraId="0915EE62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</w:p>
    <w:p w14:paraId="2966DC87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  <w:noProof/>
        </w:rPr>
        <w:drawing>
          <wp:inline distT="0" distB="0" distL="0" distR="0" wp14:anchorId="319F187B" wp14:editId="3F7AE58C">
            <wp:extent cx="5727700" cy="3936570"/>
            <wp:effectExtent l="0" t="0" r="635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6DFFC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</w:p>
    <w:p w14:paraId="706BC88B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8C514E8" wp14:editId="6BBFFB72">
            <wp:extent cx="5727700" cy="7236729"/>
            <wp:effectExtent l="0" t="0" r="635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23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98251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</w:p>
    <w:p w14:paraId="0C094727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F1E2539" wp14:editId="0286C943">
            <wp:extent cx="5727700" cy="772138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72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B6208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</w:p>
    <w:p w14:paraId="78ECB5F4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7E3C2BF" wp14:editId="47B2BDBB">
            <wp:extent cx="5727700" cy="5771759"/>
            <wp:effectExtent l="0" t="0" r="635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7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D44CF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</w:p>
    <w:p w14:paraId="141573B9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257D13" wp14:editId="4C3C1DC4">
            <wp:extent cx="5727700" cy="6202561"/>
            <wp:effectExtent l="0" t="0" r="635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20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52E5E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</w:p>
    <w:p w14:paraId="5FD07B6D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94EB634" wp14:editId="1BB0C61B">
            <wp:extent cx="5727700" cy="3934734"/>
            <wp:effectExtent l="0" t="0" r="635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3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BF60A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</w:p>
    <w:p w14:paraId="37BAB79F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7ACABC9" wp14:editId="66471DC7">
            <wp:extent cx="5727700" cy="526569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26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32E60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</w:p>
    <w:p w14:paraId="0DB6C3AA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14E3A60" wp14:editId="412261F9">
            <wp:extent cx="5727700" cy="668660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6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CF95F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</w:p>
    <w:p w14:paraId="50777638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F1552EA" wp14:editId="501AC375">
            <wp:extent cx="5727700" cy="6890374"/>
            <wp:effectExtent l="0" t="0" r="635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89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F31D7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</w:p>
    <w:p w14:paraId="0627C360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DC94149" wp14:editId="1CDA68EF">
            <wp:extent cx="5727700" cy="5787058"/>
            <wp:effectExtent l="0" t="0" r="635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8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EEB2E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</w:p>
    <w:p w14:paraId="26110B1F" w14:textId="77777777" w:rsidR="002C662B" w:rsidRPr="002C662B" w:rsidRDefault="002C662B" w:rsidP="002C662B">
      <w:pPr>
        <w:spacing w:line="480" w:lineRule="auto"/>
        <w:jc w:val="both"/>
        <w:rPr>
          <w:rFonts w:ascii="Times New Roman" w:hAnsi="Times New Roman" w:cs="Times New Roman"/>
        </w:rPr>
      </w:pPr>
      <w:r w:rsidRPr="002C66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1F86362" wp14:editId="31094FD0">
            <wp:extent cx="5727700" cy="4439579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43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45BB5" w14:textId="77777777" w:rsidR="002C662B" w:rsidRPr="002C662B" w:rsidRDefault="002C662B">
      <w:pPr>
        <w:rPr>
          <w:rFonts w:ascii="Times New Roman" w:hAnsi="Times New Roman" w:cs="Times New Roman"/>
        </w:rPr>
      </w:pPr>
    </w:p>
    <w:sectPr w:rsidR="002C662B" w:rsidRPr="002C6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C1912" w14:textId="77777777" w:rsidR="007A5B76" w:rsidRDefault="007A5B76" w:rsidP="00D53C9E">
      <w:pPr>
        <w:spacing w:after="0" w:line="240" w:lineRule="auto"/>
      </w:pPr>
      <w:r>
        <w:separator/>
      </w:r>
    </w:p>
  </w:endnote>
  <w:endnote w:type="continuationSeparator" w:id="0">
    <w:p w14:paraId="083EF1C7" w14:textId="77777777" w:rsidR="007A5B76" w:rsidRDefault="007A5B76" w:rsidP="00D53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B324F" w14:textId="77777777" w:rsidR="007A5B76" w:rsidRDefault="007A5B76" w:rsidP="00D53C9E">
      <w:pPr>
        <w:spacing w:after="0" w:line="240" w:lineRule="auto"/>
      </w:pPr>
      <w:r>
        <w:separator/>
      </w:r>
    </w:p>
  </w:footnote>
  <w:footnote w:type="continuationSeparator" w:id="0">
    <w:p w14:paraId="18137DDA" w14:textId="77777777" w:rsidR="007A5B76" w:rsidRDefault="007A5B76" w:rsidP="00D53C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62B"/>
    <w:rsid w:val="002C662B"/>
    <w:rsid w:val="007A5B76"/>
    <w:rsid w:val="00A0465B"/>
    <w:rsid w:val="00D5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CE85BB"/>
  <w15:docId w15:val="{5A5B471F-C245-4F66-8C7A-056B1367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2C66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3C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3C9E"/>
  </w:style>
  <w:style w:type="paragraph" w:styleId="a7">
    <w:name w:val="footer"/>
    <w:basedOn w:val="a"/>
    <w:link w:val="a8"/>
    <w:uiPriority w:val="99"/>
    <w:unhideWhenUsed/>
    <w:rsid w:val="00D53C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3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E754300</dc:creator>
  <cp:lastModifiedBy>山本 浩之</cp:lastModifiedBy>
  <cp:revision>2</cp:revision>
  <dcterms:created xsi:type="dcterms:W3CDTF">2023-07-05T02:32:00Z</dcterms:created>
  <dcterms:modified xsi:type="dcterms:W3CDTF">2023-07-19T07:23:00Z</dcterms:modified>
</cp:coreProperties>
</file>