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E207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  <w:r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>Supplementary Table 1.</w:t>
      </w:r>
      <w:r w:rsidRPr="00483D14">
        <w:rPr>
          <w:rFonts w:ascii="Times" w:eastAsia="Times New Roman" w:hAnsi="Times" w:cstheme="minorHAnsi"/>
          <w:color w:val="000000"/>
          <w:sz w:val="20"/>
          <w:szCs w:val="20"/>
          <w:lang w:eastAsia="en-GB"/>
        </w:rPr>
        <w:t xml:space="preserve"> Papers identified in the literature review.</w:t>
      </w:r>
      <w:r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 xml:space="preserve"> </w:t>
      </w:r>
    </w:p>
    <w:p w14:paraId="3334EE66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97"/>
        <w:gridCol w:w="3686"/>
        <w:gridCol w:w="1984"/>
      </w:tblGrid>
      <w:tr w:rsidR="00200C38" w14:paraId="78372425" w14:textId="77777777" w:rsidTr="009F6D8B">
        <w:tc>
          <w:tcPr>
            <w:tcW w:w="3397" w:type="dxa"/>
          </w:tcPr>
          <w:p w14:paraId="10AAA051" w14:textId="77777777" w:rsidR="00200C38" w:rsidRPr="00483D14" w:rsidRDefault="00200C38" w:rsidP="009F6D8B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83D14">
              <w:rPr>
                <w:rFonts w:ascii="Times" w:hAnsi="Times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3686" w:type="dxa"/>
          </w:tcPr>
          <w:p w14:paraId="7CD4EE0E" w14:textId="77777777" w:rsidR="00200C38" w:rsidRPr="00483D14" w:rsidRDefault="00200C38" w:rsidP="009F6D8B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83D14">
              <w:rPr>
                <w:rFonts w:ascii="Times" w:hAnsi="Times"/>
                <w:b/>
                <w:bCs/>
                <w:sz w:val="20"/>
                <w:szCs w:val="20"/>
              </w:rPr>
              <w:t>Digital Object Identifier (DOI)/Link</w:t>
            </w:r>
          </w:p>
        </w:tc>
        <w:tc>
          <w:tcPr>
            <w:tcW w:w="1984" w:type="dxa"/>
          </w:tcPr>
          <w:p w14:paraId="0FBD9CDB" w14:textId="77777777" w:rsidR="00200C38" w:rsidRPr="00483D14" w:rsidRDefault="00200C38" w:rsidP="009F6D8B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83D14">
              <w:rPr>
                <w:rFonts w:ascii="Times" w:hAnsi="Times"/>
                <w:b/>
                <w:bCs/>
                <w:sz w:val="20"/>
                <w:szCs w:val="20"/>
              </w:rPr>
              <w:t xml:space="preserve">Level of Evidence </w:t>
            </w:r>
          </w:p>
        </w:tc>
      </w:tr>
      <w:tr w:rsidR="00200C38" w14:paraId="603CF63B" w14:textId="77777777" w:rsidTr="009F6D8B">
        <w:tc>
          <w:tcPr>
            <w:tcW w:w="3397" w:type="dxa"/>
          </w:tcPr>
          <w:p w14:paraId="76728E2F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Adolescents and young adults (AYAs) affected by chronic immunological disease: A </w:t>
            </w:r>
            <w:proofErr w:type="gramStart"/>
            <w:r w:rsidRPr="00483D14">
              <w:rPr>
                <w:rFonts w:ascii="Times" w:hAnsi="Times"/>
                <w:sz w:val="20"/>
                <w:szCs w:val="20"/>
              </w:rPr>
              <w:t>tool-box</w:t>
            </w:r>
            <w:proofErr w:type="gramEnd"/>
            <w:r w:rsidRPr="00483D14">
              <w:rPr>
                <w:rFonts w:ascii="Times" w:hAnsi="Times"/>
                <w:sz w:val="20"/>
                <w:szCs w:val="20"/>
              </w:rPr>
              <w:t xml:space="preserve"> for success during the transition to adult care</w:t>
            </w:r>
          </w:p>
        </w:tc>
        <w:tc>
          <w:tcPr>
            <w:tcW w:w="3686" w:type="dxa"/>
          </w:tcPr>
          <w:p w14:paraId="23C58CE6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10.1016/j.clim.2018.10.010</w:t>
            </w:r>
          </w:p>
        </w:tc>
        <w:tc>
          <w:tcPr>
            <w:tcW w:w="1984" w:type="dxa"/>
          </w:tcPr>
          <w:p w14:paraId="6CBB15B7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23FF317B" w14:textId="77777777" w:rsidTr="009F6D8B">
        <w:tc>
          <w:tcPr>
            <w:tcW w:w="3397" w:type="dxa"/>
          </w:tcPr>
          <w:p w14:paraId="1DBF0CE1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Transition from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to Adult Care by Young Adults with Chronic Granulomatous Disease: </w:t>
            </w:r>
            <w:proofErr w:type="gramStart"/>
            <w:r w:rsidRPr="00483D14">
              <w:rPr>
                <w:rFonts w:ascii="Times" w:hAnsi="Times"/>
                <w:sz w:val="20"/>
                <w:szCs w:val="20"/>
              </w:rPr>
              <w:t>the</w:t>
            </w:r>
            <w:proofErr w:type="gramEnd"/>
            <w:r w:rsidRPr="00483D14">
              <w:rPr>
                <w:rFonts w:ascii="Times" w:hAnsi="Times"/>
                <w:sz w:val="20"/>
                <w:szCs w:val="20"/>
              </w:rPr>
              <w:t xml:space="preserve"> Patient’s Viewpoint</w:t>
            </w:r>
          </w:p>
        </w:tc>
        <w:tc>
          <w:tcPr>
            <w:tcW w:w="3686" w:type="dxa"/>
          </w:tcPr>
          <w:p w14:paraId="455DC63D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10.1016/j.jadohealth.2017.06.017</w:t>
            </w:r>
          </w:p>
        </w:tc>
        <w:tc>
          <w:tcPr>
            <w:tcW w:w="1984" w:type="dxa"/>
          </w:tcPr>
          <w:p w14:paraId="398AFC56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375D6A9C" w14:textId="77777777" w:rsidTr="009F6D8B">
        <w:tc>
          <w:tcPr>
            <w:tcW w:w="3397" w:type="dxa"/>
          </w:tcPr>
          <w:p w14:paraId="101A050B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Physical health conditions and quality of life in adults with primary immunodeficiency diagnosed during childhood: A French Reference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Center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for PIDs (CEREDIH) study</w:t>
            </w:r>
          </w:p>
        </w:tc>
        <w:tc>
          <w:tcPr>
            <w:tcW w:w="3686" w:type="dxa"/>
          </w:tcPr>
          <w:p w14:paraId="514023CD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10.1016/j.jaci.2016.08.027</w:t>
            </w:r>
          </w:p>
        </w:tc>
        <w:tc>
          <w:tcPr>
            <w:tcW w:w="1984" w:type="dxa"/>
          </w:tcPr>
          <w:p w14:paraId="24AA6124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703FB050" w14:textId="77777777" w:rsidTr="009F6D8B">
        <w:tc>
          <w:tcPr>
            <w:tcW w:w="3397" w:type="dxa"/>
          </w:tcPr>
          <w:p w14:paraId="15CFB5EC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Primary Immunodeficiency Disease: A Model for Case Management of Chronic Diseases</w:t>
            </w:r>
          </w:p>
        </w:tc>
        <w:tc>
          <w:tcPr>
            <w:tcW w:w="3686" w:type="dxa"/>
          </w:tcPr>
          <w:p w14:paraId="5C82CAA4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10.1097/NCM.0b013e3181b5dec4</w:t>
            </w:r>
          </w:p>
        </w:tc>
        <w:tc>
          <w:tcPr>
            <w:tcW w:w="1984" w:type="dxa"/>
          </w:tcPr>
          <w:p w14:paraId="20A4E05A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1C8A09D0" w14:textId="77777777" w:rsidTr="009F6D8B">
        <w:tc>
          <w:tcPr>
            <w:tcW w:w="3397" w:type="dxa"/>
          </w:tcPr>
          <w:p w14:paraId="565BE22D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Advances in the Care of Primary Immunodeficiencies (PIDs): from Birth to Adulthood</w:t>
            </w:r>
          </w:p>
        </w:tc>
        <w:tc>
          <w:tcPr>
            <w:tcW w:w="3686" w:type="dxa"/>
          </w:tcPr>
          <w:p w14:paraId="1E00AE98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10.1007/s10875-017-0401-y</w:t>
            </w:r>
          </w:p>
        </w:tc>
        <w:tc>
          <w:tcPr>
            <w:tcW w:w="1984" w:type="dxa"/>
          </w:tcPr>
          <w:p w14:paraId="1B36B35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69BA4763" w14:textId="77777777" w:rsidTr="009F6D8B">
        <w:tc>
          <w:tcPr>
            <w:tcW w:w="3397" w:type="dxa"/>
          </w:tcPr>
          <w:p w14:paraId="76A72CCD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Consensus of the Italian Primary Immunodeficiency Network on transition management from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to adult care in patients affected with childhood-onset inborn errors of immunity</w:t>
            </w:r>
          </w:p>
        </w:tc>
        <w:tc>
          <w:tcPr>
            <w:tcW w:w="3686" w:type="dxa"/>
          </w:tcPr>
          <w:p w14:paraId="066EB62D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10.1016/j.jaci.2020.08.010</w:t>
            </w:r>
          </w:p>
        </w:tc>
        <w:tc>
          <w:tcPr>
            <w:tcW w:w="1984" w:type="dxa"/>
          </w:tcPr>
          <w:p w14:paraId="604FA00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5F558322" w14:textId="77777777" w:rsidTr="009F6D8B">
        <w:tc>
          <w:tcPr>
            <w:tcW w:w="3397" w:type="dxa"/>
          </w:tcPr>
          <w:p w14:paraId="2A5198ED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American Academy of Allergy, Asthma &amp; Immunology Needs Assessment Survey: Transitioning Primary Immunodeficiency Patients from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to Adult Care</w:t>
            </w:r>
          </w:p>
        </w:tc>
        <w:tc>
          <w:tcPr>
            <w:tcW w:w="3686" w:type="dxa"/>
          </w:tcPr>
          <w:p w14:paraId="17648E86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10.1016/j.jaci.2018.12.356</w:t>
            </w:r>
          </w:p>
        </w:tc>
        <w:tc>
          <w:tcPr>
            <w:tcW w:w="1984" w:type="dxa"/>
          </w:tcPr>
          <w:p w14:paraId="07BC56AB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3B225D64" w14:textId="77777777" w:rsidTr="009F6D8B">
        <w:tc>
          <w:tcPr>
            <w:tcW w:w="3397" w:type="dxa"/>
          </w:tcPr>
          <w:p w14:paraId="6E94A536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Primary immunodeficiency: Potential benefits of active transition to improved multi-disciplinary care: Letter to the Editor</w:t>
            </w:r>
          </w:p>
        </w:tc>
        <w:tc>
          <w:tcPr>
            <w:tcW w:w="3686" w:type="dxa"/>
          </w:tcPr>
          <w:p w14:paraId="5792FE1B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10.1111/j.1399-3038.</w:t>
            </w:r>
            <w:proofErr w:type="gramStart"/>
            <w:r w:rsidRPr="00483D14">
              <w:rPr>
                <w:rFonts w:ascii="Times" w:hAnsi="Times"/>
                <w:sz w:val="20"/>
                <w:szCs w:val="20"/>
              </w:rPr>
              <w:t>2008.00838.x</w:t>
            </w:r>
            <w:proofErr w:type="gramEnd"/>
          </w:p>
        </w:tc>
        <w:tc>
          <w:tcPr>
            <w:tcW w:w="1984" w:type="dxa"/>
          </w:tcPr>
          <w:p w14:paraId="3D2B2474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5CDC2EAA" w14:textId="77777777" w:rsidTr="009F6D8B">
        <w:tc>
          <w:tcPr>
            <w:tcW w:w="3397" w:type="dxa"/>
          </w:tcPr>
          <w:p w14:paraId="3065AAB5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Burden of Poor Health Conditions and Quality of Life in 656 Children with Primary Immunodeficiency</w:t>
            </w:r>
          </w:p>
        </w:tc>
        <w:tc>
          <w:tcPr>
            <w:tcW w:w="3686" w:type="dxa"/>
          </w:tcPr>
          <w:p w14:paraId="4752B260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10.1016/j.jpeds.2017.10.029</w:t>
            </w:r>
          </w:p>
        </w:tc>
        <w:tc>
          <w:tcPr>
            <w:tcW w:w="1984" w:type="dxa"/>
          </w:tcPr>
          <w:p w14:paraId="4A91F7CC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4E52872A" w14:textId="77777777" w:rsidTr="009F6D8B">
        <w:tc>
          <w:tcPr>
            <w:tcW w:w="3397" w:type="dxa"/>
          </w:tcPr>
          <w:p w14:paraId="05F71CA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Into Action: Improving Access to Optimum Care for all Primary Immunodeficiency Patients</w:t>
            </w:r>
          </w:p>
        </w:tc>
        <w:tc>
          <w:tcPr>
            <w:tcW w:w="3686" w:type="dxa"/>
          </w:tcPr>
          <w:p w14:paraId="74122367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10.1007/s10875-016-0277-2</w:t>
            </w:r>
          </w:p>
        </w:tc>
        <w:tc>
          <w:tcPr>
            <w:tcW w:w="1984" w:type="dxa"/>
          </w:tcPr>
          <w:p w14:paraId="76E51B3A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6424E812" w14:textId="77777777" w:rsidTr="009F6D8B">
        <w:tc>
          <w:tcPr>
            <w:tcW w:w="3397" w:type="dxa"/>
          </w:tcPr>
          <w:p w14:paraId="4F184347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X-linked agammaglobulinemia (XLA): Phenotype, diagnosis, and therapeutic challenges around the world</w:t>
            </w:r>
          </w:p>
        </w:tc>
        <w:tc>
          <w:tcPr>
            <w:tcW w:w="3686" w:type="dxa"/>
          </w:tcPr>
          <w:p w14:paraId="70D9DFA5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10.1016/j.waojou.2019.100018</w:t>
            </w:r>
          </w:p>
        </w:tc>
        <w:tc>
          <w:tcPr>
            <w:tcW w:w="1984" w:type="dxa"/>
          </w:tcPr>
          <w:p w14:paraId="7165A983" w14:textId="74B5302C" w:rsidR="00200C38" w:rsidRPr="00483D14" w:rsidRDefault="008245E6" w:rsidP="009F6D8B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74DDEA57" w14:textId="77777777" w:rsidTr="009F6D8B">
        <w:tc>
          <w:tcPr>
            <w:tcW w:w="3397" w:type="dxa"/>
          </w:tcPr>
          <w:p w14:paraId="76E7E083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Psychosocial issues of the adolescent PI patient and the development of the PI Teen Outreach Program</w:t>
            </w:r>
          </w:p>
        </w:tc>
        <w:tc>
          <w:tcPr>
            <w:tcW w:w="3686" w:type="dxa"/>
          </w:tcPr>
          <w:p w14:paraId="389D09F6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10.14785/lymphosign-2018-0002</w:t>
            </w:r>
          </w:p>
        </w:tc>
        <w:tc>
          <w:tcPr>
            <w:tcW w:w="1984" w:type="dxa"/>
          </w:tcPr>
          <w:p w14:paraId="7B93EC51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62D443B3" w14:textId="77777777" w:rsidTr="009F6D8B">
        <w:tc>
          <w:tcPr>
            <w:tcW w:w="3397" w:type="dxa"/>
          </w:tcPr>
          <w:p w14:paraId="007402D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Growing older with a PID: transition of care and ageing. Recommendations of the International Patient Organisation for Primary Immunodeficiencies (IPOPI)</w:t>
            </w:r>
          </w:p>
          <w:p w14:paraId="7D9CE576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71BE266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https://ipopi.org/wp-content/uploads/2017/06/IPOPI-recommendations-transition-of-care-and-ageing-FINAL_web.pdf</w:t>
            </w:r>
          </w:p>
        </w:tc>
        <w:tc>
          <w:tcPr>
            <w:tcW w:w="1984" w:type="dxa"/>
          </w:tcPr>
          <w:p w14:paraId="53C90BBD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39FC0E62" w14:textId="77777777" w:rsidTr="009F6D8B">
        <w:tc>
          <w:tcPr>
            <w:tcW w:w="3397" w:type="dxa"/>
          </w:tcPr>
          <w:p w14:paraId="04361567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Improving the Transition from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to Adult Care for Adolescents and Young Adults with Autoinflammatory Diseases</w:t>
            </w:r>
          </w:p>
        </w:tc>
        <w:tc>
          <w:tcPr>
            <w:tcW w:w="3686" w:type="dxa"/>
          </w:tcPr>
          <w:p w14:paraId="29DFCF0F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10.1007/978-3-319-96929-9_18</w:t>
            </w:r>
          </w:p>
        </w:tc>
        <w:tc>
          <w:tcPr>
            <w:tcW w:w="1984" w:type="dxa"/>
          </w:tcPr>
          <w:p w14:paraId="0A174699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76E4109F" w14:textId="77777777" w:rsidTr="009F6D8B">
        <w:tc>
          <w:tcPr>
            <w:tcW w:w="3397" w:type="dxa"/>
          </w:tcPr>
          <w:p w14:paraId="15C0A54A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lastRenderedPageBreak/>
              <w:t xml:space="preserve">Transition of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patients with an Auto-inflammatory Disease: an alternative version of the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Daedaulus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and Icarus myth</w:t>
            </w:r>
          </w:p>
        </w:tc>
        <w:tc>
          <w:tcPr>
            <w:tcW w:w="3686" w:type="dxa"/>
          </w:tcPr>
          <w:p w14:paraId="1A91B9A3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10.31138/mjr.29.3.156</w:t>
            </w:r>
          </w:p>
        </w:tc>
        <w:tc>
          <w:tcPr>
            <w:tcW w:w="1984" w:type="dxa"/>
          </w:tcPr>
          <w:p w14:paraId="638B6D11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327E3A92" w14:textId="77777777" w:rsidTr="009F6D8B">
        <w:tc>
          <w:tcPr>
            <w:tcW w:w="3397" w:type="dxa"/>
          </w:tcPr>
          <w:p w14:paraId="265E8FBC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Transition from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to adult care: Recommendations of the French network for autoimmune and autoinflammatory diseases (FAI2R)</w:t>
            </w:r>
          </w:p>
        </w:tc>
        <w:tc>
          <w:tcPr>
            <w:tcW w:w="3686" w:type="dxa"/>
          </w:tcPr>
          <w:p w14:paraId="14BCEF66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10.1016/j.revmed.2021.02.003</w:t>
            </w:r>
          </w:p>
        </w:tc>
        <w:tc>
          <w:tcPr>
            <w:tcW w:w="1984" w:type="dxa"/>
          </w:tcPr>
          <w:p w14:paraId="2F38D633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0F593896" w14:textId="77777777" w:rsidTr="009F6D8B">
        <w:tc>
          <w:tcPr>
            <w:tcW w:w="3397" w:type="dxa"/>
          </w:tcPr>
          <w:p w14:paraId="2F99B6ED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Survey of attitudes of non-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rheumatologists among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councilors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of the Japan College of Rheumatology regarding transitional care</w:t>
            </w:r>
          </w:p>
        </w:tc>
        <w:tc>
          <w:tcPr>
            <w:tcW w:w="3686" w:type="dxa"/>
          </w:tcPr>
          <w:p w14:paraId="370B6B4E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10.1080/14397595.2017.1285846</w:t>
            </w:r>
          </w:p>
        </w:tc>
        <w:tc>
          <w:tcPr>
            <w:tcW w:w="1984" w:type="dxa"/>
          </w:tcPr>
          <w:p w14:paraId="4C20549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48596044" w14:textId="77777777" w:rsidTr="009F6D8B">
        <w:tc>
          <w:tcPr>
            <w:tcW w:w="3397" w:type="dxa"/>
          </w:tcPr>
          <w:p w14:paraId="6CDC9A45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Patient and parent perspectives on transition from paediatric to adult healthcare in rheumatic diseases: an interview study</w:t>
            </w:r>
          </w:p>
        </w:tc>
        <w:tc>
          <w:tcPr>
            <w:tcW w:w="3686" w:type="dxa"/>
          </w:tcPr>
          <w:p w14:paraId="661749B7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10.1136/bmjopen-2020-039670</w:t>
            </w:r>
          </w:p>
        </w:tc>
        <w:tc>
          <w:tcPr>
            <w:tcW w:w="1984" w:type="dxa"/>
          </w:tcPr>
          <w:p w14:paraId="2673ED0A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475D03D1" w14:textId="77777777" w:rsidTr="009F6D8B">
        <w:tc>
          <w:tcPr>
            <w:tcW w:w="3397" w:type="dxa"/>
          </w:tcPr>
          <w:p w14:paraId="27CEDD0F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The readiness of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rheumatology patients and their parents to transition to adult-oriented treatment</w:t>
            </w:r>
          </w:p>
        </w:tc>
        <w:tc>
          <w:tcPr>
            <w:tcW w:w="3686" w:type="dxa"/>
          </w:tcPr>
          <w:p w14:paraId="46033F7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10.1111/1756-185X.14050</w:t>
            </w:r>
          </w:p>
        </w:tc>
        <w:tc>
          <w:tcPr>
            <w:tcW w:w="1984" w:type="dxa"/>
          </w:tcPr>
          <w:p w14:paraId="05A5DEB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4</w:t>
            </w:r>
          </w:p>
        </w:tc>
      </w:tr>
      <w:tr w:rsidR="00200C38" w14:paraId="39C4B9BA" w14:textId="77777777" w:rsidTr="009F6D8B">
        <w:tc>
          <w:tcPr>
            <w:tcW w:w="3397" w:type="dxa"/>
          </w:tcPr>
          <w:p w14:paraId="566848C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Recommendations for the management of autoinflammatory diseases</w:t>
            </w:r>
          </w:p>
        </w:tc>
        <w:tc>
          <w:tcPr>
            <w:tcW w:w="3686" w:type="dxa"/>
          </w:tcPr>
          <w:p w14:paraId="79BC2087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10.1136/annrheumdis-2015-207546</w:t>
            </w:r>
          </w:p>
        </w:tc>
        <w:tc>
          <w:tcPr>
            <w:tcW w:w="1984" w:type="dxa"/>
          </w:tcPr>
          <w:p w14:paraId="4138C405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  <w:tr w:rsidR="00200C38" w14:paraId="5E9F04B3" w14:textId="77777777" w:rsidTr="009F6D8B">
        <w:tc>
          <w:tcPr>
            <w:tcW w:w="3397" w:type="dxa"/>
          </w:tcPr>
          <w:p w14:paraId="4B15DA1A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 xml:space="preserve">Current Research in Outcome Measures for </w:t>
            </w:r>
            <w:proofErr w:type="spellStart"/>
            <w:r w:rsidRPr="00483D14">
              <w:rPr>
                <w:rFonts w:ascii="Times" w:hAnsi="Times"/>
                <w:sz w:val="20"/>
                <w:szCs w:val="20"/>
              </w:rPr>
              <w:t>Pediatric</w:t>
            </w:r>
            <w:proofErr w:type="spellEnd"/>
            <w:r w:rsidRPr="00483D14">
              <w:rPr>
                <w:rFonts w:ascii="Times" w:hAnsi="Times"/>
                <w:sz w:val="20"/>
                <w:szCs w:val="20"/>
              </w:rPr>
              <w:t xml:space="preserve"> Rheumatic and Autoinflammatory Diseases</w:t>
            </w:r>
          </w:p>
        </w:tc>
        <w:tc>
          <w:tcPr>
            <w:tcW w:w="3686" w:type="dxa"/>
          </w:tcPr>
          <w:p w14:paraId="205D06DE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10.1007/s11926-015-0558-4</w:t>
            </w:r>
          </w:p>
        </w:tc>
        <w:tc>
          <w:tcPr>
            <w:tcW w:w="1984" w:type="dxa"/>
          </w:tcPr>
          <w:p w14:paraId="2BDD29F2" w14:textId="77777777" w:rsidR="00200C38" w:rsidRPr="00483D14" w:rsidRDefault="00200C38" w:rsidP="009F6D8B">
            <w:pPr>
              <w:rPr>
                <w:rFonts w:ascii="Times" w:hAnsi="Times"/>
                <w:sz w:val="20"/>
                <w:szCs w:val="20"/>
              </w:rPr>
            </w:pPr>
            <w:r w:rsidRPr="00483D14">
              <w:rPr>
                <w:rFonts w:ascii="Times" w:hAnsi="Times"/>
                <w:sz w:val="20"/>
                <w:szCs w:val="20"/>
              </w:rPr>
              <w:t>5</w:t>
            </w:r>
          </w:p>
        </w:tc>
      </w:tr>
    </w:tbl>
    <w:p w14:paraId="1584346D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0BDBF492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104236A5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573714DB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7728093F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55F7A11C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17EC8651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67E98E6A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0609732B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3393F95C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4ED215DD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6C9D9826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74E2D3FA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3CEB067F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1F650689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01B88BCB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1FD78BF1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2B2061F0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145A0650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5CB0E189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08C920A3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26F5B4DB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3B27EC68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05A52A20" w14:textId="77777777" w:rsidR="00200C38" w:rsidRDefault="00200C38" w:rsidP="00200C38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040571E7" w14:textId="77777777" w:rsidR="00C52571" w:rsidRDefault="00C52571"/>
    <w:sectPr w:rsidR="00C52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38"/>
    <w:rsid w:val="00200C38"/>
    <w:rsid w:val="0027441C"/>
    <w:rsid w:val="00281C83"/>
    <w:rsid w:val="008245E6"/>
    <w:rsid w:val="00C52571"/>
    <w:rsid w:val="00C5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051A5C"/>
  <w15:chartTrackingRefBased/>
  <w15:docId w15:val="{FAE509D3-0ABC-C846-8AAE-4CB6DFAB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0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2878</Characters>
  <Application>Microsoft Office Word</Application>
  <DocSecurity>0</DocSecurity>
  <Lines>66</Lines>
  <Paragraphs>13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ISRANI, Muskan (ROYAL FREE LONDON NHS FOUNDATION TRUST)</dc:creator>
  <cp:keywords/>
  <dc:description/>
  <cp:lastModifiedBy>ISRANI, Muskan (ROYAL FREE LONDON NHS FOUNDATION TRUST)</cp:lastModifiedBy>
  <cp:revision>2</cp:revision>
  <dcterms:created xsi:type="dcterms:W3CDTF">2024-11-22T17:28:00Z</dcterms:created>
  <dcterms:modified xsi:type="dcterms:W3CDTF">2024-11-22T17:28:00Z</dcterms:modified>
</cp:coreProperties>
</file>