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642AC" w14:textId="77777777" w:rsidR="00813626" w:rsidRPr="001B0FDF" w:rsidRDefault="00813626" w:rsidP="00813626">
      <w:pPr>
        <w:jc w:val="both"/>
        <w:rPr>
          <w:rFonts w:ascii="Times" w:eastAsia="Times New Roman" w:hAnsi="Times" w:cstheme="minorHAnsi"/>
          <w:sz w:val="20"/>
          <w:szCs w:val="20"/>
          <w:u w:val="single"/>
          <w:lang w:eastAsia="en-GB"/>
        </w:rPr>
      </w:pPr>
      <w:r w:rsidRPr="001B0FDF"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 xml:space="preserve">Supplementary </w:t>
      </w:r>
      <w:r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>T</w:t>
      </w:r>
      <w:r w:rsidRPr="001B0FDF"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 xml:space="preserve">able </w:t>
      </w:r>
      <w:r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>2</w:t>
      </w:r>
      <w:r w:rsidRPr="001B0FDF"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 xml:space="preserve">. </w:t>
      </w:r>
      <w:r w:rsidRPr="001B0FDF">
        <w:rPr>
          <w:rFonts w:ascii="Times" w:eastAsia="Times New Roman" w:hAnsi="Times" w:cstheme="minorHAnsi"/>
          <w:color w:val="212121"/>
          <w:sz w:val="20"/>
          <w:szCs w:val="20"/>
          <w:shd w:val="clear" w:color="auto" w:fill="FFFFFF"/>
          <w:lang w:eastAsia="en-GB"/>
        </w:rPr>
        <w:t>Proposed statements that did not achieve consensu</w:t>
      </w:r>
      <w:r w:rsidRPr="002301C8">
        <w:rPr>
          <w:rFonts w:ascii="Times" w:eastAsia="Times New Roman" w:hAnsi="Times" w:cstheme="minorHAnsi"/>
          <w:color w:val="212121"/>
          <w:sz w:val="20"/>
          <w:szCs w:val="20"/>
          <w:shd w:val="clear" w:color="auto" w:fill="FFFFFF"/>
          <w:lang w:eastAsia="en-GB"/>
        </w:rPr>
        <w:t>s</w:t>
      </w:r>
      <w:r>
        <w:rPr>
          <w:rFonts w:ascii="Times" w:eastAsia="Times New Roman" w:hAnsi="Times" w:cstheme="minorHAnsi"/>
          <w:color w:val="000000"/>
          <w:sz w:val="20"/>
          <w:szCs w:val="20"/>
          <w:lang w:eastAsia="en-GB"/>
        </w:rPr>
        <w:t xml:space="preserve">. </w:t>
      </w:r>
    </w:p>
    <w:p w14:paraId="7FA8827E" w14:textId="77777777" w:rsidR="00813626" w:rsidRPr="001B0FDF" w:rsidRDefault="00813626" w:rsidP="00813626">
      <w:pPr>
        <w:rPr>
          <w:rFonts w:ascii="Times" w:eastAsia="Times New Roman" w:hAnsi="Times" w:cstheme="minorHAnsi"/>
          <w:sz w:val="20"/>
          <w:szCs w:val="20"/>
          <w:lang w:eastAsia="en-GB"/>
        </w:rPr>
      </w:pP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6"/>
        <w:gridCol w:w="2070"/>
      </w:tblGrid>
      <w:tr w:rsidR="00813626" w:rsidRPr="001B0FDF" w14:paraId="0AA676D2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31CF2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b/>
                <w:bCs/>
                <w:color w:val="212121"/>
                <w:sz w:val="20"/>
                <w:szCs w:val="20"/>
                <w:shd w:val="clear" w:color="auto" w:fill="FFFFFF"/>
                <w:lang w:eastAsia="en-GB"/>
              </w:rPr>
              <w:t>Proposed statements that did not achieve consensus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A75CF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b/>
                <w:bCs/>
                <w:color w:val="212121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b/>
                <w:bCs/>
                <w:color w:val="000000"/>
                <w:sz w:val="20"/>
                <w:szCs w:val="20"/>
                <w:lang w:eastAsia="en-GB"/>
              </w:rPr>
              <w:t>Level of agreement</w:t>
            </w:r>
          </w:p>
        </w:tc>
      </w:tr>
      <w:tr w:rsidR="00813626" w:rsidRPr="001B0FDF" w14:paraId="11522971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09FE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3A1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 xml:space="preserve">The process of transition should ideally start when patients are between 12 and 14 years </w:t>
            </w:r>
            <w:proofErr w:type="gramStart"/>
            <w:r w:rsidRPr="00673A1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old.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*</w:t>
            </w:r>
            <w:proofErr w:type="gramEnd"/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1157C" w14:textId="77777777" w:rsidR="00813626" w:rsidRPr="00673A19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57%</w:t>
            </w:r>
          </w:p>
        </w:tc>
      </w:tr>
      <w:tr w:rsidR="00813626" w:rsidRPr="001B0FDF" w14:paraId="69F0B82D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7D0A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10786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 xml:space="preserve">Young patients should have a period of simultaneous follow-up by the paediatric and adult clinics prior to </w:t>
            </w:r>
            <w:proofErr w:type="gramStart"/>
            <w:r w:rsidRPr="0010786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transfer.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*</w:t>
            </w:r>
            <w:proofErr w:type="gramEnd"/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5A9D2" w14:textId="77777777" w:rsidR="00813626" w:rsidRPr="00107869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71%</w:t>
            </w:r>
          </w:p>
        </w:tc>
      </w:tr>
      <w:tr w:rsidR="00813626" w:rsidRPr="001B0FDF" w14:paraId="2151FA16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CD9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Where possible, young patients should have a period of joint follow-up by the paediatric and adult clinics in the year following transfer when necessary.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07D42" w14:textId="77777777" w:rsidR="00813626" w:rsidRPr="001B0FDF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75%</w:t>
            </w:r>
          </w:p>
        </w:tc>
      </w:tr>
      <w:tr w:rsidR="00813626" w:rsidRPr="001B0FDF" w14:paraId="44673CA1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3DECE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3A1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Young patients without a diagnosis should not leave the paediatric service without a diagnostic and management re-</w:t>
            </w:r>
            <w:proofErr w:type="gramStart"/>
            <w:r w:rsidRPr="00673A1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evaluation.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*</w:t>
            </w:r>
            <w:proofErr w:type="gramEnd"/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76340" w14:textId="77777777" w:rsidR="00813626" w:rsidRPr="00673A19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70%</w:t>
            </w:r>
          </w:p>
        </w:tc>
      </w:tr>
      <w:tr w:rsidR="00813626" w:rsidRPr="001B0FDF" w14:paraId="5B938672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DD709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3A19">
              <w:rPr>
                <w:rFonts w:ascii="Times" w:hAnsi="Times" w:cs="Calibri"/>
                <w:color w:val="000000"/>
                <w:sz w:val="20"/>
                <w:szCs w:val="20"/>
              </w:rPr>
              <w:t xml:space="preserve">Young patients should have the opportunity for a (virtual) walk-through of the adult service to build familiarity with the site and its staff prior to </w:t>
            </w:r>
            <w:proofErr w:type="gramStart"/>
            <w:r w:rsidRPr="00673A19">
              <w:rPr>
                <w:rFonts w:ascii="Times" w:hAnsi="Times" w:cs="Calibri"/>
                <w:color w:val="000000"/>
                <w:sz w:val="20"/>
                <w:szCs w:val="20"/>
              </w:rPr>
              <w:t>transfer.</w:t>
            </w:r>
            <w:r>
              <w:rPr>
                <w:rFonts w:ascii="Times" w:hAnsi="Times" w:cs="Calibri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F595A" w14:textId="77777777" w:rsidR="00813626" w:rsidRPr="00673A19" w:rsidRDefault="00813626" w:rsidP="009F6D8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>
              <w:rPr>
                <w:rFonts w:ascii="Times" w:hAnsi="Times" w:cs="Calibri"/>
                <w:color w:val="000000"/>
                <w:sz w:val="20"/>
                <w:szCs w:val="20"/>
              </w:rPr>
              <w:t>78%</w:t>
            </w:r>
          </w:p>
        </w:tc>
      </w:tr>
      <w:tr w:rsidR="00813626" w:rsidRPr="001B0FDF" w14:paraId="1AAF42DC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99875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Where possible, and in line with local legal frameworks, digital tools should be incorporated for smooth transition: </w:t>
            </w:r>
          </w:p>
          <w:p w14:paraId="307AA090" w14:textId="77777777" w:rsidR="00813626" w:rsidRPr="001B0FDF" w:rsidRDefault="00813626" w:rsidP="009F6D8B">
            <w:pPr>
              <w:pStyle w:val="ListParagraph"/>
              <w:numPr>
                <w:ilvl w:val="0"/>
                <w:numId w:val="1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Develop smartphone or computer apps for patients to use as an ‘Electronic Health Record’ of disease activity, complications, hospitalisations, treatments, and adherence.</w:t>
            </w:r>
          </w:p>
          <w:p w14:paraId="6B6E88E7" w14:textId="77777777" w:rsidR="00813626" w:rsidRPr="001B0FDF" w:rsidRDefault="00813626" w:rsidP="009F6D8B">
            <w:pPr>
              <w:pStyle w:val="ListParagraph"/>
              <w:numPr>
                <w:ilvl w:val="0"/>
                <w:numId w:val="1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Use text messages or emails to communicate with young patients - as opposed to postal mail.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708E5" w14:textId="77777777" w:rsidR="00813626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796D0025" w14:textId="77777777" w:rsidR="00813626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65AB8C2B" w14:textId="77777777" w:rsidR="00813626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72%</w:t>
            </w:r>
          </w:p>
          <w:p w14:paraId="012D29DD" w14:textId="77777777" w:rsidR="00813626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3CABA767" w14:textId="77777777" w:rsidR="00813626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2041E307" w14:textId="77777777" w:rsidR="00813626" w:rsidRPr="001B0FDF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77%</w:t>
            </w:r>
          </w:p>
        </w:tc>
      </w:tr>
      <w:tr w:rsidR="00813626" w:rsidRPr="001B0FDF" w14:paraId="51BB6AA0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4B80E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The transition process should offer young patients the opportunity to interact with other patients of the same </w:t>
            </w:r>
            <w:proofErr w:type="gramStart"/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age(</w:t>
            </w:r>
            <w:proofErr w:type="gramEnd"/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/peers with the same disease) by: </w:t>
            </w:r>
          </w:p>
          <w:p w14:paraId="5A35CB86" w14:textId="77777777" w:rsidR="00813626" w:rsidRPr="001B0FDF" w:rsidRDefault="00813626" w:rsidP="009F6D8B">
            <w:pPr>
              <w:pStyle w:val="ListParagraph"/>
              <w:numPr>
                <w:ilvl w:val="0"/>
                <w:numId w:val="2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Holding special clinics for young people (Young adult clinics)</w:t>
            </w:r>
          </w:p>
          <w:p w14:paraId="5CCDB6BC" w14:textId="77777777" w:rsidR="00813626" w:rsidRPr="001B0FDF" w:rsidRDefault="00813626" w:rsidP="009F6D8B">
            <w:pPr>
              <w:pStyle w:val="ListParagraph"/>
              <w:numPr>
                <w:ilvl w:val="0"/>
                <w:numId w:val="2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Occasionally organising social activities that introduce patients of the same age to each other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2914" w14:textId="77777777" w:rsidR="00813626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177CDBDB" w14:textId="77777777" w:rsidR="00813626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2C0B1024" w14:textId="77777777" w:rsidR="00813626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70%</w:t>
            </w:r>
          </w:p>
          <w:p w14:paraId="3F76F5AB" w14:textId="77777777" w:rsidR="00813626" w:rsidRPr="001B0FDF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71%</w:t>
            </w:r>
          </w:p>
        </w:tc>
      </w:tr>
      <w:tr w:rsidR="00813626" w:rsidRPr="001B0FDF" w14:paraId="78AC8633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65D3C" w14:textId="2470B431" w:rsidR="00813626" w:rsidRPr="001B0FDF" w:rsidRDefault="00813626" w:rsidP="009F6D8B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Young adult patients, their family, and multidisciplinary clinicians should collaboratively develop a personalised transition plan that is informed by assessments of transition readiness (using transition tools such as the TRAQ, Good2Go etc.</w:t>
            </w:r>
            <w: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 xml:space="preserve"> [</w:t>
            </w:r>
            <w:r w:rsidR="00E847EE"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53</w:t>
            </w:r>
            <w: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,</w:t>
            </w:r>
            <w:r w:rsidR="00E847EE"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54</w:t>
            </w:r>
            <w: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]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389DC" w14:textId="77777777" w:rsidR="00813626" w:rsidRPr="001B0FDF" w:rsidRDefault="00813626" w:rsidP="009F6D8B">
            <w:pPr>
              <w:jc w:val="center"/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70%</w:t>
            </w:r>
          </w:p>
        </w:tc>
      </w:tr>
      <w:tr w:rsidR="00813626" w:rsidRPr="001B0FDF" w14:paraId="7461FFA2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4519" w14:textId="77777777" w:rsidR="00813626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3D37C2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During the transition process, routine assessments should be performed using standardised measures (where available) of:</w:t>
            </w:r>
          </w:p>
          <w:p w14:paraId="18587938" w14:textId="78AB4209" w:rsidR="00813626" w:rsidRPr="003D37C2" w:rsidRDefault="00813626" w:rsidP="009F6D8B">
            <w:pPr>
              <w:pStyle w:val="ListParagraph"/>
              <w:numPr>
                <w:ilvl w:val="0"/>
                <w:numId w:val="3"/>
              </w:num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3D37C2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Transition readiness (using measures like TRAQ, Good2Go etc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D37C2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[</w:t>
            </w:r>
            <w:r w:rsidR="00F72637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53</w:t>
            </w:r>
            <w:r w:rsidRPr="003D37C2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,</w:t>
            </w:r>
            <w:r w:rsidR="00F72637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54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]</w:t>
            </w:r>
          </w:p>
          <w:p w14:paraId="152F2879" w14:textId="77777777" w:rsidR="00813626" w:rsidRDefault="00813626" w:rsidP="009F6D8B">
            <w:pPr>
              <w:pStyle w:val="ListParagraph"/>
              <w:numPr>
                <w:ilvl w:val="0"/>
                <w:numId w:val="3"/>
              </w:num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  <w:t>Service satisfaction</w:t>
            </w:r>
          </w:p>
          <w:p w14:paraId="4D30563D" w14:textId="6E36B1E2" w:rsidR="00813626" w:rsidRPr="001B0FDF" w:rsidRDefault="00813626" w:rsidP="009F6D8B">
            <w:pPr>
              <w:pStyle w:val="ListParagraph"/>
              <w:numPr>
                <w:ilvl w:val="0"/>
                <w:numId w:val="3"/>
              </w:num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  <w:t>Educational/Vocational support needs (using measures like the Work and Social Adjustment Scale – Youth version and Work and Social Adjustment Scale – Parent version [</w:t>
            </w:r>
            <w:r w:rsidR="00E847EE"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  <w:t>55</w:t>
            </w:r>
            <w:r w:rsidRPr="001B0FDF"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94969" w14:textId="77777777" w:rsidR="00813626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</w:p>
          <w:p w14:paraId="2C322686" w14:textId="77777777" w:rsidR="00813626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</w:p>
          <w:p w14:paraId="1AFCB34E" w14:textId="77777777" w:rsidR="00813626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65%</w:t>
            </w:r>
          </w:p>
          <w:p w14:paraId="6B777BE5" w14:textId="77777777" w:rsidR="00813626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75%</w:t>
            </w:r>
          </w:p>
          <w:p w14:paraId="61D8E1BF" w14:textId="77777777" w:rsidR="00813626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71%</w:t>
            </w:r>
          </w:p>
          <w:p w14:paraId="58594968" w14:textId="77777777" w:rsidR="00813626" w:rsidRPr="003D37C2" w:rsidRDefault="00813626" w:rsidP="009F6D8B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3626" w:rsidRPr="001B0FDF" w14:paraId="1B152876" w14:textId="77777777" w:rsidTr="009F6D8B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8D66C" w14:textId="77777777" w:rsidR="00813626" w:rsidRPr="001B0FDF" w:rsidRDefault="00813626" w:rsidP="009F6D8B">
            <w:pP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Patients should be advised to review private health care in countries where this is required to access adult care.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6CEB7" w14:textId="77777777" w:rsidR="00813626" w:rsidRPr="001B0FDF" w:rsidRDefault="00813626" w:rsidP="009F6D8B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78%</w:t>
            </w:r>
          </w:p>
        </w:tc>
      </w:tr>
    </w:tbl>
    <w:p w14:paraId="15BDF297" w14:textId="77777777" w:rsidR="00813626" w:rsidRDefault="00813626" w:rsidP="00813626">
      <w:pPr>
        <w:rPr>
          <w:rFonts w:ascii="Times" w:hAnsi="Times"/>
          <w:sz w:val="20"/>
          <w:szCs w:val="20"/>
        </w:rPr>
      </w:pPr>
    </w:p>
    <w:p w14:paraId="3310356A" w14:textId="77777777" w:rsidR="00813626" w:rsidRPr="006133DC" w:rsidRDefault="00813626" w:rsidP="00813626">
      <w:pPr>
        <w:rPr>
          <w:rFonts w:ascii="Times" w:hAnsi="Times"/>
          <w:sz w:val="20"/>
          <w:szCs w:val="20"/>
        </w:rPr>
      </w:pPr>
      <w:r w:rsidRPr="006133DC">
        <w:rPr>
          <w:rFonts w:ascii="Times" w:hAnsi="Times"/>
          <w:sz w:val="20"/>
          <w:szCs w:val="20"/>
        </w:rPr>
        <w:t>*</w:t>
      </w:r>
      <w:r>
        <w:rPr>
          <w:rFonts w:ascii="Times" w:hAnsi="Times"/>
          <w:sz w:val="20"/>
          <w:szCs w:val="20"/>
        </w:rPr>
        <w:t xml:space="preserve"> </w:t>
      </w:r>
      <w:r w:rsidRPr="006133DC">
        <w:rPr>
          <w:rFonts w:ascii="Times" w:hAnsi="Times"/>
          <w:sz w:val="20"/>
          <w:szCs w:val="20"/>
        </w:rPr>
        <w:t xml:space="preserve">Statements </w:t>
      </w:r>
      <w:r>
        <w:rPr>
          <w:rFonts w:ascii="Times" w:hAnsi="Times"/>
          <w:sz w:val="20"/>
          <w:szCs w:val="20"/>
        </w:rPr>
        <w:t>that achieved consensus following revision in Round Three of the Delphi process</w:t>
      </w:r>
    </w:p>
    <w:p w14:paraId="0FDE03F2" w14:textId="77777777" w:rsidR="00813626" w:rsidRDefault="00813626" w:rsidP="00813626">
      <w:pPr>
        <w:rPr>
          <w:rFonts w:ascii="Times" w:hAnsi="Times"/>
          <w:sz w:val="20"/>
          <w:szCs w:val="20"/>
        </w:rPr>
      </w:pPr>
    </w:p>
    <w:p w14:paraId="0FB2133F" w14:textId="77777777" w:rsidR="00C52571" w:rsidRDefault="00C52571"/>
    <w:sectPr w:rsidR="00C52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93795"/>
    <w:multiLevelType w:val="hybridMultilevel"/>
    <w:tmpl w:val="1E26E9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41D9C"/>
    <w:multiLevelType w:val="hybridMultilevel"/>
    <w:tmpl w:val="C66EF866"/>
    <w:lvl w:ilvl="0" w:tplc="B5F29A6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779B8"/>
    <w:multiLevelType w:val="hybridMultilevel"/>
    <w:tmpl w:val="AF7CB2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26"/>
    <w:rsid w:val="00281C83"/>
    <w:rsid w:val="00813626"/>
    <w:rsid w:val="009440BF"/>
    <w:rsid w:val="00C52571"/>
    <w:rsid w:val="00C54620"/>
    <w:rsid w:val="00E847EE"/>
    <w:rsid w:val="00F7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9BE72"/>
  <w15:chartTrackingRefBased/>
  <w15:docId w15:val="{2BE34718-7A3D-5D49-BF04-E6A10451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2055</Characters>
  <Application>Microsoft Office Word</Application>
  <DocSecurity>0</DocSecurity>
  <Lines>47</Lines>
  <Paragraphs>9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ISRANI, Muskan (ROYAL FREE LONDON NHS FOUNDATION TRUST)</dc:creator>
  <cp:keywords/>
  <dc:description/>
  <cp:lastModifiedBy>ISRANI, Muskan (ROYAL FREE LONDON NHS FOUNDATION TRUST)</cp:lastModifiedBy>
  <cp:revision>2</cp:revision>
  <dcterms:created xsi:type="dcterms:W3CDTF">2024-11-22T17:01:00Z</dcterms:created>
  <dcterms:modified xsi:type="dcterms:W3CDTF">2024-11-22T17:01:00Z</dcterms:modified>
</cp:coreProperties>
</file>