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E252" w14:textId="77777777" w:rsidR="00564F2D" w:rsidRPr="00C37FA8" w:rsidRDefault="00564F2D" w:rsidP="00546C8C">
      <w:pPr>
        <w:jc w:val="center"/>
        <w:rPr>
          <w:rFonts w:ascii="Times New Roman" w:hAnsi="Times New Roman" w:cs="Times New Roman"/>
          <w:b/>
          <w:bCs/>
        </w:rPr>
      </w:pPr>
      <w:r w:rsidRPr="00C37FA8">
        <w:rPr>
          <w:rFonts w:ascii="Times New Roman" w:hAnsi="Times New Roman" w:cs="Times New Roman"/>
          <w:b/>
          <w:bCs/>
        </w:rPr>
        <w:t>Supplementa</w:t>
      </w:r>
      <w:r w:rsidR="00E618E8" w:rsidRPr="00C37FA8">
        <w:rPr>
          <w:rFonts w:ascii="Times New Roman" w:hAnsi="Times New Roman" w:cs="Times New Roman"/>
          <w:b/>
          <w:bCs/>
        </w:rPr>
        <w:t>r</w:t>
      </w:r>
      <w:r w:rsidRPr="00C37FA8">
        <w:rPr>
          <w:rFonts w:ascii="Times New Roman" w:hAnsi="Times New Roman" w:cs="Times New Roman"/>
          <w:b/>
          <w:bCs/>
        </w:rPr>
        <w:t>y materials</w:t>
      </w:r>
    </w:p>
    <w:p w14:paraId="64184784" w14:textId="77777777" w:rsidR="00E64769" w:rsidRPr="00C37FA8" w:rsidRDefault="00E64769" w:rsidP="00546C8C">
      <w:pPr>
        <w:jc w:val="center"/>
        <w:rPr>
          <w:rFonts w:ascii="Times New Roman" w:hAnsi="Times New Roman" w:cs="Times New Roman"/>
          <w:b/>
          <w:bCs/>
          <w:sz w:val="22"/>
          <w:szCs w:val="22"/>
        </w:rPr>
      </w:pPr>
      <w:r w:rsidRPr="00C37FA8">
        <w:rPr>
          <w:rFonts w:ascii="Times New Roman" w:hAnsi="Times New Roman" w:cs="Times New Roman"/>
          <w:b/>
          <w:bCs/>
          <w:sz w:val="22"/>
          <w:szCs w:val="22"/>
        </w:rPr>
        <w:t>Neurological phenotypes of SOCS1 Haploinsufficiency: insights from functional and histological investigations</w:t>
      </w:r>
    </w:p>
    <w:p w14:paraId="127C8A2B" w14:textId="2642C10B" w:rsidR="00EF285F" w:rsidRPr="00AE29E2" w:rsidRDefault="00EF285F" w:rsidP="00EF285F">
      <w:pPr>
        <w:rPr>
          <w:rFonts w:ascii="Times New Roman" w:hAnsi="Times New Roman" w:cs="Times New Roman"/>
          <w:sz w:val="22"/>
          <w:szCs w:val="22"/>
          <w:lang w:val="it-IT"/>
        </w:rPr>
      </w:pPr>
      <w:r w:rsidRPr="00F7739E">
        <w:rPr>
          <w:rFonts w:ascii="Times New Roman" w:hAnsi="Times New Roman" w:cs="Times New Roman"/>
          <w:sz w:val="22"/>
          <w:szCs w:val="22"/>
          <w:lang w:val="it-IT"/>
        </w:rPr>
        <w:t>Serena Palmeri</w:t>
      </w:r>
      <w:r w:rsidRPr="00F7739E">
        <w:rPr>
          <w:rFonts w:ascii="Times New Roman" w:hAnsi="Times New Roman" w:cs="Times New Roman"/>
          <w:sz w:val="22"/>
          <w:szCs w:val="22"/>
          <w:vertAlign w:val="superscript"/>
          <w:lang w:val="it-IT"/>
        </w:rPr>
        <w:t>1,2</w:t>
      </w:r>
      <w:r w:rsidRPr="00F7739E">
        <w:rPr>
          <w:rFonts w:ascii="Times New Roman" w:hAnsi="Times New Roman" w:cs="Times New Roman"/>
          <w:sz w:val="22"/>
          <w:szCs w:val="22"/>
          <w:lang w:val="it-IT"/>
        </w:rPr>
        <w:t>, Ignazia Prigione</w:t>
      </w:r>
      <w:r w:rsidRPr="00F7739E">
        <w:rPr>
          <w:rFonts w:ascii="Times New Roman" w:hAnsi="Times New Roman" w:cs="Times New Roman"/>
          <w:sz w:val="22"/>
          <w:szCs w:val="22"/>
          <w:vertAlign w:val="superscript"/>
          <w:lang w:val="it-IT"/>
        </w:rPr>
        <w:t>2</w:t>
      </w:r>
      <w:r w:rsidRPr="00F7739E">
        <w:rPr>
          <w:rFonts w:ascii="Times New Roman" w:hAnsi="Times New Roman" w:cs="Times New Roman"/>
          <w:sz w:val="22"/>
          <w:szCs w:val="22"/>
          <w:lang w:val="it-IT"/>
        </w:rPr>
        <w:t>, Francesca Schena</w:t>
      </w:r>
      <w:r w:rsidRPr="00F7739E">
        <w:rPr>
          <w:rFonts w:ascii="Times New Roman" w:hAnsi="Times New Roman" w:cs="Times New Roman"/>
          <w:sz w:val="22"/>
          <w:szCs w:val="22"/>
          <w:vertAlign w:val="superscript"/>
          <w:lang w:val="it-IT"/>
        </w:rPr>
        <w:t>2</w:t>
      </w:r>
      <w:r w:rsidRPr="00F7739E">
        <w:rPr>
          <w:rFonts w:ascii="Times New Roman" w:hAnsi="Times New Roman" w:cs="Times New Roman"/>
          <w:sz w:val="22"/>
          <w:szCs w:val="22"/>
          <w:lang w:val="it-IT"/>
        </w:rPr>
        <w:t xml:space="preserve">, </w:t>
      </w:r>
      <w:r w:rsidRPr="00504731">
        <w:rPr>
          <w:rFonts w:ascii="Times New Roman" w:hAnsi="Times New Roman" w:cs="Times New Roman"/>
          <w:sz w:val="22"/>
          <w:szCs w:val="22"/>
          <w:lang w:val="it-IT"/>
        </w:rPr>
        <w:t>Marie Jeanpierre</w:t>
      </w:r>
      <w:r w:rsidRPr="00504731">
        <w:rPr>
          <w:rFonts w:ascii="Times New Roman" w:hAnsi="Times New Roman" w:cs="Times New Roman"/>
          <w:sz w:val="22"/>
          <w:szCs w:val="22"/>
          <w:vertAlign w:val="superscript"/>
          <w:lang w:val="it-IT"/>
        </w:rPr>
        <w:t>3</w:t>
      </w:r>
      <w:r w:rsidRPr="00504731">
        <w:rPr>
          <w:rFonts w:ascii="Times New Roman" w:hAnsi="Times New Roman" w:cs="Times New Roman"/>
          <w:sz w:val="22"/>
          <w:szCs w:val="22"/>
          <w:lang w:val="it-IT"/>
        </w:rPr>
        <w:t xml:space="preserve">. </w:t>
      </w:r>
      <w:r w:rsidRPr="00F7739E">
        <w:rPr>
          <w:rFonts w:ascii="Times New Roman" w:hAnsi="Times New Roman" w:cs="Times New Roman"/>
          <w:sz w:val="22"/>
          <w:szCs w:val="22"/>
          <w:lang w:val="it-IT"/>
        </w:rPr>
        <w:t>Arinna Bertoni</w:t>
      </w:r>
      <w:bookmarkStart w:id="0" w:name="OLE_LINK1"/>
      <w:r w:rsidRPr="00F7739E">
        <w:rPr>
          <w:rFonts w:ascii="Times New Roman" w:hAnsi="Times New Roman" w:cs="Times New Roman"/>
          <w:sz w:val="22"/>
          <w:szCs w:val="22"/>
          <w:vertAlign w:val="superscript"/>
          <w:lang w:val="it-IT"/>
        </w:rPr>
        <w:t>2</w:t>
      </w:r>
      <w:bookmarkEnd w:id="0"/>
      <w:r w:rsidRPr="00F7739E">
        <w:rPr>
          <w:rFonts w:ascii="Times New Roman" w:hAnsi="Times New Roman" w:cs="Times New Roman"/>
          <w:sz w:val="22"/>
          <w:szCs w:val="22"/>
          <w:lang w:val="it-IT"/>
        </w:rPr>
        <w:t>, Federica Penco</w:t>
      </w:r>
      <w:r w:rsidRPr="00F7739E">
        <w:rPr>
          <w:rFonts w:ascii="Times New Roman" w:hAnsi="Times New Roman" w:cs="Times New Roman"/>
          <w:sz w:val="22"/>
          <w:szCs w:val="22"/>
          <w:vertAlign w:val="superscript"/>
          <w:lang w:val="it-IT"/>
        </w:rPr>
        <w:t>2</w:t>
      </w:r>
      <w:r w:rsidRPr="00F7739E">
        <w:rPr>
          <w:rFonts w:ascii="Times New Roman" w:hAnsi="Times New Roman" w:cs="Times New Roman"/>
          <w:sz w:val="22"/>
          <w:szCs w:val="22"/>
          <w:lang w:val="it-IT"/>
        </w:rPr>
        <w:t>, Paola Bocca</w:t>
      </w:r>
      <w:r w:rsidRPr="00F7739E">
        <w:rPr>
          <w:rFonts w:ascii="Times New Roman" w:hAnsi="Times New Roman" w:cs="Times New Roman"/>
          <w:sz w:val="22"/>
          <w:szCs w:val="22"/>
          <w:vertAlign w:val="superscript"/>
          <w:lang w:val="it-IT"/>
        </w:rPr>
        <w:t>2</w:t>
      </w:r>
      <w:r w:rsidRPr="00F7739E">
        <w:rPr>
          <w:rFonts w:ascii="Times New Roman" w:hAnsi="Times New Roman" w:cs="Times New Roman"/>
          <w:sz w:val="22"/>
          <w:szCs w:val="22"/>
          <w:lang w:val="it-IT"/>
        </w:rPr>
        <w:t xml:space="preserve">, </w:t>
      </w:r>
      <w:r w:rsidRPr="00504731">
        <w:rPr>
          <w:rFonts w:ascii="Times New Roman" w:hAnsi="Times New Roman" w:cs="Times New Roman"/>
          <w:sz w:val="22"/>
          <w:szCs w:val="22"/>
          <w:lang w:val="it-IT"/>
        </w:rPr>
        <w:t>Genny Del Zotto</w:t>
      </w:r>
      <w:r w:rsidRPr="00504731">
        <w:rPr>
          <w:rFonts w:ascii="Times New Roman" w:hAnsi="Times New Roman" w:cs="Times New Roman"/>
          <w:sz w:val="22"/>
          <w:szCs w:val="22"/>
          <w:vertAlign w:val="superscript"/>
          <w:lang w:val="it-IT"/>
        </w:rPr>
        <w:t>4</w:t>
      </w:r>
      <w:r w:rsidRPr="00504731">
        <w:rPr>
          <w:rFonts w:ascii="Times New Roman" w:hAnsi="Times New Roman" w:cs="Times New Roman"/>
          <w:sz w:val="22"/>
          <w:szCs w:val="22"/>
          <w:lang w:val="it-IT"/>
        </w:rPr>
        <w:t xml:space="preserve">, </w:t>
      </w:r>
      <w:r w:rsidRPr="00F7739E">
        <w:rPr>
          <w:rFonts w:ascii="Times New Roman" w:hAnsi="Times New Roman" w:cs="Times New Roman"/>
          <w:sz w:val="22"/>
          <w:szCs w:val="22"/>
          <w:lang w:val="it-IT"/>
        </w:rPr>
        <w:t>Sara Massucco</w:t>
      </w:r>
      <w:r w:rsidRPr="00F7739E">
        <w:rPr>
          <w:rFonts w:ascii="Times New Roman" w:hAnsi="Times New Roman" w:cs="Times New Roman"/>
          <w:sz w:val="22"/>
          <w:szCs w:val="22"/>
          <w:vertAlign w:val="superscript"/>
          <w:lang w:val="it-IT"/>
        </w:rPr>
        <w:t>1</w:t>
      </w:r>
      <w:r w:rsidRPr="00F7739E">
        <w:rPr>
          <w:rFonts w:ascii="Times New Roman" w:hAnsi="Times New Roman" w:cs="Times New Roman"/>
          <w:sz w:val="22"/>
          <w:szCs w:val="22"/>
          <w:lang w:val="it-IT"/>
        </w:rPr>
        <w:t>, Consuelo Venturi</w:t>
      </w:r>
      <w:r w:rsidRPr="00504731">
        <w:rPr>
          <w:rFonts w:ascii="Times New Roman" w:hAnsi="Times New Roman" w:cs="Times New Roman"/>
          <w:sz w:val="22"/>
          <w:szCs w:val="22"/>
          <w:vertAlign w:val="superscript"/>
          <w:lang w:val="it-IT"/>
        </w:rPr>
        <w:t>5</w:t>
      </w:r>
      <w:r w:rsidRPr="00F7739E">
        <w:rPr>
          <w:rFonts w:ascii="Times New Roman" w:hAnsi="Times New Roman" w:cs="Times New Roman"/>
          <w:sz w:val="22"/>
          <w:szCs w:val="22"/>
          <w:lang w:val="it-IT"/>
        </w:rPr>
        <w:t>, Angelo Schenone</w:t>
      </w:r>
      <w:r w:rsidRPr="00F7739E">
        <w:rPr>
          <w:rFonts w:ascii="Times New Roman" w:hAnsi="Times New Roman" w:cs="Times New Roman"/>
          <w:sz w:val="22"/>
          <w:szCs w:val="22"/>
          <w:vertAlign w:val="superscript"/>
          <w:lang w:val="it-IT"/>
        </w:rPr>
        <w:t>1,</w:t>
      </w:r>
      <w:r w:rsidRPr="00504731">
        <w:rPr>
          <w:rFonts w:ascii="Times New Roman" w:hAnsi="Times New Roman" w:cs="Times New Roman"/>
          <w:sz w:val="22"/>
          <w:szCs w:val="22"/>
          <w:vertAlign w:val="superscript"/>
          <w:lang w:val="it-IT"/>
        </w:rPr>
        <w:t>6</w:t>
      </w:r>
      <w:r w:rsidRPr="00F7739E">
        <w:rPr>
          <w:rFonts w:ascii="Times New Roman" w:hAnsi="Times New Roman" w:cs="Times New Roman"/>
          <w:sz w:val="22"/>
          <w:szCs w:val="22"/>
          <w:lang w:val="it-IT"/>
        </w:rPr>
        <w:t>, Gino Tripodi</w:t>
      </w:r>
      <w:r w:rsidRPr="00504731">
        <w:rPr>
          <w:rFonts w:ascii="Times New Roman" w:hAnsi="Times New Roman" w:cs="Times New Roman"/>
          <w:sz w:val="22"/>
          <w:szCs w:val="22"/>
          <w:vertAlign w:val="superscript"/>
          <w:lang w:val="it-IT"/>
        </w:rPr>
        <w:t>7</w:t>
      </w:r>
      <w:r w:rsidRPr="00F7739E">
        <w:rPr>
          <w:rFonts w:ascii="Times New Roman" w:hAnsi="Times New Roman" w:cs="Times New Roman"/>
          <w:sz w:val="22"/>
          <w:szCs w:val="22"/>
          <w:lang w:val="it-IT"/>
        </w:rPr>
        <w:t xml:space="preserve">, </w:t>
      </w:r>
      <w:r w:rsidRPr="00504731">
        <w:rPr>
          <w:rFonts w:ascii="Times New Roman" w:hAnsi="Times New Roman" w:cs="Times New Roman"/>
          <w:sz w:val="22"/>
          <w:szCs w:val="22"/>
          <w:lang w:val="it-IT"/>
        </w:rPr>
        <w:t>Giada Recchi</w:t>
      </w:r>
      <w:r w:rsidRPr="00504731">
        <w:rPr>
          <w:rFonts w:ascii="Times New Roman" w:hAnsi="Times New Roman" w:cs="Times New Roman"/>
          <w:sz w:val="22"/>
          <w:szCs w:val="22"/>
          <w:vertAlign w:val="superscript"/>
          <w:lang w:val="it-IT"/>
        </w:rPr>
        <w:t>2</w:t>
      </w:r>
      <w:r w:rsidRPr="00504731">
        <w:rPr>
          <w:rFonts w:ascii="Times New Roman" w:hAnsi="Times New Roman" w:cs="Times New Roman"/>
          <w:sz w:val="22"/>
          <w:szCs w:val="22"/>
          <w:lang w:val="it-IT"/>
        </w:rPr>
        <w:t xml:space="preserve">, </w:t>
      </w:r>
      <w:r w:rsidRPr="00F7739E">
        <w:rPr>
          <w:rFonts w:ascii="Times New Roman" w:hAnsi="Times New Roman" w:cs="Times New Roman"/>
          <w:sz w:val="22"/>
          <w:szCs w:val="22"/>
          <w:lang w:val="it-IT"/>
        </w:rPr>
        <w:t>Marina Lanciotti</w:t>
      </w:r>
      <w:r w:rsidRPr="00504731">
        <w:rPr>
          <w:rFonts w:ascii="Times New Roman" w:hAnsi="Times New Roman" w:cs="Times New Roman"/>
          <w:sz w:val="22"/>
          <w:szCs w:val="22"/>
          <w:vertAlign w:val="superscript"/>
          <w:lang w:val="it-IT"/>
        </w:rPr>
        <w:t>8</w:t>
      </w:r>
      <w:r w:rsidRPr="00F7739E">
        <w:rPr>
          <w:rFonts w:ascii="Times New Roman" w:hAnsi="Times New Roman" w:cs="Times New Roman"/>
          <w:sz w:val="22"/>
          <w:szCs w:val="22"/>
          <w:lang w:val="it-IT"/>
        </w:rPr>
        <w:t>, Maurizio Miano</w:t>
      </w:r>
      <w:r w:rsidRPr="00504731">
        <w:rPr>
          <w:rFonts w:ascii="Times New Roman" w:hAnsi="Times New Roman" w:cs="Times New Roman"/>
          <w:sz w:val="22"/>
          <w:szCs w:val="22"/>
          <w:vertAlign w:val="superscript"/>
          <w:lang w:val="it-IT"/>
        </w:rPr>
        <w:t>8</w:t>
      </w:r>
      <w:r w:rsidRPr="00F7739E">
        <w:rPr>
          <w:rFonts w:ascii="Times New Roman" w:hAnsi="Times New Roman" w:cs="Times New Roman"/>
          <w:sz w:val="22"/>
          <w:szCs w:val="22"/>
          <w:lang w:val="it-IT"/>
        </w:rPr>
        <w:t>, Caterina Matucci-Cerinic</w:t>
      </w:r>
      <w:r w:rsidRPr="00F7739E">
        <w:rPr>
          <w:rFonts w:ascii="Times New Roman" w:hAnsi="Times New Roman" w:cs="Times New Roman"/>
          <w:sz w:val="22"/>
          <w:szCs w:val="22"/>
          <w:vertAlign w:val="superscript"/>
          <w:lang w:val="it-IT"/>
        </w:rPr>
        <w:t>1,2</w:t>
      </w:r>
      <w:r w:rsidRPr="00F7739E">
        <w:rPr>
          <w:rFonts w:ascii="Times New Roman" w:hAnsi="Times New Roman" w:cs="Times New Roman"/>
          <w:sz w:val="22"/>
          <w:szCs w:val="22"/>
          <w:lang w:val="it-IT"/>
        </w:rPr>
        <w:t>, Gianmaria Viglizzo</w:t>
      </w:r>
      <w:r w:rsidRPr="00504731">
        <w:rPr>
          <w:rFonts w:ascii="Times New Roman" w:hAnsi="Times New Roman" w:cs="Times New Roman"/>
          <w:sz w:val="22"/>
          <w:szCs w:val="22"/>
          <w:vertAlign w:val="superscript"/>
          <w:lang w:val="it-IT"/>
        </w:rPr>
        <w:t>9</w:t>
      </w:r>
      <w:r w:rsidRPr="00F7739E">
        <w:rPr>
          <w:rFonts w:ascii="Times New Roman" w:hAnsi="Times New Roman" w:cs="Times New Roman"/>
          <w:sz w:val="22"/>
          <w:szCs w:val="22"/>
          <w:lang w:val="it-IT"/>
        </w:rPr>
        <w:t>, Riccardo Papa</w:t>
      </w:r>
      <w:r w:rsidRPr="00F7739E">
        <w:rPr>
          <w:rFonts w:ascii="Times New Roman" w:hAnsi="Times New Roman" w:cs="Times New Roman"/>
          <w:sz w:val="22"/>
          <w:szCs w:val="22"/>
          <w:vertAlign w:val="superscript"/>
          <w:lang w:val="it-IT"/>
        </w:rPr>
        <w:t>2</w:t>
      </w:r>
      <w:r w:rsidRPr="00F7739E">
        <w:rPr>
          <w:rFonts w:ascii="Times New Roman" w:hAnsi="Times New Roman" w:cs="Times New Roman"/>
          <w:sz w:val="22"/>
          <w:szCs w:val="22"/>
          <w:lang w:val="it-IT"/>
        </w:rPr>
        <w:t>, Frédéric Rieux-Laucat</w:t>
      </w:r>
      <w:r w:rsidRPr="00504731">
        <w:rPr>
          <w:rFonts w:ascii="Times New Roman" w:hAnsi="Times New Roman" w:cs="Times New Roman"/>
          <w:sz w:val="22"/>
          <w:szCs w:val="22"/>
          <w:vertAlign w:val="superscript"/>
          <w:lang w:val="it-IT"/>
        </w:rPr>
        <w:t>3</w:t>
      </w:r>
      <w:r w:rsidRPr="00F7739E">
        <w:rPr>
          <w:rFonts w:ascii="Times New Roman" w:hAnsi="Times New Roman" w:cs="Times New Roman"/>
          <w:sz w:val="22"/>
          <w:szCs w:val="22"/>
          <w:lang w:val="it-IT"/>
        </w:rPr>
        <w:t>,</w:t>
      </w:r>
      <w:r w:rsidR="00C92FFE">
        <w:rPr>
          <w:rFonts w:ascii="Times New Roman" w:hAnsi="Times New Roman" w:cs="Times New Roman"/>
          <w:sz w:val="22"/>
          <w:szCs w:val="22"/>
          <w:lang w:val="it-IT"/>
        </w:rPr>
        <w:t xml:space="preserve"> </w:t>
      </w:r>
      <w:r w:rsidRPr="00F7739E">
        <w:rPr>
          <w:rFonts w:ascii="Times New Roman" w:hAnsi="Times New Roman" w:cs="Times New Roman"/>
          <w:sz w:val="22"/>
          <w:szCs w:val="22"/>
          <w:lang w:val="it-IT"/>
        </w:rPr>
        <w:t>Roberta Caorsi</w:t>
      </w:r>
      <w:r w:rsidRPr="00F7739E">
        <w:rPr>
          <w:rFonts w:ascii="Times New Roman" w:hAnsi="Times New Roman" w:cs="Times New Roman"/>
          <w:sz w:val="22"/>
          <w:szCs w:val="22"/>
          <w:vertAlign w:val="superscript"/>
          <w:lang w:val="it-IT"/>
        </w:rPr>
        <w:t>1,2</w:t>
      </w:r>
      <w:r w:rsidRPr="00F7739E">
        <w:rPr>
          <w:rFonts w:ascii="Times New Roman" w:hAnsi="Times New Roman" w:cs="Times New Roman"/>
          <w:sz w:val="22"/>
          <w:szCs w:val="22"/>
          <w:lang w:val="it-IT"/>
        </w:rPr>
        <w:t>, Marco Gattorno</w:t>
      </w:r>
      <w:r w:rsidRPr="00F7739E">
        <w:rPr>
          <w:rFonts w:ascii="Times New Roman" w:hAnsi="Times New Roman" w:cs="Times New Roman"/>
          <w:sz w:val="22"/>
          <w:szCs w:val="22"/>
          <w:vertAlign w:val="superscript"/>
          <w:lang w:val="it-IT"/>
        </w:rPr>
        <w:t>2</w:t>
      </w:r>
      <w:r w:rsidRPr="00F7739E">
        <w:rPr>
          <w:rFonts w:ascii="Times New Roman" w:hAnsi="Times New Roman" w:cs="Times New Roman"/>
          <w:sz w:val="22"/>
          <w:szCs w:val="22"/>
          <w:lang w:val="it-IT"/>
        </w:rPr>
        <w:t>, Stefano Volpi</w:t>
      </w:r>
      <w:r w:rsidRPr="00F7739E">
        <w:rPr>
          <w:rFonts w:ascii="Times New Roman" w:hAnsi="Times New Roman" w:cs="Times New Roman"/>
          <w:sz w:val="22"/>
          <w:szCs w:val="22"/>
          <w:vertAlign w:val="superscript"/>
          <w:lang w:val="it-IT"/>
        </w:rPr>
        <w:t>1,2</w:t>
      </w:r>
    </w:p>
    <w:p w14:paraId="4ECD46B9" w14:textId="77777777" w:rsidR="00EF285F" w:rsidRDefault="00EF285F" w:rsidP="00E64769">
      <w:pPr>
        <w:rPr>
          <w:rFonts w:ascii="Times New Roman" w:hAnsi="Times New Roman" w:cs="Times New Roman"/>
          <w:sz w:val="22"/>
          <w:szCs w:val="22"/>
          <w:lang w:val="it-IT"/>
        </w:rPr>
      </w:pPr>
    </w:p>
    <w:p w14:paraId="341EFC67" w14:textId="69F492B8" w:rsidR="00564F2D" w:rsidRDefault="00564F2D" w:rsidP="00E64769">
      <w:pPr>
        <w:rPr>
          <w:rFonts w:ascii="Times New Roman" w:hAnsi="Times New Roman" w:cs="Times New Roman"/>
          <w:sz w:val="22"/>
          <w:szCs w:val="22"/>
        </w:rPr>
      </w:pPr>
      <w:r w:rsidRPr="00C37FA8">
        <w:rPr>
          <w:rFonts w:ascii="Times New Roman" w:hAnsi="Times New Roman" w:cs="Times New Roman"/>
          <w:b/>
          <w:bCs/>
          <w:sz w:val="22"/>
          <w:szCs w:val="22"/>
        </w:rPr>
        <w:t>Supplementary table 1</w:t>
      </w:r>
      <w:r w:rsidR="00600196" w:rsidRPr="00C37FA8">
        <w:rPr>
          <w:rFonts w:ascii="Times New Roman" w:hAnsi="Times New Roman" w:cs="Times New Roman"/>
          <w:b/>
          <w:bCs/>
          <w:sz w:val="22"/>
          <w:szCs w:val="22"/>
        </w:rPr>
        <w:t xml:space="preserve"> (Table S1)</w:t>
      </w:r>
      <w:r w:rsidRPr="00C37FA8">
        <w:rPr>
          <w:rFonts w:ascii="Times New Roman" w:hAnsi="Times New Roman" w:cs="Times New Roman"/>
          <w:b/>
          <w:bCs/>
          <w:sz w:val="22"/>
          <w:szCs w:val="22"/>
        </w:rPr>
        <w:t>.</w:t>
      </w:r>
      <w:r w:rsidR="00C92FFE">
        <w:rPr>
          <w:rFonts w:ascii="Times New Roman" w:hAnsi="Times New Roman" w:cs="Times New Roman"/>
          <w:b/>
          <w:bCs/>
          <w:sz w:val="22"/>
          <w:szCs w:val="22"/>
        </w:rPr>
        <w:t xml:space="preserve"> </w:t>
      </w:r>
      <w:r w:rsidR="006756C8" w:rsidRPr="002437E7">
        <w:rPr>
          <w:rFonts w:ascii="Times New Roman" w:hAnsi="Times New Roman" w:cs="Times New Roman"/>
          <w:b/>
          <w:bCs/>
          <w:sz w:val="22"/>
          <w:szCs w:val="22"/>
        </w:rPr>
        <w:t xml:space="preserve">Gene variants </w:t>
      </w:r>
      <w:r w:rsidRPr="002437E7">
        <w:rPr>
          <w:rFonts w:ascii="Times New Roman" w:hAnsi="Times New Roman" w:cs="Times New Roman"/>
          <w:b/>
          <w:bCs/>
          <w:sz w:val="22"/>
          <w:szCs w:val="22"/>
        </w:rPr>
        <w:t>found in P1</w:t>
      </w:r>
      <w:r w:rsidR="0086368E" w:rsidRPr="002437E7">
        <w:rPr>
          <w:rFonts w:ascii="Times New Roman" w:hAnsi="Times New Roman" w:cs="Times New Roman"/>
          <w:b/>
          <w:bCs/>
          <w:sz w:val="22"/>
          <w:szCs w:val="22"/>
        </w:rPr>
        <w:t>.</w:t>
      </w:r>
    </w:p>
    <w:tbl>
      <w:tblPr>
        <w:tblStyle w:val="Grigliatabella"/>
        <w:tblpPr w:leftFromText="141" w:rightFromText="141" w:vertAnchor="page" w:horzAnchor="margin" w:tblpXSpec="center" w:tblpY="4951"/>
        <w:tblW w:w="10211" w:type="dxa"/>
        <w:tblLayout w:type="fixed"/>
        <w:tblLook w:val="04A0" w:firstRow="1" w:lastRow="0" w:firstColumn="1" w:lastColumn="0" w:noHBand="0" w:noVBand="1"/>
      </w:tblPr>
      <w:tblGrid>
        <w:gridCol w:w="992"/>
        <w:gridCol w:w="1296"/>
        <w:gridCol w:w="987"/>
        <w:gridCol w:w="1276"/>
        <w:gridCol w:w="1134"/>
        <w:gridCol w:w="1275"/>
        <w:gridCol w:w="993"/>
        <w:gridCol w:w="992"/>
        <w:gridCol w:w="1266"/>
      </w:tblGrid>
      <w:tr w:rsidR="00546C8C" w:rsidRPr="00546C8C" w14:paraId="5635EE8E" w14:textId="77777777" w:rsidTr="005D03E8">
        <w:trPr>
          <w:cantSplit/>
          <w:trHeight w:val="1134"/>
        </w:trPr>
        <w:tc>
          <w:tcPr>
            <w:tcW w:w="992" w:type="dxa"/>
          </w:tcPr>
          <w:p w14:paraId="23C5C30D" w14:textId="77777777" w:rsidR="00546C8C" w:rsidRPr="002437E7" w:rsidRDefault="00546C8C" w:rsidP="00546C8C">
            <w:pPr>
              <w:jc w:val="both"/>
              <w:rPr>
                <w:rFonts w:ascii="Times New Roman" w:hAnsi="Times New Roman" w:cs="Times New Roman"/>
                <w:b/>
                <w:bCs/>
                <w:sz w:val="20"/>
                <w:szCs w:val="20"/>
              </w:rPr>
            </w:pPr>
            <w:r w:rsidRPr="002437E7">
              <w:rPr>
                <w:rFonts w:ascii="Times New Roman" w:hAnsi="Times New Roman" w:cs="Times New Roman"/>
                <w:b/>
                <w:bCs/>
                <w:sz w:val="20"/>
                <w:szCs w:val="20"/>
              </w:rPr>
              <w:t>Gene</w:t>
            </w:r>
          </w:p>
        </w:tc>
        <w:tc>
          <w:tcPr>
            <w:tcW w:w="1296" w:type="dxa"/>
          </w:tcPr>
          <w:p w14:paraId="74D89612" w14:textId="77777777" w:rsidR="00546C8C" w:rsidRPr="002437E7" w:rsidRDefault="00546C8C" w:rsidP="00546C8C">
            <w:pPr>
              <w:jc w:val="both"/>
              <w:rPr>
                <w:rFonts w:ascii="Times New Roman" w:hAnsi="Times New Roman" w:cs="Times New Roman"/>
                <w:b/>
                <w:bCs/>
                <w:sz w:val="20"/>
                <w:szCs w:val="20"/>
              </w:rPr>
            </w:pPr>
            <w:r w:rsidRPr="002437E7">
              <w:rPr>
                <w:rFonts w:ascii="Times New Roman" w:hAnsi="Times New Roman" w:cs="Times New Roman"/>
                <w:b/>
                <w:bCs/>
                <w:sz w:val="20"/>
                <w:szCs w:val="20"/>
              </w:rPr>
              <w:t>Variant</w:t>
            </w:r>
          </w:p>
        </w:tc>
        <w:tc>
          <w:tcPr>
            <w:tcW w:w="987" w:type="dxa"/>
          </w:tcPr>
          <w:p w14:paraId="34023444" w14:textId="77777777" w:rsidR="00546C8C" w:rsidRPr="002437E7" w:rsidRDefault="002437E7" w:rsidP="00546C8C">
            <w:pPr>
              <w:jc w:val="both"/>
              <w:rPr>
                <w:rFonts w:ascii="Times New Roman" w:hAnsi="Times New Roman" w:cs="Times New Roman"/>
                <w:b/>
                <w:bCs/>
                <w:sz w:val="20"/>
                <w:szCs w:val="20"/>
              </w:rPr>
            </w:pPr>
            <w:r w:rsidRPr="002437E7">
              <w:rPr>
                <w:rFonts w:ascii="Times New Roman" w:hAnsi="Times New Roman" w:cs="Times New Roman"/>
                <w:b/>
                <w:bCs/>
                <w:sz w:val="20"/>
                <w:szCs w:val="20"/>
              </w:rPr>
              <w:t>Zygosity</w:t>
            </w:r>
          </w:p>
        </w:tc>
        <w:tc>
          <w:tcPr>
            <w:tcW w:w="1276" w:type="dxa"/>
          </w:tcPr>
          <w:p w14:paraId="539BD4C4" w14:textId="77777777" w:rsidR="00546C8C" w:rsidRPr="002437E7" w:rsidRDefault="00546C8C" w:rsidP="00546C8C">
            <w:pPr>
              <w:jc w:val="both"/>
              <w:rPr>
                <w:rFonts w:ascii="Times New Roman" w:hAnsi="Times New Roman" w:cs="Times New Roman"/>
                <w:b/>
                <w:bCs/>
                <w:sz w:val="20"/>
                <w:szCs w:val="20"/>
              </w:rPr>
            </w:pPr>
            <w:r w:rsidRPr="002437E7">
              <w:rPr>
                <w:rFonts w:ascii="Times New Roman" w:hAnsi="Times New Roman" w:cs="Times New Roman"/>
                <w:b/>
                <w:bCs/>
                <w:sz w:val="20"/>
                <w:szCs w:val="20"/>
              </w:rPr>
              <w:t>ID SNP</w:t>
            </w:r>
          </w:p>
        </w:tc>
        <w:tc>
          <w:tcPr>
            <w:tcW w:w="1134" w:type="dxa"/>
          </w:tcPr>
          <w:p w14:paraId="1C3E48A9" w14:textId="77777777" w:rsidR="00546C8C" w:rsidRPr="002437E7" w:rsidRDefault="00546C8C" w:rsidP="00546C8C">
            <w:pPr>
              <w:jc w:val="both"/>
              <w:rPr>
                <w:rFonts w:ascii="Times New Roman" w:hAnsi="Times New Roman" w:cs="Times New Roman"/>
                <w:b/>
                <w:bCs/>
                <w:sz w:val="20"/>
                <w:szCs w:val="20"/>
              </w:rPr>
            </w:pPr>
            <w:r w:rsidRPr="002437E7">
              <w:rPr>
                <w:rFonts w:ascii="Times New Roman" w:hAnsi="Times New Roman" w:cs="Times New Roman"/>
                <w:b/>
                <w:bCs/>
                <w:sz w:val="20"/>
                <w:szCs w:val="20"/>
              </w:rPr>
              <w:t xml:space="preserve">Frequency </w:t>
            </w:r>
            <w:r w:rsidRPr="002437E7">
              <w:rPr>
                <w:rFonts w:ascii="Times New Roman" w:hAnsi="Times New Roman" w:cs="Times New Roman"/>
                <w:b/>
                <w:bCs/>
                <w:sz w:val="20"/>
                <w:szCs w:val="20"/>
              </w:rPr>
              <w:br/>
              <w:t>(GnomAD 2.0.1)</w:t>
            </w:r>
          </w:p>
        </w:tc>
        <w:tc>
          <w:tcPr>
            <w:tcW w:w="1275" w:type="dxa"/>
          </w:tcPr>
          <w:p w14:paraId="1C762CA0" w14:textId="77777777" w:rsidR="00546C8C" w:rsidRPr="002437E7" w:rsidRDefault="00546C8C" w:rsidP="00546C8C">
            <w:pPr>
              <w:jc w:val="both"/>
              <w:rPr>
                <w:rFonts w:ascii="Times New Roman" w:hAnsi="Times New Roman" w:cs="Times New Roman"/>
                <w:b/>
                <w:bCs/>
                <w:sz w:val="20"/>
                <w:szCs w:val="20"/>
              </w:rPr>
            </w:pPr>
            <w:r w:rsidRPr="002437E7">
              <w:rPr>
                <w:rFonts w:ascii="Times New Roman" w:hAnsi="Times New Roman" w:cs="Times New Roman"/>
                <w:b/>
                <w:bCs/>
                <w:sz w:val="20"/>
                <w:szCs w:val="20"/>
              </w:rPr>
              <w:t xml:space="preserve">Frequency </w:t>
            </w:r>
            <w:r w:rsidRPr="002437E7">
              <w:rPr>
                <w:rFonts w:ascii="Times New Roman" w:hAnsi="Times New Roman" w:cs="Times New Roman"/>
                <w:b/>
                <w:bCs/>
                <w:sz w:val="20"/>
                <w:szCs w:val="20"/>
              </w:rPr>
              <w:br/>
              <w:t>(GnomAD v4.1.0)</w:t>
            </w:r>
          </w:p>
        </w:tc>
        <w:tc>
          <w:tcPr>
            <w:tcW w:w="993" w:type="dxa"/>
          </w:tcPr>
          <w:p w14:paraId="7C9AB68F" w14:textId="77777777" w:rsidR="00546C8C" w:rsidRPr="002437E7" w:rsidRDefault="00546C8C" w:rsidP="00546C8C">
            <w:pPr>
              <w:jc w:val="both"/>
              <w:rPr>
                <w:rFonts w:ascii="Times New Roman" w:hAnsi="Times New Roman" w:cs="Times New Roman"/>
                <w:b/>
                <w:bCs/>
                <w:sz w:val="20"/>
                <w:szCs w:val="20"/>
              </w:rPr>
            </w:pPr>
            <w:r w:rsidRPr="002437E7">
              <w:rPr>
                <w:rFonts w:ascii="Times New Roman" w:hAnsi="Times New Roman" w:cs="Times New Roman"/>
                <w:b/>
                <w:bCs/>
                <w:sz w:val="20"/>
                <w:szCs w:val="20"/>
              </w:rPr>
              <w:t>CADD (GRCh38-v1.7)</w:t>
            </w:r>
          </w:p>
        </w:tc>
        <w:tc>
          <w:tcPr>
            <w:tcW w:w="992" w:type="dxa"/>
          </w:tcPr>
          <w:p w14:paraId="565A943E" w14:textId="77777777" w:rsidR="00546C8C" w:rsidRPr="002437E7" w:rsidRDefault="00546C8C" w:rsidP="00546C8C">
            <w:pPr>
              <w:jc w:val="both"/>
              <w:rPr>
                <w:rFonts w:ascii="Times New Roman" w:hAnsi="Times New Roman" w:cs="Times New Roman"/>
                <w:b/>
                <w:bCs/>
                <w:sz w:val="20"/>
                <w:szCs w:val="20"/>
              </w:rPr>
            </w:pPr>
            <w:r w:rsidRPr="002437E7">
              <w:rPr>
                <w:rFonts w:ascii="Times New Roman" w:hAnsi="Times New Roman" w:cs="Times New Roman"/>
                <w:b/>
                <w:bCs/>
                <w:sz w:val="20"/>
                <w:szCs w:val="20"/>
              </w:rPr>
              <w:t>Varsome v12.6.1</w:t>
            </w:r>
          </w:p>
        </w:tc>
        <w:tc>
          <w:tcPr>
            <w:tcW w:w="1266" w:type="dxa"/>
          </w:tcPr>
          <w:p w14:paraId="6BF5F7F2" w14:textId="77777777" w:rsidR="00546C8C" w:rsidRPr="002437E7" w:rsidRDefault="00546C8C" w:rsidP="00546C8C">
            <w:pPr>
              <w:jc w:val="both"/>
              <w:rPr>
                <w:rFonts w:ascii="Times New Roman" w:hAnsi="Times New Roman" w:cs="Times New Roman"/>
                <w:b/>
                <w:bCs/>
                <w:sz w:val="20"/>
                <w:szCs w:val="20"/>
              </w:rPr>
            </w:pPr>
            <w:r w:rsidRPr="002437E7">
              <w:rPr>
                <w:rFonts w:ascii="Times New Roman" w:hAnsi="Times New Roman" w:cs="Times New Roman"/>
                <w:b/>
                <w:bCs/>
                <w:sz w:val="20"/>
                <w:szCs w:val="20"/>
              </w:rPr>
              <w:t>ClinVar</w:t>
            </w:r>
          </w:p>
        </w:tc>
      </w:tr>
      <w:tr w:rsidR="00546C8C" w:rsidRPr="00546C8C" w14:paraId="6C458494" w14:textId="77777777" w:rsidTr="005D03E8">
        <w:tc>
          <w:tcPr>
            <w:tcW w:w="992" w:type="dxa"/>
          </w:tcPr>
          <w:p w14:paraId="6E0DB04C"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SOCS1</w:t>
            </w:r>
          </w:p>
        </w:tc>
        <w:tc>
          <w:tcPr>
            <w:tcW w:w="1296" w:type="dxa"/>
          </w:tcPr>
          <w:p w14:paraId="1E315756"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c.208G&gt;C, p.(Ala70Pro)</w:t>
            </w:r>
          </w:p>
        </w:tc>
        <w:tc>
          <w:tcPr>
            <w:tcW w:w="987" w:type="dxa"/>
          </w:tcPr>
          <w:p w14:paraId="65F03E4E"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Het.</w:t>
            </w:r>
          </w:p>
        </w:tc>
        <w:tc>
          <w:tcPr>
            <w:tcW w:w="1276" w:type="dxa"/>
          </w:tcPr>
          <w:p w14:paraId="4C931BCA"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w:t>
            </w:r>
          </w:p>
        </w:tc>
        <w:tc>
          <w:tcPr>
            <w:tcW w:w="1134" w:type="dxa"/>
          </w:tcPr>
          <w:p w14:paraId="429DEBF9"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w:t>
            </w:r>
          </w:p>
        </w:tc>
        <w:tc>
          <w:tcPr>
            <w:tcW w:w="1275" w:type="dxa"/>
          </w:tcPr>
          <w:p w14:paraId="3F729642"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0.000072%</w:t>
            </w:r>
          </w:p>
        </w:tc>
        <w:tc>
          <w:tcPr>
            <w:tcW w:w="993" w:type="dxa"/>
          </w:tcPr>
          <w:p w14:paraId="29FB43E9"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19.91</w:t>
            </w:r>
          </w:p>
        </w:tc>
        <w:tc>
          <w:tcPr>
            <w:tcW w:w="992" w:type="dxa"/>
          </w:tcPr>
          <w:p w14:paraId="276904A2"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VUS</w:t>
            </w:r>
          </w:p>
        </w:tc>
        <w:tc>
          <w:tcPr>
            <w:tcW w:w="1266" w:type="dxa"/>
          </w:tcPr>
          <w:p w14:paraId="02E37D2B"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w:t>
            </w:r>
          </w:p>
        </w:tc>
      </w:tr>
      <w:tr w:rsidR="00546C8C" w:rsidRPr="00546C8C" w14:paraId="1638FD27" w14:textId="77777777" w:rsidTr="005D03E8">
        <w:tc>
          <w:tcPr>
            <w:tcW w:w="992" w:type="dxa"/>
          </w:tcPr>
          <w:p w14:paraId="41FC172E"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CASP10</w:t>
            </w:r>
          </w:p>
        </w:tc>
        <w:tc>
          <w:tcPr>
            <w:tcW w:w="1296" w:type="dxa"/>
          </w:tcPr>
          <w:p w14:paraId="7F122263"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c.1502C&gt;T, p.(Pro501Leu)</w:t>
            </w:r>
          </w:p>
        </w:tc>
        <w:tc>
          <w:tcPr>
            <w:tcW w:w="987" w:type="dxa"/>
          </w:tcPr>
          <w:p w14:paraId="75BE38A2"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Het.</w:t>
            </w:r>
          </w:p>
        </w:tc>
        <w:tc>
          <w:tcPr>
            <w:tcW w:w="1276" w:type="dxa"/>
          </w:tcPr>
          <w:p w14:paraId="1D8F84AE"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rs148939095</w:t>
            </w:r>
          </w:p>
        </w:tc>
        <w:tc>
          <w:tcPr>
            <w:tcW w:w="1134" w:type="dxa"/>
          </w:tcPr>
          <w:p w14:paraId="25E1DB5B"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0.12%</w:t>
            </w:r>
          </w:p>
        </w:tc>
        <w:tc>
          <w:tcPr>
            <w:tcW w:w="1275" w:type="dxa"/>
          </w:tcPr>
          <w:p w14:paraId="64A90B39"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0.05762%</w:t>
            </w:r>
          </w:p>
        </w:tc>
        <w:tc>
          <w:tcPr>
            <w:tcW w:w="993" w:type="dxa"/>
          </w:tcPr>
          <w:p w14:paraId="44206964"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24.70</w:t>
            </w:r>
          </w:p>
        </w:tc>
        <w:tc>
          <w:tcPr>
            <w:tcW w:w="992" w:type="dxa"/>
          </w:tcPr>
          <w:p w14:paraId="2A77F972"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Benign</w:t>
            </w:r>
          </w:p>
        </w:tc>
        <w:tc>
          <w:tcPr>
            <w:tcW w:w="1266" w:type="dxa"/>
          </w:tcPr>
          <w:p w14:paraId="57A95544" w14:textId="77777777" w:rsidR="00546C8C" w:rsidRPr="002437E7" w:rsidRDefault="00546C8C" w:rsidP="00546C8C">
            <w:pPr>
              <w:rPr>
                <w:rFonts w:ascii="Times New Roman" w:hAnsi="Times New Roman" w:cs="Times New Roman"/>
                <w:sz w:val="18"/>
                <w:szCs w:val="18"/>
                <w:lang w:val="en-US"/>
              </w:rPr>
            </w:pPr>
            <w:r w:rsidRPr="002437E7">
              <w:rPr>
                <w:rFonts w:ascii="Times New Roman" w:hAnsi="Times New Roman" w:cs="Times New Roman"/>
                <w:sz w:val="18"/>
                <w:szCs w:val="18"/>
                <w:lang w:val="en-US"/>
              </w:rPr>
              <w:t>Conflicting (VUS:1 LB:1 B:2)</w:t>
            </w:r>
          </w:p>
        </w:tc>
      </w:tr>
      <w:tr w:rsidR="00546C8C" w:rsidRPr="00546C8C" w14:paraId="56390DD5" w14:textId="77777777" w:rsidTr="005D03E8">
        <w:tc>
          <w:tcPr>
            <w:tcW w:w="992" w:type="dxa"/>
          </w:tcPr>
          <w:p w14:paraId="235486C7" w14:textId="77777777" w:rsidR="00546C8C" w:rsidRPr="002437E7" w:rsidRDefault="00546C8C" w:rsidP="00546C8C">
            <w:pPr>
              <w:rPr>
                <w:rFonts w:ascii="Times New Roman" w:hAnsi="Times New Roman" w:cs="Times New Roman"/>
                <w:sz w:val="18"/>
                <w:szCs w:val="18"/>
                <w:lang w:val="it-IT"/>
              </w:rPr>
            </w:pPr>
            <w:r w:rsidRPr="002437E7">
              <w:rPr>
                <w:rFonts w:ascii="Times New Roman" w:hAnsi="Times New Roman" w:cs="Times New Roman"/>
                <w:sz w:val="18"/>
                <w:szCs w:val="18"/>
                <w:lang w:val="it-IT"/>
              </w:rPr>
              <w:t>DDX41</w:t>
            </w:r>
          </w:p>
        </w:tc>
        <w:tc>
          <w:tcPr>
            <w:tcW w:w="1296" w:type="dxa"/>
          </w:tcPr>
          <w:p w14:paraId="7CC35050"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c.451T&gt;C, p.(Tyr151His)</w:t>
            </w:r>
          </w:p>
        </w:tc>
        <w:tc>
          <w:tcPr>
            <w:tcW w:w="987" w:type="dxa"/>
          </w:tcPr>
          <w:p w14:paraId="6BED0CF6"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lang w:val="it-IT"/>
              </w:rPr>
              <w:t>Het.</w:t>
            </w:r>
          </w:p>
        </w:tc>
        <w:tc>
          <w:tcPr>
            <w:tcW w:w="1276" w:type="dxa"/>
          </w:tcPr>
          <w:p w14:paraId="00173BF9"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rs747442017</w:t>
            </w:r>
          </w:p>
        </w:tc>
        <w:tc>
          <w:tcPr>
            <w:tcW w:w="1134" w:type="dxa"/>
          </w:tcPr>
          <w:p w14:paraId="166463A6"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0.0016%</w:t>
            </w:r>
          </w:p>
        </w:tc>
        <w:tc>
          <w:tcPr>
            <w:tcW w:w="1275" w:type="dxa"/>
          </w:tcPr>
          <w:p w14:paraId="244FA6E2"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0.001115%</w:t>
            </w:r>
          </w:p>
        </w:tc>
        <w:tc>
          <w:tcPr>
            <w:tcW w:w="993" w:type="dxa"/>
          </w:tcPr>
          <w:p w14:paraId="1EC1E97D"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21.90</w:t>
            </w:r>
          </w:p>
        </w:tc>
        <w:tc>
          <w:tcPr>
            <w:tcW w:w="992" w:type="dxa"/>
          </w:tcPr>
          <w:p w14:paraId="10272952"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 xml:space="preserve">Likely Benign </w:t>
            </w:r>
          </w:p>
        </w:tc>
        <w:tc>
          <w:tcPr>
            <w:tcW w:w="1266" w:type="dxa"/>
          </w:tcPr>
          <w:p w14:paraId="4968D826"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VUS</w:t>
            </w:r>
          </w:p>
        </w:tc>
      </w:tr>
      <w:tr w:rsidR="00546C8C" w:rsidRPr="00546C8C" w14:paraId="48BAB17F" w14:textId="77777777" w:rsidTr="005D03E8">
        <w:tc>
          <w:tcPr>
            <w:tcW w:w="992" w:type="dxa"/>
          </w:tcPr>
          <w:p w14:paraId="65D49106"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TNFAIP3</w:t>
            </w:r>
          </w:p>
        </w:tc>
        <w:tc>
          <w:tcPr>
            <w:tcW w:w="1296" w:type="dxa"/>
          </w:tcPr>
          <w:p w14:paraId="26CC7B8F"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c.1961C&gt;A, p.(Thr654Asn)</w:t>
            </w:r>
          </w:p>
        </w:tc>
        <w:tc>
          <w:tcPr>
            <w:tcW w:w="987" w:type="dxa"/>
          </w:tcPr>
          <w:p w14:paraId="0DACD167"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lang w:val="it-IT"/>
              </w:rPr>
              <w:t>Het.</w:t>
            </w:r>
          </w:p>
        </w:tc>
        <w:tc>
          <w:tcPr>
            <w:tcW w:w="1276" w:type="dxa"/>
          </w:tcPr>
          <w:p w14:paraId="39EA1597"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rs780049410</w:t>
            </w:r>
          </w:p>
        </w:tc>
        <w:tc>
          <w:tcPr>
            <w:tcW w:w="1134" w:type="dxa"/>
          </w:tcPr>
          <w:p w14:paraId="644B0C08"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0.00080%</w:t>
            </w:r>
          </w:p>
        </w:tc>
        <w:tc>
          <w:tcPr>
            <w:tcW w:w="1275" w:type="dxa"/>
          </w:tcPr>
          <w:p w14:paraId="2E19885E"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0.0001239%</w:t>
            </w:r>
          </w:p>
        </w:tc>
        <w:tc>
          <w:tcPr>
            <w:tcW w:w="993" w:type="dxa"/>
          </w:tcPr>
          <w:p w14:paraId="2491427C"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13.45</w:t>
            </w:r>
          </w:p>
        </w:tc>
        <w:tc>
          <w:tcPr>
            <w:tcW w:w="992" w:type="dxa"/>
          </w:tcPr>
          <w:p w14:paraId="73B05BB2"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 xml:space="preserve">Likely Benign </w:t>
            </w:r>
          </w:p>
        </w:tc>
        <w:tc>
          <w:tcPr>
            <w:tcW w:w="1266" w:type="dxa"/>
          </w:tcPr>
          <w:p w14:paraId="4FBAB4E6"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w:t>
            </w:r>
          </w:p>
        </w:tc>
      </w:tr>
      <w:tr w:rsidR="00546C8C" w:rsidRPr="00546C8C" w14:paraId="5BF07BF1" w14:textId="77777777" w:rsidTr="005D03E8">
        <w:tc>
          <w:tcPr>
            <w:tcW w:w="992" w:type="dxa"/>
          </w:tcPr>
          <w:p w14:paraId="3D383C17"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ARPC1B</w:t>
            </w:r>
          </w:p>
        </w:tc>
        <w:tc>
          <w:tcPr>
            <w:tcW w:w="1296" w:type="dxa"/>
          </w:tcPr>
          <w:p w14:paraId="316607DD"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c.107A&gt;T, p.(Glu36Val)</w:t>
            </w:r>
          </w:p>
        </w:tc>
        <w:tc>
          <w:tcPr>
            <w:tcW w:w="987" w:type="dxa"/>
          </w:tcPr>
          <w:p w14:paraId="32486408"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lang w:val="it-IT"/>
              </w:rPr>
              <w:t>Het.</w:t>
            </w:r>
          </w:p>
        </w:tc>
        <w:tc>
          <w:tcPr>
            <w:tcW w:w="1276" w:type="dxa"/>
          </w:tcPr>
          <w:p w14:paraId="1E3249F8"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rs767687212</w:t>
            </w:r>
          </w:p>
        </w:tc>
        <w:tc>
          <w:tcPr>
            <w:tcW w:w="1134" w:type="dxa"/>
          </w:tcPr>
          <w:p w14:paraId="0A4C7861"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0.00040%</w:t>
            </w:r>
          </w:p>
        </w:tc>
        <w:tc>
          <w:tcPr>
            <w:tcW w:w="1275" w:type="dxa"/>
          </w:tcPr>
          <w:p w14:paraId="32B2C714"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0.0001859%</w:t>
            </w:r>
          </w:p>
        </w:tc>
        <w:tc>
          <w:tcPr>
            <w:tcW w:w="993" w:type="dxa"/>
          </w:tcPr>
          <w:p w14:paraId="0F8C19B1"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22.60</w:t>
            </w:r>
          </w:p>
        </w:tc>
        <w:tc>
          <w:tcPr>
            <w:tcW w:w="992" w:type="dxa"/>
          </w:tcPr>
          <w:p w14:paraId="0CC26376"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Likely Benign</w:t>
            </w:r>
          </w:p>
        </w:tc>
        <w:tc>
          <w:tcPr>
            <w:tcW w:w="1266" w:type="dxa"/>
          </w:tcPr>
          <w:p w14:paraId="186E5646" w14:textId="77777777" w:rsidR="00546C8C" w:rsidRPr="002437E7" w:rsidRDefault="00546C8C" w:rsidP="00546C8C">
            <w:pPr>
              <w:rPr>
                <w:rFonts w:ascii="Times New Roman" w:hAnsi="Times New Roman" w:cs="Times New Roman"/>
                <w:sz w:val="18"/>
                <w:szCs w:val="18"/>
              </w:rPr>
            </w:pPr>
            <w:r w:rsidRPr="002437E7">
              <w:rPr>
                <w:rFonts w:ascii="Times New Roman" w:hAnsi="Times New Roman" w:cs="Times New Roman"/>
                <w:sz w:val="18"/>
                <w:szCs w:val="18"/>
              </w:rPr>
              <w:t>-</w:t>
            </w:r>
          </w:p>
        </w:tc>
      </w:tr>
    </w:tbl>
    <w:p w14:paraId="33CFB574" w14:textId="77777777" w:rsidR="00546C8C" w:rsidRDefault="002437E7" w:rsidP="000112E6">
      <w:pPr>
        <w:rPr>
          <w:rFonts w:ascii="Times New Roman" w:hAnsi="Times New Roman" w:cs="Times New Roman"/>
          <w:sz w:val="22"/>
          <w:szCs w:val="22"/>
        </w:rPr>
      </w:pPr>
      <w:r>
        <w:rPr>
          <w:rFonts w:ascii="Times New Roman" w:hAnsi="Times New Roman" w:cs="Times New Roman"/>
          <w:sz w:val="22"/>
          <w:szCs w:val="22"/>
        </w:rPr>
        <w:t xml:space="preserve">Abbreviations. </w:t>
      </w:r>
      <w:r w:rsidR="00CF0BA2">
        <w:rPr>
          <w:rFonts w:ascii="Times New Roman" w:hAnsi="Times New Roman" w:cs="Times New Roman"/>
          <w:sz w:val="22"/>
          <w:szCs w:val="22"/>
        </w:rPr>
        <w:t xml:space="preserve">CADD: </w:t>
      </w:r>
      <w:r w:rsidR="00CF0BA2" w:rsidRPr="00CF0BA2">
        <w:rPr>
          <w:rFonts w:ascii="Times New Roman" w:hAnsi="Times New Roman" w:cs="Times New Roman"/>
          <w:sz w:val="22"/>
          <w:szCs w:val="22"/>
        </w:rPr>
        <w:t>Combined Annotation Dependent Depletion score</w:t>
      </w:r>
      <w:r w:rsidR="00CF0BA2">
        <w:rPr>
          <w:rFonts w:ascii="Times New Roman" w:hAnsi="Times New Roman" w:cs="Times New Roman"/>
          <w:sz w:val="22"/>
          <w:szCs w:val="22"/>
        </w:rPr>
        <w:t xml:space="preserve">; </w:t>
      </w:r>
      <w:r w:rsidR="00546C8C">
        <w:rPr>
          <w:rFonts w:ascii="Times New Roman" w:hAnsi="Times New Roman" w:cs="Times New Roman"/>
          <w:sz w:val="22"/>
          <w:szCs w:val="22"/>
        </w:rPr>
        <w:t>Het.: Heterozygous;</w:t>
      </w:r>
      <w:r w:rsidR="00976D22">
        <w:rPr>
          <w:rFonts w:ascii="Times New Roman" w:hAnsi="Times New Roman" w:cs="Times New Roman"/>
          <w:sz w:val="22"/>
          <w:szCs w:val="22"/>
        </w:rPr>
        <w:t xml:space="preserve"> ID: </w:t>
      </w:r>
      <w:r w:rsidR="00976D22" w:rsidRPr="00976D22">
        <w:rPr>
          <w:rFonts w:ascii="Times New Roman" w:hAnsi="Times New Roman" w:cs="Times New Roman"/>
          <w:sz w:val="22"/>
          <w:szCs w:val="22"/>
        </w:rPr>
        <w:t>Identifier Single Nucleotide Polymorphism</w:t>
      </w:r>
      <w:r w:rsidR="00976D22">
        <w:rPr>
          <w:rFonts w:ascii="Times New Roman" w:hAnsi="Times New Roman" w:cs="Times New Roman"/>
          <w:sz w:val="22"/>
          <w:szCs w:val="22"/>
        </w:rPr>
        <w:t>;</w:t>
      </w:r>
      <w:r w:rsidR="00546C8C">
        <w:rPr>
          <w:rFonts w:ascii="Times New Roman" w:hAnsi="Times New Roman" w:cs="Times New Roman"/>
          <w:sz w:val="22"/>
          <w:szCs w:val="22"/>
        </w:rPr>
        <w:t xml:space="preserve"> LB: Likely Benign; VUS: variant uncertain significant</w:t>
      </w:r>
      <w:r>
        <w:rPr>
          <w:rFonts w:ascii="Times New Roman" w:hAnsi="Times New Roman" w:cs="Times New Roman"/>
          <w:sz w:val="22"/>
          <w:szCs w:val="22"/>
        </w:rPr>
        <w:t xml:space="preserve">. </w:t>
      </w:r>
    </w:p>
    <w:p w14:paraId="7F9B2969" w14:textId="5C9604C0" w:rsidR="00E8201E" w:rsidRDefault="00CF0BA2" w:rsidP="000112E6">
      <w:pPr>
        <w:rPr>
          <w:rFonts w:ascii="Times New Roman" w:hAnsi="Times New Roman" w:cs="Times New Roman"/>
          <w:sz w:val="22"/>
          <w:szCs w:val="22"/>
        </w:rPr>
      </w:pPr>
      <w:r w:rsidRPr="002F0FB2">
        <w:rPr>
          <w:rFonts w:ascii="Times New Roman" w:hAnsi="Times New Roman" w:cs="Times New Roman"/>
          <w:sz w:val="22"/>
          <w:szCs w:val="22"/>
        </w:rPr>
        <w:t>The table lists all the variants of interest identified in the proband (P1).</w:t>
      </w:r>
      <w:r w:rsidR="00276D11" w:rsidRPr="002F0FB2">
        <w:rPr>
          <w:rFonts w:ascii="Times New Roman" w:hAnsi="Times New Roman" w:cs="Times New Roman"/>
          <w:sz w:val="22"/>
          <w:szCs w:val="22"/>
        </w:rPr>
        <w:t xml:space="preserve"> E</w:t>
      </w:r>
      <w:r w:rsidRPr="002F0FB2">
        <w:rPr>
          <w:rFonts w:ascii="Times New Roman" w:hAnsi="Times New Roman" w:cs="Times New Roman"/>
          <w:sz w:val="22"/>
          <w:szCs w:val="22"/>
        </w:rPr>
        <w:t xml:space="preserve">valuation of population frequency and pathogenicity prediction scores </w:t>
      </w:r>
      <w:r w:rsidR="00276D11" w:rsidRPr="002F0FB2">
        <w:rPr>
          <w:rFonts w:ascii="Times New Roman" w:hAnsi="Times New Roman" w:cs="Times New Roman"/>
          <w:sz w:val="22"/>
          <w:szCs w:val="22"/>
        </w:rPr>
        <w:t xml:space="preserve">was used to </w:t>
      </w:r>
      <w:r w:rsidRPr="002F0FB2">
        <w:rPr>
          <w:rFonts w:ascii="Times New Roman" w:hAnsi="Times New Roman" w:cs="Times New Roman"/>
          <w:sz w:val="22"/>
          <w:szCs w:val="22"/>
        </w:rPr>
        <w:t>exclude the CASP10 variant from our diagnostic hypotheses. Although predicted as benign, the identified rare variants were subjected to further diagnostic investigation. TNFAIP3 gene</w:t>
      </w:r>
      <w:r w:rsidR="000D50F9">
        <w:rPr>
          <w:rFonts w:ascii="Times New Roman" w:hAnsi="Times New Roman" w:cs="Times New Roman"/>
          <w:sz w:val="22"/>
          <w:szCs w:val="22"/>
        </w:rPr>
        <w:t xml:space="preserve"> </w:t>
      </w:r>
      <w:r w:rsidRPr="002F0FB2">
        <w:rPr>
          <w:rFonts w:ascii="Times New Roman" w:hAnsi="Times New Roman" w:cs="Times New Roman"/>
          <w:sz w:val="22"/>
          <w:szCs w:val="22"/>
        </w:rPr>
        <w:t xml:space="preserve">was </w:t>
      </w:r>
      <w:r w:rsidR="002829EF" w:rsidRPr="002F0FB2">
        <w:rPr>
          <w:rFonts w:ascii="Times New Roman" w:hAnsi="Times New Roman" w:cs="Times New Roman"/>
          <w:sz w:val="22"/>
          <w:szCs w:val="22"/>
        </w:rPr>
        <w:t>analysed</w:t>
      </w:r>
      <w:r w:rsidRPr="002F0FB2">
        <w:rPr>
          <w:rFonts w:ascii="Times New Roman" w:hAnsi="Times New Roman" w:cs="Times New Roman"/>
          <w:sz w:val="22"/>
          <w:szCs w:val="22"/>
        </w:rPr>
        <w:t xml:space="preserve"> through family segregation studies, which revealed </w:t>
      </w:r>
      <w:r w:rsidR="00BC3BF3" w:rsidRPr="002F0FB2">
        <w:rPr>
          <w:rFonts w:ascii="Times New Roman" w:hAnsi="Times New Roman" w:cs="Times New Roman"/>
          <w:sz w:val="22"/>
          <w:szCs w:val="22"/>
        </w:rPr>
        <w:t xml:space="preserve">maternal inheritance, </w:t>
      </w:r>
      <w:r w:rsidRPr="002F0FB2">
        <w:rPr>
          <w:rFonts w:ascii="Times New Roman" w:hAnsi="Times New Roman" w:cs="Times New Roman"/>
          <w:sz w:val="22"/>
          <w:szCs w:val="22"/>
        </w:rPr>
        <w:t xml:space="preserve">TNFAIP3 protein expression on PBMCs from both the proband and the mother, along with an NF-kB functional assay in both individuals, which yielded normal results (Supplementary Figure </w:t>
      </w:r>
      <w:r w:rsidR="000D50F9">
        <w:rPr>
          <w:rFonts w:ascii="Times New Roman" w:hAnsi="Times New Roman" w:cs="Times New Roman"/>
          <w:sz w:val="22"/>
          <w:szCs w:val="22"/>
        </w:rPr>
        <w:t>1</w:t>
      </w:r>
      <w:r w:rsidRPr="002F0FB2">
        <w:rPr>
          <w:rFonts w:ascii="Times New Roman" w:hAnsi="Times New Roman" w:cs="Times New Roman"/>
          <w:sz w:val="22"/>
          <w:szCs w:val="22"/>
        </w:rPr>
        <w:t>). The rare variant in ARPC1B was assessed through a functional test, which also yielded normal results (data not shown).</w:t>
      </w:r>
    </w:p>
    <w:p w14:paraId="18149CF3" w14:textId="77777777" w:rsidR="00F74802" w:rsidRPr="00F74802" w:rsidRDefault="00F74802" w:rsidP="000112E6">
      <w:pPr>
        <w:rPr>
          <w:rFonts w:ascii="Times New Roman" w:hAnsi="Times New Roman" w:cs="Times New Roman"/>
          <w:sz w:val="22"/>
          <w:szCs w:val="22"/>
        </w:rPr>
      </w:pPr>
    </w:p>
    <w:p w14:paraId="7E90944E" w14:textId="77777777" w:rsidR="00E8201E" w:rsidRDefault="00E8201E" w:rsidP="000112E6">
      <w:pPr>
        <w:rPr>
          <w:rFonts w:ascii="Times New Roman" w:hAnsi="Times New Roman" w:cs="Times New Roman"/>
          <w:b/>
          <w:bCs/>
          <w:sz w:val="22"/>
          <w:szCs w:val="22"/>
        </w:rPr>
      </w:pPr>
      <w:r>
        <w:rPr>
          <w:rFonts w:ascii="Times New Roman" w:hAnsi="Times New Roman" w:cs="Times New Roman"/>
          <w:b/>
          <w:bCs/>
          <w:sz w:val="22"/>
          <w:szCs w:val="22"/>
        </w:rPr>
        <w:t>Supplementary Table 2</w:t>
      </w:r>
      <w:r w:rsidR="00513A2F">
        <w:rPr>
          <w:rFonts w:ascii="Times New Roman" w:hAnsi="Times New Roman" w:cs="Times New Roman"/>
          <w:b/>
          <w:bCs/>
          <w:sz w:val="22"/>
          <w:szCs w:val="22"/>
        </w:rPr>
        <w:t xml:space="preserve"> (Table S2)</w:t>
      </w:r>
      <w:r>
        <w:rPr>
          <w:rFonts w:ascii="Times New Roman" w:hAnsi="Times New Roman" w:cs="Times New Roman"/>
          <w:b/>
          <w:bCs/>
          <w:sz w:val="22"/>
          <w:szCs w:val="22"/>
        </w:rPr>
        <w:t xml:space="preserve">. Copy number variations identified in the family. </w:t>
      </w:r>
    </w:p>
    <w:tbl>
      <w:tblPr>
        <w:tblStyle w:val="Grigliatabella"/>
        <w:tblW w:w="0" w:type="auto"/>
        <w:tblLook w:val="04A0" w:firstRow="1" w:lastRow="0" w:firstColumn="1" w:lastColumn="0" w:noHBand="0" w:noVBand="1"/>
      </w:tblPr>
      <w:tblGrid>
        <w:gridCol w:w="4814"/>
        <w:gridCol w:w="4814"/>
      </w:tblGrid>
      <w:tr w:rsidR="00E8201E" w:rsidRPr="00841E95" w14:paraId="25D3B0D2" w14:textId="77777777" w:rsidTr="00E8201E">
        <w:tc>
          <w:tcPr>
            <w:tcW w:w="4814" w:type="dxa"/>
          </w:tcPr>
          <w:p w14:paraId="0B967B96" w14:textId="77777777" w:rsidR="00E8201E" w:rsidRPr="00841E95" w:rsidRDefault="00E8201E" w:rsidP="000112E6">
            <w:pPr>
              <w:rPr>
                <w:rFonts w:ascii="Times New Roman" w:hAnsi="Times New Roman" w:cs="Times New Roman"/>
                <w:sz w:val="22"/>
                <w:szCs w:val="22"/>
              </w:rPr>
            </w:pPr>
            <w:r w:rsidRPr="00841E95">
              <w:rPr>
                <w:rFonts w:ascii="Times New Roman" w:hAnsi="Times New Roman" w:cs="Times New Roman"/>
                <w:sz w:val="22"/>
                <w:szCs w:val="22"/>
              </w:rPr>
              <w:t xml:space="preserve">Microdeletion </w:t>
            </w:r>
            <w:r w:rsidR="00B8762F" w:rsidRPr="00841E95">
              <w:rPr>
                <w:rFonts w:ascii="Times New Roman" w:hAnsi="Times New Roman" w:cs="Times New Roman"/>
                <w:sz w:val="22"/>
                <w:szCs w:val="22"/>
              </w:rPr>
              <w:t>16p12.2</w:t>
            </w:r>
          </w:p>
        </w:tc>
        <w:tc>
          <w:tcPr>
            <w:tcW w:w="4814" w:type="dxa"/>
          </w:tcPr>
          <w:p w14:paraId="270FD7BA" w14:textId="77777777" w:rsidR="00E8201E" w:rsidRPr="00841E95" w:rsidRDefault="00B8762F" w:rsidP="000112E6">
            <w:pPr>
              <w:rPr>
                <w:rFonts w:ascii="Times New Roman" w:hAnsi="Times New Roman" w:cs="Times New Roman"/>
                <w:sz w:val="22"/>
                <w:szCs w:val="22"/>
              </w:rPr>
            </w:pPr>
            <w:r w:rsidRPr="00841E95">
              <w:rPr>
                <w:rFonts w:ascii="Times New Roman" w:hAnsi="Times New Roman" w:cs="Times New Roman"/>
                <w:sz w:val="22"/>
                <w:szCs w:val="22"/>
              </w:rPr>
              <w:t>16-10071604-10525165</w:t>
            </w:r>
          </w:p>
        </w:tc>
      </w:tr>
      <w:tr w:rsidR="00E8201E" w:rsidRPr="00841E95" w14:paraId="71349956" w14:textId="77777777" w:rsidTr="00E8201E">
        <w:tc>
          <w:tcPr>
            <w:tcW w:w="4814" w:type="dxa"/>
          </w:tcPr>
          <w:p w14:paraId="45332F3F" w14:textId="77777777" w:rsidR="00E8201E" w:rsidRPr="00841E95" w:rsidRDefault="00B8762F" w:rsidP="000112E6">
            <w:pPr>
              <w:rPr>
                <w:rFonts w:ascii="Times New Roman" w:hAnsi="Times New Roman" w:cs="Times New Roman"/>
                <w:sz w:val="22"/>
                <w:szCs w:val="22"/>
              </w:rPr>
            </w:pPr>
            <w:r w:rsidRPr="00841E95">
              <w:rPr>
                <w:rFonts w:ascii="Times New Roman" w:hAnsi="Times New Roman" w:cs="Times New Roman"/>
                <w:sz w:val="22"/>
                <w:szCs w:val="22"/>
              </w:rPr>
              <w:t>Microduplication 16p13.2</w:t>
            </w:r>
          </w:p>
        </w:tc>
        <w:tc>
          <w:tcPr>
            <w:tcW w:w="4814" w:type="dxa"/>
          </w:tcPr>
          <w:p w14:paraId="57A85E40" w14:textId="77777777" w:rsidR="00E8201E" w:rsidRPr="00841E95" w:rsidRDefault="00964C23" w:rsidP="000112E6">
            <w:pPr>
              <w:rPr>
                <w:rFonts w:ascii="Times New Roman" w:hAnsi="Times New Roman" w:cs="Times New Roman"/>
                <w:sz w:val="22"/>
                <w:szCs w:val="22"/>
              </w:rPr>
            </w:pPr>
            <w:r w:rsidRPr="00964C23">
              <w:rPr>
                <w:rFonts w:ascii="Times New Roman" w:hAnsi="Times New Roman" w:cs="Times New Roman"/>
                <w:sz w:val="22"/>
                <w:szCs w:val="22"/>
              </w:rPr>
              <w:t>16-21771016-22435811</w:t>
            </w:r>
          </w:p>
        </w:tc>
      </w:tr>
    </w:tbl>
    <w:p w14:paraId="09EB5B27" w14:textId="77777777" w:rsidR="00841E95" w:rsidRDefault="00841E95" w:rsidP="000112E6">
      <w:pPr>
        <w:rPr>
          <w:rFonts w:ascii="Times New Roman" w:hAnsi="Times New Roman" w:cs="Times New Roman"/>
          <w:b/>
          <w:bCs/>
          <w:sz w:val="22"/>
          <w:szCs w:val="22"/>
        </w:rPr>
      </w:pPr>
    </w:p>
    <w:p w14:paraId="251491A7" w14:textId="77777777" w:rsidR="00053B9E" w:rsidRPr="00053B9E" w:rsidRDefault="00053B9E" w:rsidP="000112E6">
      <w:pPr>
        <w:rPr>
          <w:rFonts w:ascii="Times New Roman" w:hAnsi="Times New Roman" w:cs="Times New Roman"/>
          <w:sz w:val="22"/>
          <w:szCs w:val="22"/>
        </w:rPr>
      </w:pPr>
      <w:r w:rsidRPr="00053B9E">
        <w:rPr>
          <w:rFonts w:ascii="Times New Roman" w:hAnsi="Times New Roman" w:cs="Times New Roman"/>
          <w:sz w:val="22"/>
          <w:szCs w:val="22"/>
        </w:rPr>
        <w:t xml:space="preserve">The microdeletion and microduplication present in the family do not affect </w:t>
      </w:r>
      <w:r w:rsidRPr="002F0FB2">
        <w:rPr>
          <w:rFonts w:ascii="Times New Roman" w:hAnsi="Times New Roman" w:cs="Times New Roman"/>
          <w:i/>
          <w:iCs/>
          <w:sz w:val="22"/>
          <w:szCs w:val="22"/>
        </w:rPr>
        <w:t>SOCS1</w:t>
      </w:r>
      <w:r w:rsidRPr="00053B9E">
        <w:rPr>
          <w:rFonts w:ascii="Times New Roman" w:hAnsi="Times New Roman" w:cs="Times New Roman"/>
          <w:sz w:val="22"/>
          <w:szCs w:val="22"/>
        </w:rPr>
        <w:t xml:space="preserve"> gene</w:t>
      </w:r>
      <w:r w:rsidR="00673809">
        <w:rPr>
          <w:rFonts w:ascii="Times New Roman" w:hAnsi="Times New Roman" w:cs="Times New Roman"/>
          <w:sz w:val="22"/>
          <w:szCs w:val="22"/>
        </w:rPr>
        <w:t>.</w:t>
      </w:r>
    </w:p>
    <w:p w14:paraId="21248D22" w14:textId="77777777" w:rsidR="00841E95" w:rsidRDefault="00841E95" w:rsidP="000112E6">
      <w:pPr>
        <w:rPr>
          <w:rFonts w:ascii="Times New Roman" w:hAnsi="Times New Roman" w:cs="Times New Roman"/>
          <w:b/>
          <w:bCs/>
          <w:sz w:val="22"/>
          <w:szCs w:val="22"/>
        </w:rPr>
      </w:pPr>
    </w:p>
    <w:p w14:paraId="1247268C" w14:textId="77777777" w:rsidR="00841E95" w:rsidRDefault="00841E95" w:rsidP="000112E6">
      <w:pPr>
        <w:rPr>
          <w:rFonts w:ascii="Times New Roman" w:hAnsi="Times New Roman" w:cs="Times New Roman"/>
          <w:b/>
          <w:bCs/>
          <w:sz w:val="22"/>
          <w:szCs w:val="22"/>
        </w:rPr>
      </w:pPr>
    </w:p>
    <w:p w14:paraId="4E9E907E" w14:textId="77777777" w:rsidR="001C2A7E" w:rsidRDefault="001C2A7E" w:rsidP="00653261">
      <w:pPr>
        <w:rPr>
          <w:rFonts w:ascii="Times New Roman" w:hAnsi="Times New Roman" w:cs="Times New Roman"/>
          <w:sz w:val="22"/>
          <w:szCs w:val="22"/>
        </w:rPr>
      </w:pPr>
    </w:p>
    <w:p w14:paraId="3419FE20" w14:textId="77777777" w:rsidR="007F59E5" w:rsidRPr="001C2A7E" w:rsidRDefault="007F59E5" w:rsidP="00653261">
      <w:pPr>
        <w:rPr>
          <w:rFonts w:ascii="Times New Roman" w:hAnsi="Times New Roman" w:cs="Times New Roman"/>
          <w:b/>
          <w:bCs/>
          <w:sz w:val="22"/>
          <w:szCs w:val="22"/>
        </w:rPr>
      </w:pPr>
    </w:p>
    <w:p w14:paraId="054A6D78" w14:textId="77777777" w:rsidR="007C1AE3" w:rsidRDefault="00345D85" w:rsidP="00345D85">
      <w:pPr>
        <w:rPr>
          <w:rFonts w:ascii="Times New Roman" w:hAnsi="Times New Roman" w:cs="Times New Roman"/>
          <w:b/>
          <w:bCs/>
          <w:sz w:val="22"/>
          <w:szCs w:val="22"/>
        </w:rPr>
      </w:pPr>
      <w:r w:rsidRPr="001C2A7E">
        <w:rPr>
          <w:rFonts w:ascii="Times New Roman" w:hAnsi="Times New Roman" w:cs="Times New Roman"/>
          <w:b/>
          <w:bCs/>
          <w:sz w:val="22"/>
          <w:szCs w:val="22"/>
        </w:rPr>
        <w:lastRenderedPageBreak/>
        <w:t xml:space="preserve">Supplementary Figure </w:t>
      </w:r>
      <w:r>
        <w:rPr>
          <w:rFonts w:ascii="Times New Roman" w:hAnsi="Times New Roman" w:cs="Times New Roman"/>
          <w:b/>
          <w:bCs/>
          <w:sz w:val="22"/>
          <w:szCs w:val="22"/>
        </w:rPr>
        <w:t>1</w:t>
      </w:r>
      <w:r w:rsidRPr="001C2A7E">
        <w:rPr>
          <w:rFonts w:ascii="Times New Roman" w:hAnsi="Times New Roman" w:cs="Times New Roman"/>
          <w:b/>
          <w:bCs/>
          <w:sz w:val="22"/>
          <w:szCs w:val="22"/>
        </w:rPr>
        <w:t xml:space="preserve"> (Figure S</w:t>
      </w:r>
      <w:r>
        <w:rPr>
          <w:rFonts w:ascii="Times New Roman" w:hAnsi="Times New Roman" w:cs="Times New Roman"/>
          <w:b/>
          <w:bCs/>
          <w:sz w:val="22"/>
          <w:szCs w:val="22"/>
        </w:rPr>
        <w:t>1</w:t>
      </w:r>
      <w:r w:rsidRPr="001C2A7E">
        <w:rPr>
          <w:rFonts w:ascii="Times New Roman" w:hAnsi="Times New Roman" w:cs="Times New Roman"/>
          <w:b/>
          <w:bCs/>
          <w:sz w:val="22"/>
          <w:szCs w:val="22"/>
        </w:rPr>
        <w:t xml:space="preserve">). </w:t>
      </w:r>
      <w:r w:rsidR="007C1AE3" w:rsidRPr="007C1AE3">
        <w:rPr>
          <w:rFonts w:ascii="Times New Roman" w:hAnsi="Times New Roman" w:cs="Times New Roman"/>
          <w:b/>
          <w:bCs/>
          <w:sz w:val="22"/>
          <w:szCs w:val="22"/>
        </w:rPr>
        <w:t xml:space="preserve">Gating strategy for Treg. cells identification by flow citometry </w:t>
      </w:r>
    </w:p>
    <w:p w14:paraId="7E15AAA0" w14:textId="63E9395C" w:rsidR="007C1AE3" w:rsidRDefault="007C1AE3" w:rsidP="00345D85">
      <w:pPr>
        <w:rPr>
          <w:rFonts w:ascii="Times New Roman" w:hAnsi="Times New Roman" w:cs="Times New Roman"/>
          <w:b/>
          <w:bCs/>
          <w:sz w:val="22"/>
          <w:szCs w:val="22"/>
        </w:rPr>
      </w:pPr>
      <w:r>
        <w:rPr>
          <w:rFonts w:ascii="Times New Roman" w:hAnsi="Times New Roman" w:cs="Times New Roman"/>
          <w:b/>
          <w:bCs/>
          <w:noProof/>
          <w:sz w:val="22"/>
          <w:szCs w:val="22"/>
        </w:rPr>
        <w:drawing>
          <wp:inline distT="0" distB="0" distL="0" distR="0" wp14:anchorId="300AAE07" wp14:editId="6482F04A">
            <wp:extent cx="4829954" cy="3275965"/>
            <wp:effectExtent l="0" t="0" r="0" b="0"/>
            <wp:docPr id="3973905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32312" cy="3277564"/>
                    </a:xfrm>
                    <a:prstGeom prst="rect">
                      <a:avLst/>
                    </a:prstGeom>
                    <a:noFill/>
                  </pic:spPr>
                </pic:pic>
              </a:graphicData>
            </a:graphic>
          </wp:inline>
        </w:drawing>
      </w:r>
    </w:p>
    <w:p w14:paraId="652A495B" w14:textId="77777777" w:rsidR="007C1AE3" w:rsidRDefault="007C1AE3" w:rsidP="00345D85">
      <w:pPr>
        <w:rPr>
          <w:rFonts w:ascii="Times New Roman" w:hAnsi="Times New Roman" w:cs="Times New Roman"/>
          <w:b/>
          <w:bCs/>
          <w:sz w:val="22"/>
          <w:szCs w:val="22"/>
        </w:rPr>
      </w:pPr>
    </w:p>
    <w:p w14:paraId="4AD56CDE" w14:textId="77777777" w:rsidR="007C1AE3" w:rsidRDefault="007C1AE3" w:rsidP="00345D85">
      <w:pPr>
        <w:rPr>
          <w:rFonts w:ascii="Times New Roman" w:hAnsi="Times New Roman" w:cs="Times New Roman"/>
          <w:b/>
          <w:bCs/>
          <w:sz w:val="22"/>
          <w:szCs w:val="22"/>
        </w:rPr>
      </w:pPr>
    </w:p>
    <w:p w14:paraId="20364E19" w14:textId="77777777" w:rsidR="007C1AE3" w:rsidRDefault="007C1AE3" w:rsidP="00345D85">
      <w:pPr>
        <w:rPr>
          <w:rFonts w:ascii="Times New Roman" w:hAnsi="Times New Roman" w:cs="Times New Roman"/>
          <w:b/>
          <w:bCs/>
          <w:sz w:val="22"/>
          <w:szCs w:val="22"/>
        </w:rPr>
      </w:pPr>
    </w:p>
    <w:p w14:paraId="20F510CA" w14:textId="77777777" w:rsidR="007C1AE3" w:rsidRDefault="007C1AE3" w:rsidP="00345D85">
      <w:pPr>
        <w:rPr>
          <w:rFonts w:ascii="Times New Roman" w:hAnsi="Times New Roman" w:cs="Times New Roman"/>
          <w:b/>
          <w:bCs/>
          <w:sz w:val="22"/>
          <w:szCs w:val="22"/>
        </w:rPr>
      </w:pPr>
    </w:p>
    <w:p w14:paraId="065F7F6D" w14:textId="77777777" w:rsidR="007C1AE3" w:rsidRDefault="007C1AE3" w:rsidP="00345D85">
      <w:pPr>
        <w:rPr>
          <w:rFonts w:ascii="Times New Roman" w:hAnsi="Times New Roman" w:cs="Times New Roman"/>
          <w:b/>
          <w:bCs/>
          <w:sz w:val="22"/>
          <w:szCs w:val="22"/>
        </w:rPr>
      </w:pPr>
    </w:p>
    <w:p w14:paraId="195EB820" w14:textId="77777777" w:rsidR="007C1AE3" w:rsidRDefault="007C1AE3" w:rsidP="00345D85">
      <w:pPr>
        <w:rPr>
          <w:rFonts w:ascii="Times New Roman" w:hAnsi="Times New Roman" w:cs="Times New Roman"/>
          <w:b/>
          <w:bCs/>
          <w:sz w:val="22"/>
          <w:szCs w:val="22"/>
        </w:rPr>
      </w:pPr>
    </w:p>
    <w:p w14:paraId="1C7C9B92" w14:textId="77777777" w:rsidR="007C1AE3" w:rsidRDefault="007C1AE3" w:rsidP="00345D85">
      <w:pPr>
        <w:rPr>
          <w:rFonts w:ascii="Times New Roman" w:hAnsi="Times New Roman" w:cs="Times New Roman"/>
          <w:b/>
          <w:bCs/>
          <w:sz w:val="22"/>
          <w:szCs w:val="22"/>
        </w:rPr>
      </w:pPr>
    </w:p>
    <w:p w14:paraId="5A5C6572" w14:textId="77777777" w:rsidR="007C1AE3" w:rsidRDefault="007C1AE3" w:rsidP="00345D85">
      <w:pPr>
        <w:rPr>
          <w:rFonts w:ascii="Times New Roman" w:hAnsi="Times New Roman" w:cs="Times New Roman"/>
          <w:b/>
          <w:bCs/>
          <w:sz w:val="22"/>
          <w:szCs w:val="22"/>
        </w:rPr>
      </w:pPr>
    </w:p>
    <w:p w14:paraId="7B147FA5" w14:textId="77777777" w:rsidR="007C1AE3" w:rsidRDefault="007C1AE3" w:rsidP="00345D85">
      <w:pPr>
        <w:rPr>
          <w:rFonts w:ascii="Times New Roman" w:hAnsi="Times New Roman" w:cs="Times New Roman"/>
          <w:b/>
          <w:bCs/>
          <w:sz w:val="22"/>
          <w:szCs w:val="22"/>
        </w:rPr>
      </w:pPr>
    </w:p>
    <w:p w14:paraId="3CC462C7" w14:textId="77777777" w:rsidR="007C1AE3" w:rsidRDefault="007C1AE3" w:rsidP="00345D85">
      <w:pPr>
        <w:rPr>
          <w:rFonts w:ascii="Times New Roman" w:hAnsi="Times New Roman" w:cs="Times New Roman"/>
          <w:b/>
          <w:bCs/>
          <w:sz w:val="22"/>
          <w:szCs w:val="22"/>
        </w:rPr>
      </w:pPr>
    </w:p>
    <w:p w14:paraId="14DE49D5" w14:textId="77777777" w:rsidR="007C1AE3" w:rsidRDefault="007C1AE3" w:rsidP="00345D85">
      <w:pPr>
        <w:rPr>
          <w:rFonts w:ascii="Times New Roman" w:hAnsi="Times New Roman" w:cs="Times New Roman"/>
          <w:b/>
          <w:bCs/>
          <w:sz w:val="22"/>
          <w:szCs w:val="22"/>
        </w:rPr>
      </w:pPr>
    </w:p>
    <w:p w14:paraId="78AB2968" w14:textId="77777777" w:rsidR="007C1AE3" w:rsidRDefault="007C1AE3" w:rsidP="00345D85">
      <w:pPr>
        <w:rPr>
          <w:rFonts w:ascii="Times New Roman" w:hAnsi="Times New Roman" w:cs="Times New Roman"/>
          <w:b/>
          <w:bCs/>
          <w:sz w:val="22"/>
          <w:szCs w:val="22"/>
        </w:rPr>
      </w:pPr>
    </w:p>
    <w:p w14:paraId="49CEC1A1" w14:textId="77777777" w:rsidR="007C1AE3" w:rsidRDefault="007C1AE3" w:rsidP="00345D85">
      <w:pPr>
        <w:rPr>
          <w:rFonts w:ascii="Times New Roman" w:hAnsi="Times New Roman" w:cs="Times New Roman"/>
          <w:b/>
          <w:bCs/>
          <w:sz w:val="22"/>
          <w:szCs w:val="22"/>
        </w:rPr>
      </w:pPr>
    </w:p>
    <w:p w14:paraId="127F704B" w14:textId="77777777" w:rsidR="007C1AE3" w:rsidRDefault="007C1AE3" w:rsidP="00345D85">
      <w:pPr>
        <w:rPr>
          <w:rFonts w:ascii="Times New Roman" w:hAnsi="Times New Roman" w:cs="Times New Roman"/>
          <w:b/>
          <w:bCs/>
          <w:sz w:val="22"/>
          <w:szCs w:val="22"/>
        </w:rPr>
      </w:pPr>
    </w:p>
    <w:p w14:paraId="4A268FBD" w14:textId="77777777" w:rsidR="007C1AE3" w:rsidRDefault="007C1AE3" w:rsidP="00345D85">
      <w:pPr>
        <w:rPr>
          <w:rFonts w:ascii="Times New Roman" w:hAnsi="Times New Roman" w:cs="Times New Roman"/>
          <w:b/>
          <w:bCs/>
          <w:sz w:val="22"/>
          <w:szCs w:val="22"/>
        </w:rPr>
      </w:pPr>
    </w:p>
    <w:p w14:paraId="24F4BC89" w14:textId="77777777" w:rsidR="007C1AE3" w:rsidRDefault="007C1AE3" w:rsidP="00345D85">
      <w:pPr>
        <w:rPr>
          <w:rFonts w:ascii="Times New Roman" w:hAnsi="Times New Roman" w:cs="Times New Roman"/>
          <w:b/>
          <w:bCs/>
          <w:sz w:val="22"/>
          <w:szCs w:val="22"/>
        </w:rPr>
      </w:pPr>
    </w:p>
    <w:p w14:paraId="201973C8" w14:textId="77777777" w:rsidR="007C1AE3" w:rsidRDefault="007C1AE3" w:rsidP="00345D85">
      <w:pPr>
        <w:rPr>
          <w:rFonts w:ascii="Times New Roman" w:hAnsi="Times New Roman" w:cs="Times New Roman"/>
          <w:b/>
          <w:bCs/>
          <w:sz w:val="22"/>
          <w:szCs w:val="22"/>
        </w:rPr>
      </w:pPr>
    </w:p>
    <w:p w14:paraId="3DE2AEB7" w14:textId="77777777" w:rsidR="007C1AE3" w:rsidRDefault="007C1AE3" w:rsidP="00345D85">
      <w:pPr>
        <w:rPr>
          <w:rFonts w:ascii="Times New Roman" w:hAnsi="Times New Roman" w:cs="Times New Roman"/>
          <w:b/>
          <w:bCs/>
          <w:sz w:val="22"/>
          <w:szCs w:val="22"/>
        </w:rPr>
      </w:pPr>
    </w:p>
    <w:p w14:paraId="6436EEFC" w14:textId="14669159" w:rsidR="00345D85" w:rsidRDefault="007C1AE3" w:rsidP="00345D85">
      <w:pPr>
        <w:rPr>
          <w:rFonts w:ascii="Times New Roman" w:hAnsi="Times New Roman" w:cs="Times New Roman"/>
          <w:b/>
          <w:bCs/>
          <w:sz w:val="22"/>
          <w:szCs w:val="22"/>
        </w:rPr>
      </w:pPr>
      <w:r w:rsidRPr="001C2A7E">
        <w:rPr>
          <w:rFonts w:ascii="Times New Roman" w:hAnsi="Times New Roman" w:cs="Times New Roman"/>
          <w:b/>
          <w:bCs/>
          <w:sz w:val="22"/>
          <w:szCs w:val="22"/>
        </w:rPr>
        <w:lastRenderedPageBreak/>
        <w:t xml:space="preserve">Supplementary Figure </w:t>
      </w:r>
      <w:r>
        <w:rPr>
          <w:rFonts w:ascii="Times New Roman" w:hAnsi="Times New Roman" w:cs="Times New Roman"/>
          <w:b/>
          <w:bCs/>
          <w:sz w:val="22"/>
          <w:szCs w:val="22"/>
        </w:rPr>
        <w:t>2</w:t>
      </w:r>
      <w:r w:rsidRPr="001C2A7E">
        <w:rPr>
          <w:rFonts w:ascii="Times New Roman" w:hAnsi="Times New Roman" w:cs="Times New Roman"/>
          <w:b/>
          <w:bCs/>
          <w:sz w:val="22"/>
          <w:szCs w:val="22"/>
        </w:rPr>
        <w:t xml:space="preserve"> (Figure S</w:t>
      </w:r>
      <w:r>
        <w:rPr>
          <w:rFonts w:ascii="Times New Roman" w:hAnsi="Times New Roman" w:cs="Times New Roman"/>
          <w:b/>
          <w:bCs/>
          <w:sz w:val="22"/>
          <w:szCs w:val="22"/>
        </w:rPr>
        <w:t>2</w:t>
      </w:r>
      <w:r w:rsidRPr="001C2A7E">
        <w:rPr>
          <w:rFonts w:ascii="Times New Roman" w:hAnsi="Times New Roman" w:cs="Times New Roman"/>
          <w:b/>
          <w:bCs/>
          <w:sz w:val="22"/>
          <w:szCs w:val="22"/>
        </w:rPr>
        <w:t xml:space="preserve">). </w:t>
      </w:r>
      <w:r w:rsidR="00345D85">
        <w:rPr>
          <w:rFonts w:ascii="Times New Roman" w:hAnsi="Times New Roman" w:cs="Times New Roman"/>
          <w:b/>
          <w:bCs/>
          <w:sz w:val="22"/>
          <w:szCs w:val="22"/>
        </w:rPr>
        <w:t>A20</w:t>
      </w:r>
      <w:r w:rsidR="00345D85" w:rsidRPr="007F59E5">
        <w:rPr>
          <w:rFonts w:ascii="Times New Roman" w:hAnsi="Times New Roman" w:cs="Times New Roman"/>
          <w:b/>
          <w:bCs/>
          <w:sz w:val="22"/>
          <w:szCs w:val="22"/>
        </w:rPr>
        <w:t xml:space="preserve"> expression and </w:t>
      </w:r>
      <w:r w:rsidR="00345D85">
        <w:rPr>
          <w:rFonts w:ascii="Times New Roman" w:hAnsi="Times New Roman" w:cs="Times New Roman"/>
          <w:b/>
          <w:bCs/>
          <w:sz w:val="22"/>
          <w:szCs w:val="22"/>
        </w:rPr>
        <w:t>p</w:t>
      </w:r>
      <w:r w:rsidR="00345D85" w:rsidRPr="007F59E5">
        <w:rPr>
          <w:rFonts w:ascii="Times New Roman" w:hAnsi="Times New Roman" w:cs="Times New Roman"/>
          <w:b/>
          <w:bCs/>
          <w:sz w:val="22"/>
          <w:szCs w:val="22"/>
        </w:rPr>
        <w:t xml:space="preserve">NF-κB </w:t>
      </w:r>
      <w:r w:rsidR="00345D85">
        <w:rPr>
          <w:rFonts w:ascii="Times New Roman" w:hAnsi="Times New Roman" w:cs="Times New Roman"/>
          <w:b/>
          <w:bCs/>
          <w:sz w:val="22"/>
          <w:szCs w:val="22"/>
        </w:rPr>
        <w:t xml:space="preserve">nuclear translocation </w:t>
      </w:r>
      <w:r w:rsidR="00345D85" w:rsidRPr="007F59E5">
        <w:rPr>
          <w:rFonts w:ascii="Times New Roman" w:hAnsi="Times New Roman" w:cs="Times New Roman"/>
          <w:b/>
          <w:bCs/>
          <w:sz w:val="22"/>
          <w:szCs w:val="22"/>
        </w:rPr>
        <w:t>in P1 and P1’s mother</w:t>
      </w:r>
      <w:r w:rsidR="00345D85">
        <w:rPr>
          <w:rFonts w:ascii="Times New Roman" w:hAnsi="Times New Roman" w:cs="Times New Roman"/>
          <w:b/>
          <w:bCs/>
          <w:sz w:val="22"/>
          <w:szCs w:val="22"/>
        </w:rPr>
        <w:t xml:space="preserve">. </w:t>
      </w:r>
    </w:p>
    <w:p w14:paraId="2A7B1FD3" w14:textId="14EF12F2" w:rsidR="00653261" w:rsidRDefault="00C92FFE" w:rsidP="00377921">
      <w:pPr>
        <w:rPr>
          <w:rFonts w:ascii="Calibri" w:hAnsi="Calibri" w:cs="Calibri"/>
          <w:noProof/>
          <w:sz w:val="22"/>
          <w:szCs w:val="22"/>
        </w:rPr>
      </w:pPr>
      <w:r>
        <w:rPr>
          <w:noProof/>
        </w:rPr>
        <w:drawing>
          <wp:inline distT="0" distB="0" distL="0" distR="0" wp14:anchorId="32B68164" wp14:editId="7589CC01">
            <wp:extent cx="6242440" cy="3511130"/>
            <wp:effectExtent l="0" t="0" r="0" b="0"/>
            <wp:docPr id="120333413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34136" name=""/>
                    <pic:cNvPicPr/>
                  </pic:nvPicPr>
                  <pic:blipFill>
                    <a:blip r:embed="rId5">
                      <a:extLst>
                        <a:ext uri="{96DAC541-7B7A-43D3-8B79-37D633B846F1}">
                          <asvg:svgBlip xmlns:asvg="http://schemas.microsoft.com/office/drawing/2016/SVG/main" r:embed="rId6"/>
                        </a:ext>
                      </a:extLst>
                    </a:blip>
                    <a:stretch>
                      <a:fillRect/>
                    </a:stretch>
                  </pic:blipFill>
                  <pic:spPr>
                    <a:xfrm>
                      <a:off x="0" y="0"/>
                      <a:ext cx="6245277" cy="3512726"/>
                    </a:xfrm>
                    <a:prstGeom prst="rect">
                      <a:avLst/>
                    </a:prstGeom>
                  </pic:spPr>
                </pic:pic>
              </a:graphicData>
            </a:graphic>
          </wp:inline>
        </w:drawing>
      </w:r>
    </w:p>
    <w:p w14:paraId="5080B92B" w14:textId="69F76F09" w:rsidR="00E61D64" w:rsidRPr="0018797C" w:rsidRDefault="00C92FFE" w:rsidP="00E61D64">
      <w:pPr>
        <w:spacing w:after="0"/>
        <w:jc w:val="both"/>
        <w:rPr>
          <w:rFonts w:ascii="Times New Roman" w:hAnsi="Times New Roman" w:cs="Times New Roman"/>
          <w:sz w:val="22"/>
          <w:szCs w:val="22"/>
          <w:lang w:val="en-US"/>
        </w:rPr>
      </w:pPr>
      <w:r>
        <w:rPr>
          <w:rFonts w:ascii="Times New Roman" w:hAnsi="Times New Roman" w:cs="Times New Roman"/>
          <w:b/>
          <w:bCs/>
          <w:sz w:val="22"/>
          <w:szCs w:val="22"/>
        </w:rPr>
        <w:t>a</w:t>
      </w:r>
      <w:r w:rsidR="00DB5ABF">
        <w:rPr>
          <w:rFonts w:ascii="Times New Roman" w:hAnsi="Times New Roman" w:cs="Times New Roman"/>
          <w:b/>
          <w:bCs/>
          <w:sz w:val="22"/>
          <w:szCs w:val="22"/>
        </w:rPr>
        <w:t>.</w:t>
      </w:r>
      <w:r>
        <w:rPr>
          <w:rFonts w:ascii="Times New Roman" w:hAnsi="Times New Roman" w:cs="Times New Roman"/>
          <w:b/>
          <w:bCs/>
          <w:sz w:val="22"/>
          <w:szCs w:val="22"/>
        </w:rPr>
        <w:t xml:space="preserve"> </w:t>
      </w:r>
      <w:r w:rsidR="00DB5ABF">
        <w:rPr>
          <w:rFonts w:ascii="Times New Roman" w:hAnsi="Times New Roman" w:cs="Times New Roman"/>
          <w:bCs/>
          <w:sz w:val="22"/>
          <w:szCs w:val="22"/>
        </w:rPr>
        <w:t xml:space="preserve">A20 expression was evaluated on PBMC </w:t>
      </w:r>
      <w:r w:rsidR="00DB5ABF" w:rsidRPr="00C37FA8">
        <w:rPr>
          <w:rFonts w:ascii="Times New Roman" w:hAnsi="Times New Roman" w:cs="Times New Roman"/>
          <w:sz w:val="22"/>
          <w:szCs w:val="22"/>
        </w:rPr>
        <w:t>from 3 healthy donors (HD</w:t>
      </w:r>
      <w:r w:rsidR="00DB5ABF">
        <w:rPr>
          <w:rFonts w:ascii="Times New Roman" w:hAnsi="Times New Roman" w:cs="Times New Roman"/>
          <w:sz w:val="22"/>
          <w:szCs w:val="22"/>
        </w:rPr>
        <w:t>),</w:t>
      </w:r>
      <w:r w:rsidR="002644D4">
        <w:rPr>
          <w:rFonts w:ascii="Times New Roman" w:hAnsi="Times New Roman" w:cs="Times New Roman"/>
          <w:sz w:val="22"/>
          <w:szCs w:val="22"/>
        </w:rPr>
        <w:t xml:space="preserve"> one </w:t>
      </w:r>
      <w:r w:rsidR="00332413">
        <w:rPr>
          <w:rFonts w:ascii="Times New Roman" w:hAnsi="Times New Roman" w:cs="Times New Roman"/>
          <w:sz w:val="22"/>
          <w:szCs w:val="22"/>
        </w:rPr>
        <w:t xml:space="preserve">patient </w:t>
      </w:r>
      <w:r w:rsidR="00DB5ABF">
        <w:rPr>
          <w:rFonts w:ascii="Times New Roman" w:hAnsi="Times New Roman" w:cs="Times New Roman"/>
          <w:sz w:val="22"/>
          <w:szCs w:val="22"/>
        </w:rPr>
        <w:t>affected by TNFAIP3 haploinsufficiency (</w:t>
      </w:r>
      <w:r w:rsidR="00DB5ABF" w:rsidRPr="002A3353">
        <w:rPr>
          <w:rFonts w:ascii="Times New Roman" w:hAnsi="Times New Roman" w:cs="Times New Roman"/>
          <w:sz w:val="22"/>
          <w:szCs w:val="22"/>
        </w:rPr>
        <w:t>TNFAIP3</w:t>
      </w:r>
      <w:r w:rsidR="00DB5ABF">
        <w:rPr>
          <w:rFonts w:ascii="Times New Roman" w:hAnsi="Times New Roman" w:cs="Times New Roman"/>
          <w:sz w:val="22"/>
          <w:szCs w:val="22"/>
        </w:rPr>
        <w:t xml:space="preserve"> HI</w:t>
      </w:r>
      <w:r w:rsidR="002644D4">
        <w:rPr>
          <w:rFonts w:ascii="Times New Roman" w:hAnsi="Times New Roman" w:cs="Times New Roman"/>
          <w:sz w:val="22"/>
          <w:szCs w:val="22"/>
        </w:rPr>
        <w:t>; c.1068del; p.(Trp356Cysfs*30)</w:t>
      </w:r>
      <w:r w:rsidR="00DB5ABF">
        <w:rPr>
          <w:rFonts w:ascii="Times New Roman" w:hAnsi="Times New Roman" w:cs="Times New Roman"/>
          <w:sz w:val="22"/>
          <w:szCs w:val="22"/>
        </w:rPr>
        <w:t>)</w:t>
      </w:r>
      <w:r w:rsidR="002644D4">
        <w:rPr>
          <w:rFonts w:ascii="Times New Roman" w:hAnsi="Times New Roman" w:cs="Times New Roman"/>
          <w:sz w:val="22"/>
          <w:szCs w:val="22"/>
        </w:rPr>
        <w:t xml:space="preserve">, P1 </w:t>
      </w:r>
      <w:r w:rsidR="00DB5ABF">
        <w:rPr>
          <w:rFonts w:ascii="Times New Roman" w:hAnsi="Times New Roman" w:cs="Times New Roman"/>
          <w:sz w:val="22"/>
          <w:szCs w:val="22"/>
        </w:rPr>
        <w:t>and her mother (TNFAIP3 T654A) by flow cytometry. Data are expressed</w:t>
      </w:r>
      <w:r w:rsidR="00E61D64">
        <w:rPr>
          <w:rFonts w:ascii="Times New Roman" w:hAnsi="Times New Roman" w:cs="Times New Roman"/>
          <w:sz w:val="22"/>
          <w:szCs w:val="22"/>
        </w:rPr>
        <w:t xml:space="preserve"> as </w:t>
      </w:r>
      <w:r w:rsidR="00116FE1" w:rsidRPr="0018797C">
        <w:rPr>
          <w:rFonts w:ascii="Times New Roman" w:hAnsi="Times New Roman" w:cs="Times New Roman"/>
          <w:sz w:val="22"/>
          <w:szCs w:val="22"/>
          <w:lang w:val="en-US"/>
        </w:rPr>
        <w:t xml:space="preserve">difference between the geometric MFI values of A20 and the geometric MFI values of Isotype control. </w:t>
      </w:r>
    </w:p>
    <w:p w14:paraId="13CEF632" w14:textId="26D763A9" w:rsidR="00F11C83" w:rsidRDefault="00C92FFE" w:rsidP="00F11C83">
      <w:pPr>
        <w:spacing w:after="0"/>
        <w:jc w:val="both"/>
        <w:rPr>
          <w:rFonts w:ascii="Calibri" w:hAnsi="Calibri" w:cs="Calibri"/>
          <w:bCs/>
          <w:sz w:val="22"/>
          <w:szCs w:val="22"/>
        </w:rPr>
      </w:pPr>
      <w:r>
        <w:rPr>
          <w:rFonts w:ascii="Times New Roman" w:hAnsi="Times New Roman" w:cs="Times New Roman"/>
          <w:b/>
          <w:bCs/>
          <w:sz w:val="22"/>
          <w:szCs w:val="22"/>
          <w:lang w:val="en-US"/>
        </w:rPr>
        <w:t>b</w:t>
      </w:r>
      <w:r w:rsidR="00116FE1" w:rsidRPr="0018797C">
        <w:rPr>
          <w:rFonts w:ascii="Times New Roman" w:hAnsi="Times New Roman" w:cs="Times New Roman"/>
          <w:b/>
          <w:bCs/>
          <w:sz w:val="22"/>
          <w:szCs w:val="22"/>
          <w:lang w:val="en-US"/>
        </w:rPr>
        <w:t>.</w:t>
      </w:r>
      <w:r>
        <w:rPr>
          <w:rFonts w:ascii="Times New Roman" w:hAnsi="Times New Roman" w:cs="Times New Roman"/>
          <w:b/>
          <w:bCs/>
          <w:sz w:val="22"/>
          <w:szCs w:val="22"/>
          <w:lang w:val="en-US"/>
        </w:rPr>
        <w:t xml:space="preserve"> </w:t>
      </w:r>
      <w:r w:rsidR="007D3048">
        <w:rPr>
          <w:rFonts w:ascii="Times New Roman" w:hAnsi="Times New Roman" w:cs="Times New Roman"/>
          <w:bCs/>
          <w:sz w:val="22"/>
          <w:szCs w:val="22"/>
          <w:lang w:val="en-US"/>
        </w:rPr>
        <w:t>p</w:t>
      </w:r>
      <w:r w:rsidR="006D4936" w:rsidRPr="006D4936">
        <w:t xml:space="preserve"> </w:t>
      </w:r>
      <w:r w:rsidR="006D4936" w:rsidRPr="006D4936">
        <w:rPr>
          <w:rFonts w:ascii="Times New Roman" w:hAnsi="Times New Roman" w:cs="Times New Roman"/>
          <w:bCs/>
          <w:sz w:val="22"/>
          <w:szCs w:val="22"/>
          <w:lang w:val="en-US"/>
        </w:rPr>
        <w:t>NF-</w:t>
      </w:r>
      <w:r w:rsidR="006D4936">
        <w:rPr>
          <w:rFonts w:ascii="Times New Roman" w:hAnsi="Times New Roman" w:cs="Times New Roman"/>
          <w:bCs/>
          <w:sz w:val="22"/>
          <w:szCs w:val="22"/>
          <w:lang w:val="en-US"/>
        </w:rPr>
        <w:t>κ</w:t>
      </w:r>
      <w:r w:rsidR="006D4936" w:rsidRPr="006D4936">
        <w:rPr>
          <w:rFonts w:ascii="Times New Roman" w:hAnsi="Times New Roman" w:cs="Times New Roman"/>
          <w:bCs/>
          <w:sz w:val="22"/>
          <w:szCs w:val="22"/>
          <w:lang w:val="en-US"/>
        </w:rPr>
        <w:t>B</w:t>
      </w:r>
      <w:r w:rsidR="006D4936" w:rsidRPr="006D4936" w:rsidDel="006D4936">
        <w:rPr>
          <w:rFonts w:ascii="Times New Roman" w:hAnsi="Times New Roman" w:cs="Times New Roman"/>
          <w:bCs/>
          <w:sz w:val="22"/>
          <w:szCs w:val="22"/>
          <w:lang w:val="en-US"/>
        </w:rPr>
        <w:t xml:space="preserve"> </w:t>
      </w:r>
      <w:r w:rsidR="007D3048">
        <w:rPr>
          <w:rFonts w:ascii="Times New Roman" w:hAnsi="Times New Roman" w:cs="Times New Roman"/>
          <w:bCs/>
          <w:sz w:val="22"/>
          <w:szCs w:val="22"/>
          <w:lang w:val="en-US"/>
        </w:rPr>
        <w:t xml:space="preserve">nuclear translocation was evaluated on </w:t>
      </w:r>
      <w:r w:rsidR="007D3048">
        <w:rPr>
          <w:rFonts w:ascii="Times New Roman" w:hAnsi="Times New Roman" w:cs="Times New Roman"/>
          <w:bCs/>
          <w:sz w:val="22"/>
          <w:szCs w:val="22"/>
        </w:rPr>
        <w:t xml:space="preserve">monocytes </w:t>
      </w:r>
      <w:r w:rsidR="007D3048" w:rsidRPr="00C37FA8">
        <w:rPr>
          <w:rFonts w:ascii="Times New Roman" w:hAnsi="Times New Roman" w:cs="Times New Roman"/>
          <w:sz w:val="22"/>
          <w:szCs w:val="22"/>
        </w:rPr>
        <w:t>from 3 healthy donors (HD</w:t>
      </w:r>
      <w:r w:rsidR="007D3048">
        <w:rPr>
          <w:rFonts w:ascii="Times New Roman" w:hAnsi="Times New Roman" w:cs="Times New Roman"/>
          <w:sz w:val="22"/>
          <w:szCs w:val="22"/>
        </w:rPr>
        <w:t xml:space="preserve">), </w:t>
      </w:r>
      <w:r w:rsidR="00630AF1">
        <w:rPr>
          <w:rFonts w:ascii="Times New Roman" w:hAnsi="Times New Roman" w:cs="Times New Roman"/>
          <w:sz w:val="22"/>
          <w:szCs w:val="22"/>
        </w:rPr>
        <w:t xml:space="preserve">P1 </w:t>
      </w:r>
      <w:r w:rsidR="007D3048">
        <w:rPr>
          <w:rFonts w:ascii="Times New Roman" w:hAnsi="Times New Roman" w:cs="Times New Roman"/>
          <w:sz w:val="22"/>
          <w:szCs w:val="22"/>
        </w:rPr>
        <w:t>and P1’s mother by Imaging Flow Cytometry. Analysis was performed before (unstim) and after PBMC stimulation with TNF-</w:t>
      </w:r>
      <w:r w:rsidR="00116FE1" w:rsidRPr="0018797C">
        <w:rPr>
          <w:rFonts w:ascii="Symbol" w:hAnsi="Symbol" w:cs="Times New Roman"/>
          <w:sz w:val="22"/>
          <w:szCs w:val="22"/>
        </w:rPr>
        <w:t></w:t>
      </w:r>
      <w:r w:rsidR="007D3048">
        <w:rPr>
          <w:rFonts w:ascii="Times New Roman" w:hAnsi="Times New Roman" w:cs="Times New Roman"/>
          <w:sz w:val="22"/>
          <w:szCs w:val="22"/>
        </w:rPr>
        <w:t>.</w:t>
      </w:r>
      <w:r>
        <w:rPr>
          <w:rFonts w:ascii="Times New Roman" w:hAnsi="Times New Roman" w:cs="Times New Roman"/>
          <w:sz w:val="22"/>
          <w:szCs w:val="22"/>
        </w:rPr>
        <w:t xml:space="preserve"> </w:t>
      </w:r>
      <w:r w:rsidR="007D3048">
        <w:rPr>
          <w:rFonts w:ascii="Times New Roman" w:hAnsi="Times New Roman" w:cs="Times New Roman"/>
          <w:sz w:val="22"/>
          <w:szCs w:val="22"/>
        </w:rPr>
        <w:t>(stim).</w:t>
      </w:r>
      <w:r>
        <w:rPr>
          <w:rFonts w:ascii="Times New Roman" w:hAnsi="Times New Roman" w:cs="Times New Roman"/>
          <w:sz w:val="22"/>
          <w:szCs w:val="22"/>
        </w:rPr>
        <w:t xml:space="preserve"> </w:t>
      </w:r>
      <w:r w:rsidR="00116FE1" w:rsidRPr="0018797C">
        <w:rPr>
          <w:rFonts w:ascii="Times New Roman" w:hAnsi="Times New Roman" w:cs="Times New Roman"/>
          <w:sz w:val="22"/>
          <w:szCs w:val="22"/>
        </w:rPr>
        <w:t xml:space="preserve">Monocytes were selected </w:t>
      </w:r>
      <w:proofErr w:type="gramStart"/>
      <w:r w:rsidR="00116FE1" w:rsidRPr="0018797C">
        <w:rPr>
          <w:rFonts w:ascii="Times New Roman" w:hAnsi="Times New Roman" w:cs="Times New Roman"/>
          <w:sz w:val="22"/>
          <w:szCs w:val="22"/>
        </w:rPr>
        <w:t>on the basis of</w:t>
      </w:r>
      <w:proofErr w:type="gramEnd"/>
      <w:r w:rsidR="00116FE1" w:rsidRPr="0018797C">
        <w:rPr>
          <w:rFonts w:ascii="Times New Roman" w:hAnsi="Times New Roman" w:cs="Times New Roman"/>
          <w:sz w:val="22"/>
          <w:szCs w:val="22"/>
        </w:rPr>
        <w:t xml:space="preserve"> their Area vs SSC (side scatter, or darkfield, derived from the 786 nm laser) characteristics. Nuclear localization of p</w:t>
      </w:r>
      <w:r w:rsidR="006D4936" w:rsidRPr="006D4936">
        <w:t xml:space="preserve"> </w:t>
      </w:r>
      <w:r w:rsidR="006D4936" w:rsidRPr="006D4936">
        <w:rPr>
          <w:rFonts w:ascii="Times New Roman" w:hAnsi="Times New Roman" w:cs="Times New Roman"/>
          <w:sz w:val="22"/>
          <w:szCs w:val="22"/>
        </w:rPr>
        <w:t xml:space="preserve">NF-κB </w:t>
      </w:r>
      <w:r w:rsidR="00116FE1" w:rsidRPr="0018797C">
        <w:rPr>
          <w:rFonts w:ascii="Times New Roman" w:hAnsi="Times New Roman" w:cs="Times New Roman"/>
          <w:sz w:val="22"/>
          <w:szCs w:val="22"/>
        </w:rPr>
        <w:t>was assessed using the “Similarity Score” feature by IDEAS® software.</w:t>
      </w:r>
      <w:r w:rsidR="00087CCA">
        <w:rPr>
          <w:rFonts w:ascii="Times New Roman" w:hAnsi="Times New Roman" w:cs="Times New Roman"/>
          <w:sz w:val="22"/>
          <w:szCs w:val="22"/>
        </w:rPr>
        <w:t xml:space="preserve"> </w:t>
      </w:r>
      <w:r w:rsidR="007D3048">
        <w:rPr>
          <w:rFonts w:ascii="Times New Roman" w:hAnsi="Times New Roman" w:cs="Times New Roman"/>
          <w:sz w:val="22"/>
          <w:szCs w:val="22"/>
        </w:rPr>
        <w:t xml:space="preserve">The percentage of monocytes </w:t>
      </w:r>
      <w:r w:rsidR="00087CCA" w:rsidRPr="00087CCA">
        <w:rPr>
          <w:rFonts w:ascii="Times New Roman" w:hAnsi="Times New Roman" w:cs="Times New Roman"/>
          <w:sz w:val="22"/>
          <w:szCs w:val="22"/>
        </w:rPr>
        <w:t>exhibiting nuclear expression of pNF-κB is shown</w:t>
      </w:r>
      <w:r w:rsidR="007D3048">
        <w:rPr>
          <w:rFonts w:ascii="Times New Roman" w:hAnsi="Times New Roman" w:cs="Times New Roman"/>
          <w:sz w:val="22"/>
          <w:szCs w:val="22"/>
        </w:rPr>
        <w:t>.</w:t>
      </w:r>
      <w:r w:rsidR="00F11C83">
        <w:rPr>
          <w:rFonts w:ascii="Times New Roman" w:hAnsi="Times New Roman" w:cs="Times New Roman"/>
          <w:sz w:val="22"/>
          <w:szCs w:val="22"/>
        </w:rPr>
        <w:br/>
      </w:r>
      <w:r>
        <w:rPr>
          <w:rFonts w:ascii="Times New Roman" w:hAnsi="Times New Roman" w:cs="Times New Roman"/>
          <w:b/>
          <w:sz w:val="22"/>
          <w:szCs w:val="22"/>
        </w:rPr>
        <w:t>c</w:t>
      </w:r>
      <w:r w:rsidR="00F11C83">
        <w:rPr>
          <w:rFonts w:ascii="Times New Roman" w:hAnsi="Times New Roman" w:cs="Times New Roman"/>
          <w:b/>
          <w:sz w:val="22"/>
          <w:szCs w:val="22"/>
        </w:rPr>
        <w:t>.</w:t>
      </w:r>
      <w:r>
        <w:rPr>
          <w:rFonts w:ascii="Times New Roman" w:hAnsi="Times New Roman" w:cs="Times New Roman"/>
          <w:b/>
          <w:sz w:val="22"/>
          <w:szCs w:val="22"/>
        </w:rPr>
        <w:t xml:space="preserve"> </w:t>
      </w:r>
      <w:r w:rsidR="00F11C83" w:rsidRPr="00F11C83">
        <w:rPr>
          <w:rFonts w:ascii="Times New Roman" w:hAnsi="Times New Roman" w:cs="Times New Roman"/>
          <w:bCs/>
          <w:sz w:val="22"/>
          <w:szCs w:val="22"/>
        </w:rPr>
        <w:t>Analysis of pNF-kB expression and nuclear translocation. ImageStream X Mark II imaging flow cytometer was used to analyze pNf-kB nuclear relocalization after PBMC treatment with TNF-</w:t>
      </w:r>
      <w:r w:rsidR="00F11C83" w:rsidRPr="00C92FFE">
        <w:rPr>
          <w:rFonts w:ascii="Symbol" w:hAnsi="Symbol" w:cs="Times New Roman"/>
          <w:bCs/>
          <w:sz w:val="22"/>
          <w:szCs w:val="22"/>
        </w:rPr>
        <w:t>a</w:t>
      </w:r>
      <w:r w:rsidR="003375DD">
        <w:rPr>
          <w:rFonts w:ascii="Symbol" w:hAnsi="Symbol" w:cs="Times New Roman"/>
          <w:bCs/>
          <w:sz w:val="22"/>
          <w:szCs w:val="22"/>
        </w:rPr>
        <w:t></w:t>
      </w:r>
      <w:r w:rsidR="00F11C83" w:rsidRPr="00F11C83">
        <w:rPr>
          <w:rFonts w:ascii="Times New Roman" w:hAnsi="Times New Roman" w:cs="Times New Roman"/>
          <w:bCs/>
          <w:sz w:val="22"/>
          <w:szCs w:val="22"/>
        </w:rPr>
        <w:t xml:space="preserve">. Monocytes were selected </w:t>
      </w:r>
      <w:r w:rsidR="006D4936" w:rsidRPr="00F11C83">
        <w:rPr>
          <w:rFonts w:ascii="Times New Roman" w:hAnsi="Times New Roman" w:cs="Times New Roman"/>
          <w:bCs/>
          <w:sz w:val="22"/>
          <w:szCs w:val="22"/>
        </w:rPr>
        <w:t>based on</w:t>
      </w:r>
      <w:r w:rsidR="00F11C83" w:rsidRPr="00F11C83">
        <w:rPr>
          <w:rFonts w:ascii="Times New Roman" w:hAnsi="Times New Roman" w:cs="Times New Roman"/>
          <w:bCs/>
          <w:sz w:val="22"/>
          <w:szCs w:val="22"/>
        </w:rPr>
        <w:t xml:space="preserve"> their Area vs SSC (side scatter, or darkfield, derived from the 786 nm laser) characteristics. Nuclear localization of pNF-κB was assessed using the “Similarity Score” feature in IDEAS® software.</w:t>
      </w:r>
      <w:r>
        <w:rPr>
          <w:rFonts w:ascii="Times New Roman" w:hAnsi="Times New Roman" w:cs="Times New Roman"/>
          <w:bCs/>
          <w:sz w:val="22"/>
          <w:szCs w:val="22"/>
        </w:rPr>
        <w:t xml:space="preserve"> </w:t>
      </w:r>
      <w:r w:rsidR="00F11C83" w:rsidRPr="00F11C83">
        <w:rPr>
          <w:rFonts w:ascii="Times New Roman" w:hAnsi="Times New Roman" w:cs="Times New Roman"/>
          <w:bCs/>
          <w:sz w:val="22"/>
          <w:szCs w:val="22"/>
        </w:rPr>
        <w:t>A representative image of pNF-kB subcellular localization is shown. BF: brightfield image; DAPI: nuclear image, purple; pNF-kB: green; Merge: merged images for the nucleus with pNF-kB staining.</w:t>
      </w:r>
    </w:p>
    <w:p w14:paraId="05C79EEE" w14:textId="77777777" w:rsidR="00F11C83" w:rsidRDefault="00F11C83" w:rsidP="00F11C83">
      <w:pPr>
        <w:spacing w:after="0"/>
        <w:jc w:val="both"/>
        <w:rPr>
          <w:rFonts w:ascii="Calibri" w:hAnsi="Calibri" w:cs="Calibri"/>
          <w:bCs/>
          <w:sz w:val="22"/>
          <w:szCs w:val="22"/>
        </w:rPr>
      </w:pPr>
    </w:p>
    <w:p w14:paraId="37893C36" w14:textId="77777777" w:rsidR="007C1AE3" w:rsidRDefault="007C1AE3" w:rsidP="00F11C83">
      <w:pPr>
        <w:spacing w:after="0"/>
        <w:jc w:val="center"/>
        <w:rPr>
          <w:rFonts w:ascii="Times New Roman" w:hAnsi="Times New Roman" w:cs="Times New Roman"/>
          <w:b/>
          <w:lang w:val="en-US"/>
        </w:rPr>
      </w:pPr>
    </w:p>
    <w:p w14:paraId="3B7DFAD8" w14:textId="77777777" w:rsidR="007C1AE3" w:rsidRDefault="007C1AE3" w:rsidP="00F11C83">
      <w:pPr>
        <w:spacing w:after="0"/>
        <w:jc w:val="center"/>
        <w:rPr>
          <w:rFonts w:ascii="Times New Roman" w:hAnsi="Times New Roman" w:cs="Times New Roman"/>
          <w:b/>
          <w:lang w:val="en-US"/>
        </w:rPr>
      </w:pPr>
    </w:p>
    <w:p w14:paraId="6C4901C7" w14:textId="77777777" w:rsidR="007C1AE3" w:rsidRDefault="007C1AE3" w:rsidP="00F11C83">
      <w:pPr>
        <w:spacing w:after="0"/>
        <w:jc w:val="center"/>
        <w:rPr>
          <w:rFonts w:ascii="Times New Roman" w:hAnsi="Times New Roman" w:cs="Times New Roman"/>
          <w:b/>
          <w:lang w:val="en-US"/>
        </w:rPr>
      </w:pPr>
    </w:p>
    <w:p w14:paraId="7BA75262" w14:textId="77777777" w:rsidR="007C1AE3" w:rsidRDefault="007C1AE3" w:rsidP="00F11C83">
      <w:pPr>
        <w:spacing w:after="0"/>
        <w:jc w:val="center"/>
        <w:rPr>
          <w:rFonts w:ascii="Times New Roman" w:hAnsi="Times New Roman" w:cs="Times New Roman"/>
          <w:b/>
          <w:lang w:val="en-US"/>
        </w:rPr>
      </w:pPr>
    </w:p>
    <w:p w14:paraId="5DF7F02B" w14:textId="77777777" w:rsidR="007C1AE3" w:rsidRDefault="007C1AE3" w:rsidP="00F11C83">
      <w:pPr>
        <w:spacing w:after="0"/>
        <w:jc w:val="center"/>
        <w:rPr>
          <w:rFonts w:ascii="Times New Roman" w:hAnsi="Times New Roman" w:cs="Times New Roman"/>
          <w:b/>
          <w:lang w:val="en-US"/>
        </w:rPr>
      </w:pPr>
    </w:p>
    <w:p w14:paraId="33A23E15" w14:textId="77777777" w:rsidR="007C1AE3" w:rsidRDefault="007C1AE3" w:rsidP="00F11C83">
      <w:pPr>
        <w:spacing w:after="0"/>
        <w:jc w:val="center"/>
        <w:rPr>
          <w:rFonts w:ascii="Times New Roman" w:hAnsi="Times New Roman" w:cs="Times New Roman"/>
          <w:b/>
          <w:lang w:val="en-US"/>
        </w:rPr>
      </w:pPr>
    </w:p>
    <w:p w14:paraId="60FD2047" w14:textId="77777777" w:rsidR="007C1AE3" w:rsidRDefault="007C1AE3" w:rsidP="00F11C83">
      <w:pPr>
        <w:spacing w:after="0"/>
        <w:jc w:val="center"/>
        <w:rPr>
          <w:rFonts w:ascii="Times New Roman" w:hAnsi="Times New Roman" w:cs="Times New Roman"/>
          <w:b/>
          <w:lang w:val="en-US"/>
        </w:rPr>
      </w:pPr>
    </w:p>
    <w:p w14:paraId="5628BDDE" w14:textId="723471C2" w:rsidR="00F11C83" w:rsidRPr="00F11C83" w:rsidRDefault="00695581" w:rsidP="00F11C83">
      <w:pPr>
        <w:spacing w:after="0"/>
        <w:jc w:val="center"/>
        <w:rPr>
          <w:rFonts w:ascii="Calibri" w:hAnsi="Calibri" w:cs="Calibri"/>
          <w:b/>
          <w:sz w:val="22"/>
          <w:szCs w:val="22"/>
        </w:rPr>
      </w:pPr>
      <w:r w:rsidRPr="00F11C83">
        <w:rPr>
          <w:rFonts w:ascii="Times New Roman" w:hAnsi="Times New Roman" w:cs="Times New Roman"/>
          <w:b/>
          <w:lang w:val="en-US"/>
        </w:rPr>
        <w:lastRenderedPageBreak/>
        <w:t>Supplementary Methods</w:t>
      </w:r>
    </w:p>
    <w:p w14:paraId="7408CA55" w14:textId="77777777" w:rsidR="00F11C83" w:rsidRDefault="00F11C83" w:rsidP="00F11C83">
      <w:pPr>
        <w:spacing w:after="0"/>
        <w:jc w:val="both"/>
        <w:rPr>
          <w:rFonts w:ascii="Calibri" w:hAnsi="Calibri" w:cs="Calibri"/>
          <w:bCs/>
          <w:sz w:val="22"/>
          <w:szCs w:val="22"/>
        </w:rPr>
      </w:pPr>
    </w:p>
    <w:p w14:paraId="1047132C" w14:textId="77777777" w:rsidR="00695581" w:rsidRPr="00F74802" w:rsidRDefault="00695581" w:rsidP="00F11C83">
      <w:pPr>
        <w:spacing w:after="0"/>
        <w:jc w:val="both"/>
        <w:rPr>
          <w:rFonts w:ascii="Times New Roman" w:hAnsi="Times New Roman" w:cs="Times New Roman"/>
          <w:bCs/>
          <w:sz w:val="22"/>
          <w:szCs w:val="22"/>
        </w:rPr>
      </w:pPr>
      <w:r w:rsidRPr="00F74802">
        <w:rPr>
          <w:rFonts w:ascii="Times New Roman" w:hAnsi="Times New Roman" w:cs="Times New Roman"/>
          <w:b/>
          <w:sz w:val="22"/>
          <w:szCs w:val="22"/>
          <w:lang w:val="en-US"/>
        </w:rPr>
        <w:t>Flow cytometry</w:t>
      </w:r>
    </w:p>
    <w:p w14:paraId="11B72EDE" w14:textId="77777777" w:rsidR="00695581" w:rsidRPr="00F74802" w:rsidRDefault="00695581" w:rsidP="00F11C83">
      <w:pPr>
        <w:spacing w:after="0"/>
        <w:jc w:val="both"/>
        <w:rPr>
          <w:rFonts w:ascii="Times New Roman" w:hAnsi="Times New Roman" w:cs="Times New Roman"/>
          <w:sz w:val="22"/>
          <w:szCs w:val="22"/>
          <w:lang w:val="en-US"/>
        </w:rPr>
      </w:pPr>
      <w:r w:rsidRPr="00F74802">
        <w:rPr>
          <w:rFonts w:ascii="Times New Roman" w:hAnsi="Times New Roman" w:cs="Times New Roman"/>
          <w:sz w:val="22"/>
          <w:szCs w:val="22"/>
          <w:lang w:val="en-US"/>
        </w:rPr>
        <w:t xml:space="preserve">For A20 expression analysis, PBMC were fixed and permeabilized using BD Cytofix/Cytoperm™ (BD Biosciences) according to manufacturer’s instruction. Cells were left in permeabilization buffer, stained with anti- A20 </w:t>
      </w:r>
      <w:proofErr w:type="gramStart"/>
      <w:r w:rsidRPr="00F74802">
        <w:rPr>
          <w:rFonts w:ascii="Times New Roman" w:hAnsi="Times New Roman" w:cs="Times New Roman"/>
          <w:sz w:val="22"/>
          <w:szCs w:val="22"/>
          <w:lang w:val="en-US"/>
        </w:rPr>
        <w:t>mAb (#</w:t>
      </w:r>
      <w:proofErr w:type="gramEnd"/>
      <w:r w:rsidRPr="00F74802">
        <w:rPr>
          <w:rFonts w:ascii="Times New Roman" w:hAnsi="Times New Roman" w:cs="Times New Roman"/>
          <w:sz w:val="22"/>
          <w:szCs w:val="22"/>
          <w:lang w:val="en-US"/>
        </w:rPr>
        <w:t xml:space="preserve">59A426 Invitrogen) at room temperature for 30’and then with Alexa-488 Goat anti-Mouse IgG (Invitrogen) at room temperature for 30’. </w:t>
      </w:r>
      <w:proofErr w:type="gramStart"/>
      <w:r w:rsidRPr="00F74802">
        <w:rPr>
          <w:rFonts w:ascii="Times New Roman" w:hAnsi="Times New Roman" w:cs="Times New Roman"/>
          <w:sz w:val="22"/>
          <w:szCs w:val="22"/>
          <w:lang w:val="en-US"/>
        </w:rPr>
        <w:t>Cell</w:t>
      </w:r>
      <w:proofErr w:type="gramEnd"/>
      <w:r w:rsidRPr="00F74802">
        <w:rPr>
          <w:rFonts w:ascii="Times New Roman" w:hAnsi="Times New Roman" w:cs="Times New Roman"/>
          <w:sz w:val="22"/>
          <w:szCs w:val="22"/>
          <w:lang w:val="en-US"/>
        </w:rPr>
        <w:t xml:space="preserve"> </w:t>
      </w:r>
      <w:proofErr w:type="gramStart"/>
      <w:r w:rsidRPr="00F74802">
        <w:rPr>
          <w:rFonts w:ascii="Times New Roman" w:hAnsi="Times New Roman" w:cs="Times New Roman"/>
          <w:sz w:val="22"/>
          <w:szCs w:val="22"/>
          <w:lang w:val="en-US"/>
        </w:rPr>
        <w:t>were</w:t>
      </w:r>
      <w:proofErr w:type="gramEnd"/>
      <w:r w:rsidRPr="00F74802">
        <w:rPr>
          <w:rFonts w:ascii="Times New Roman" w:hAnsi="Times New Roman" w:cs="Times New Roman"/>
          <w:sz w:val="22"/>
          <w:szCs w:val="22"/>
          <w:lang w:val="en-US"/>
        </w:rPr>
        <w:t xml:space="preserve"> acquired by Flow Cytometry. A20 expression level was evaluated as the difference between the geometric MFI values of A20 and the geometric MFI values of Isotype control. </w:t>
      </w:r>
    </w:p>
    <w:p w14:paraId="3B8DB0BF" w14:textId="77777777" w:rsidR="00F11C83" w:rsidRPr="00F74802" w:rsidRDefault="00F11C83" w:rsidP="00F11C83">
      <w:pPr>
        <w:spacing w:after="0"/>
        <w:jc w:val="both"/>
        <w:rPr>
          <w:rFonts w:ascii="Times New Roman" w:hAnsi="Times New Roman" w:cs="Times New Roman"/>
          <w:sz w:val="22"/>
          <w:szCs w:val="22"/>
          <w:lang w:val="en-US"/>
        </w:rPr>
      </w:pPr>
    </w:p>
    <w:p w14:paraId="45C26EC5" w14:textId="77777777" w:rsidR="00695581" w:rsidRPr="00F74802" w:rsidRDefault="00695581" w:rsidP="00695581">
      <w:pPr>
        <w:jc w:val="both"/>
        <w:rPr>
          <w:rFonts w:ascii="Times New Roman" w:hAnsi="Times New Roman" w:cs="Times New Roman"/>
          <w:b/>
          <w:sz w:val="22"/>
          <w:szCs w:val="22"/>
          <w:lang w:val="en-US"/>
        </w:rPr>
      </w:pPr>
      <w:r w:rsidRPr="00F74802">
        <w:rPr>
          <w:rFonts w:ascii="Times New Roman" w:hAnsi="Times New Roman" w:cs="Times New Roman"/>
          <w:b/>
          <w:sz w:val="22"/>
          <w:szCs w:val="22"/>
          <w:lang w:val="en-US"/>
        </w:rPr>
        <w:t>pNF-kB nuclear localization by Imaging Flow Cytometry</w:t>
      </w:r>
    </w:p>
    <w:p w14:paraId="4F205E2C" w14:textId="320E91A6" w:rsidR="00695581" w:rsidRPr="00F74802" w:rsidRDefault="00695581" w:rsidP="00695581">
      <w:pPr>
        <w:spacing w:after="0"/>
        <w:jc w:val="both"/>
        <w:rPr>
          <w:rFonts w:ascii="Times New Roman" w:hAnsi="Times New Roman" w:cs="Times New Roman"/>
          <w:sz w:val="22"/>
          <w:szCs w:val="22"/>
          <w:lang w:val="en-US"/>
        </w:rPr>
      </w:pPr>
      <w:r w:rsidRPr="00F74802">
        <w:rPr>
          <w:rFonts w:ascii="Times New Roman" w:hAnsi="Times New Roman" w:cs="Times New Roman"/>
          <w:b/>
          <w:sz w:val="22"/>
          <w:szCs w:val="22"/>
          <w:lang w:val="en-US"/>
        </w:rPr>
        <w:t>Staining.</w:t>
      </w:r>
      <w:r w:rsidR="002644D4" w:rsidRPr="00F74802">
        <w:rPr>
          <w:rFonts w:ascii="Times New Roman" w:hAnsi="Times New Roman" w:cs="Times New Roman"/>
          <w:b/>
          <w:sz w:val="22"/>
          <w:szCs w:val="22"/>
          <w:lang w:val="en-US"/>
        </w:rPr>
        <w:t xml:space="preserve"> </w:t>
      </w:r>
      <w:r w:rsidRPr="00F74802">
        <w:rPr>
          <w:rFonts w:ascii="Times New Roman" w:hAnsi="Times New Roman" w:cs="Times New Roman"/>
          <w:sz w:val="22"/>
          <w:szCs w:val="22"/>
          <w:lang w:val="en-US"/>
        </w:rPr>
        <w:t>PBMC were resuspended in serum-free medium, left untreated or treated with TNF-</w:t>
      </w:r>
      <w:r w:rsidRPr="00F74802">
        <w:rPr>
          <w:rFonts w:ascii="Times New Roman" w:hAnsi="Times New Roman" w:cs="Times New Roman"/>
          <w:sz w:val="22"/>
          <w:szCs w:val="22"/>
          <w:lang w:val="en-US"/>
        </w:rPr>
        <w:t xml:space="preserve"> (100 ng/ml) for 15 minutes at 37°C. Cells were fixed with pre-warmed Fixation Buffer (BioLegend) at 37°C for 15 min and permeabilized with pre-chilled True-Phos™ Perm Buffer (BioLegend) at -20°C for 1hr. Cells were stained with  Phospho NF-kB p65 (Ser536) mAb (#93H1- </w:t>
      </w:r>
      <w:r w:rsidRPr="00F74802">
        <w:rPr>
          <w:rFonts w:ascii="Times New Roman" w:hAnsi="Times New Roman" w:cs="Times New Roman"/>
          <w:color w:val="222222"/>
          <w:sz w:val="22"/>
          <w:szCs w:val="22"/>
          <w:shd w:val="clear" w:color="auto" w:fill="FFFFFF"/>
          <w:lang w:val="en-US"/>
        </w:rPr>
        <w:t>Cell Signaling Technology</w:t>
      </w:r>
      <w:r w:rsidRPr="00F74802">
        <w:rPr>
          <w:rFonts w:ascii="Times New Roman" w:hAnsi="Times New Roman" w:cs="Times New Roman"/>
          <w:sz w:val="22"/>
          <w:szCs w:val="22"/>
          <w:lang w:val="en-US"/>
        </w:rPr>
        <w:t>) at RT for 30’ and then with Alexa-488 AffiniPure F(ab’)</w:t>
      </w:r>
      <w:r w:rsidRPr="00F74802">
        <w:rPr>
          <w:rFonts w:ascii="Times New Roman" w:hAnsi="Times New Roman" w:cs="Times New Roman"/>
          <w:sz w:val="22"/>
          <w:szCs w:val="22"/>
          <w:vertAlign w:val="subscript"/>
          <w:lang w:val="en-US"/>
        </w:rPr>
        <w:t>2</w:t>
      </w:r>
      <w:r w:rsidRPr="00F74802">
        <w:rPr>
          <w:rFonts w:ascii="Times New Roman" w:hAnsi="Times New Roman" w:cs="Times New Roman"/>
          <w:sz w:val="22"/>
          <w:szCs w:val="22"/>
          <w:lang w:val="en-US"/>
        </w:rPr>
        <w:t xml:space="preserve"> Goat anti-Rabbit IgG (Jackson ImmunoResearch) at RT for 30’. Before cell acquisition, DAPI (Invitrogen) was added to each sample.</w:t>
      </w:r>
    </w:p>
    <w:p w14:paraId="27C99953" w14:textId="73F66A37" w:rsidR="00695581" w:rsidRPr="00F74802" w:rsidRDefault="00695581" w:rsidP="00695581">
      <w:pPr>
        <w:spacing w:after="0"/>
        <w:jc w:val="both"/>
        <w:rPr>
          <w:rFonts w:ascii="Times New Roman" w:hAnsi="Times New Roman" w:cs="Times New Roman"/>
          <w:sz w:val="22"/>
          <w:szCs w:val="22"/>
        </w:rPr>
      </w:pPr>
      <w:r w:rsidRPr="00F74802">
        <w:rPr>
          <w:rFonts w:ascii="Times New Roman" w:hAnsi="Times New Roman" w:cs="Times New Roman"/>
          <w:b/>
          <w:bCs/>
          <w:sz w:val="22"/>
          <w:szCs w:val="22"/>
        </w:rPr>
        <w:t>Acquisition.</w:t>
      </w:r>
      <w:r w:rsidR="002644D4" w:rsidRPr="00F74802">
        <w:rPr>
          <w:rFonts w:ascii="Times New Roman" w:hAnsi="Times New Roman" w:cs="Times New Roman"/>
          <w:b/>
          <w:bCs/>
          <w:sz w:val="22"/>
          <w:szCs w:val="22"/>
        </w:rPr>
        <w:t xml:space="preserve"> </w:t>
      </w:r>
      <w:r w:rsidRPr="00F74802">
        <w:rPr>
          <w:rFonts w:ascii="Times New Roman" w:hAnsi="Times New Roman" w:cs="Times New Roman"/>
          <w:sz w:val="22"/>
          <w:szCs w:val="22"/>
        </w:rPr>
        <w:t>Imaging data were acquired using an ImageStream Mark X II imaging flow cytometer equipped with 4 lasers (405 nm, 488 nm, 642 nm, and 786 nm) and a 20x, 40x, 60x magnification system. Cells were acquired at 60x magnification based on focus (Gradient RMS of brightfield) and physical characteristics (Area vs Aspect Ratio of brightfield). Acquired events were analyzed by IDEAS® software (v. 6.2.183, Amnis/Cytek).</w:t>
      </w:r>
    </w:p>
    <w:p w14:paraId="7C0BC8BC" w14:textId="77777777" w:rsidR="00695581" w:rsidRPr="00F74802" w:rsidRDefault="00695581" w:rsidP="00695581">
      <w:pPr>
        <w:spacing w:after="0"/>
        <w:jc w:val="both"/>
        <w:rPr>
          <w:rFonts w:ascii="Times New Roman" w:hAnsi="Times New Roman" w:cs="Times New Roman"/>
          <w:sz w:val="22"/>
          <w:szCs w:val="22"/>
        </w:rPr>
      </w:pPr>
      <w:r w:rsidRPr="00F74802">
        <w:rPr>
          <w:rFonts w:ascii="Times New Roman" w:hAnsi="Times New Roman" w:cs="Times New Roman"/>
          <w:b/>
          <w:bCs/>
          <w:sz w:val="22"/>
          <w:szCs w:val="22"/>
        </w:rPr>
        <w:t>Compensation.</w:t>
      </w:r>
      <w:r w:rsidRPr="00F74802">
        <w:rPr>
          <w:rFonts w:ascii="Times New Roman" w:hAnsi="Times New Roman" w:cs="Times New Roman"/>
          <w:sz w:val="22"/>
          <w:szCs w:val="22"/>
        </w:rPr>
        <w:t xml:space="preserve"> Single-color controls were acquired for each fluorochrome (500 events per control) and used to generate a compensation matrix in in IDEAS® software.</w:t>
      </w:r>
    </w:p>
    <w:p w14:paraId="6B20CE5A" w14:textId="24A0ED96" w:rsidR="00695581" w:rsidRPr="00F74802" w:rsidRDefault="00695581" w:rsidP="00695581">
      <w:pPr>
        <w:spacing w:after="0"/>
        <w:jc w:val="both"/>
        <w:rPr>
          <w:rFonts w:ascii="Times New Roman" w:hAnsi="Times New Roman" w:cs="Times New Roman"/>
          <w:sz w:val="22"/>
          <w:szCs w:val="22"/>
        </w:rPr>
      </w:pPr>
      <w:r w:rsidRPr="00F74802">
        <w:rPr>
          <w:rFonts w:ascii="Times New Roman" w:hAnsi="Times New Roman" w:cs="Times New Roman"/>
          <w:b/>
          <w:bCs/>
          <w:sz w:val="22"/>
          <w:szCs w:val="22"/>
        </w:rPr>
        <w:t>Analysis.</w:t>
      </w:r>
      <w:r w:rsidRPr="00F74802">
        <w:rPr>
          <w:rFonts w:ascii="Times New Roman" w:hAnsi="Times New Roman" w:cs="Times New Roman"/>
          <w:sz w:val="22"/>
          <w:szCs w:val="22"/>
        </w:rPr>
        <w:t xml:space="preserve"> Acquired events were analyzed by</w:t>
      </w:r>
      <w:r w:rsidR="00CC5A3A" w:rsidRPr="00F74802">
        <w:rPr>
          <w:rFonts w:ascii="Times New Roman" w:hAnsi="Times New Roman" w:cs="Times New Roman"/>
          <w:sz w:val="22"/>
          <w:szCs w:val="22"/>
        </w:rPr>
        <w:t xml:space="preserve"> </w:t>
      </w:r>
      <w:r w:rsidRPr="00F74802">
        <w:rPr>
          <w:rFonts w:ascii="Times New Roman" w:hAnsi="Times New Roman" w:cs="Times New Roman"/>
          <w:sz w:val="22"/>
          <w:szCs w:val="22"/>
        </w:rPr>
        <w:t xml:space="preserve">IDEAS® software (v. 6.2.183). Monocytes were selected </w:t>
      </w:r>
      <w:proofErr w:type="gramStart"/>
      <w:r w:rsidRPr="00F74802">
        <w:rPr>
          <w:rFonts w:ascii="Times New Roman" w:hAnsi="Times New Roman" w:cs="Times New Roman"/>
          <w:sz w:val="22"/>
          <w:szCs w:val="22"/>
        </w:rPr>
        <w:t>on the basis of</w:t>
      </w:r>
      <w:proofErr w:type="gramEnd"/>
      <w:r w:rsidRPr="00F74802">
        <w:rPr>
          <w:rFonts w:ascii="Times New Roman" w:hAnsi="Times New Roman" w:cs="Times New Roman"/>
          <w:sz w:val="22"/>
          <w:szCs w:val="22"/>
        </w:rPr>
        <w:t xml:space="preserve"> their Area vs SSC (side scatter, or darkfield, derived from the 786 nm laser) characteristics. Nuclear localization of pNF-κB was assessed using the “Similarity Score” feature by IDEAS® software. Similarity Score, a log-transformed Pearson's correlation coefficient, quantifies the pixel intensity correlation between pNf-κB and DAPI within the nuclear mask images (which are based on DAPI staining). Lower SS values indicate predominantly cytoplasmic pNF-κB, while higher values signify nuclear localization.</w:t>
      </w:r>
    </w:p>
    <w:p w14:paraId="64994ED9" w14:textId="77777777" w:rsidR="00695581" w:rsidRPr="00C234BD" w:rsidRDefault="00695581" w:rsidP="00695581">
      <w:pPr>
        <w:jc w:val="both"/>
        <w:rPr>
          <w:rFonts w:ascii="Times New Roman" w:hAnsi="Times New Roman" w:cs="Times New Roman"/>
        </w:rPr>
      </w:pPr>
    </w:p>
    <w:p w14:paraId="6872DA48" w14:textId="77777777" w:rsidR="00695581" w:rsidRPr="00C234BD" w:rsidRDefault="00695581" w:rsidP="00695581">
      <w:pPr>
        <w:spacing w:after="0"/>
        <w:jc w:val="both"/>
        <w:rPr>
          <w:rFonts w:ascii="Times New Roman" w:hAnsi="Times New Roman" w:cs="Times New Roman"/>
        </w:rPr>
      </w:pPr>
    </w:p>
    <w:p w14:paraId="192CFB3D" w14:textId="77777777" w:rsidR="00695581" w:rsidRPr="007F59E5" w:rsidRDefault="00695581" w:rsidP="007F59E5">
      <w:pPr>
        <w:rPr>
          <w:rFonts w:ascii="Calibri" w:hAnsi="Calibri" w:cs="Calibri"/>
          <w:sz w:val="22"/>
          <w:szCs w:val="22"/>
        </w:rPr>
      </w:pPr>
    </w:p>
    <w:sectPr w:rsidR="00695581" w:rsidRPr="007F59E5" w:rsidSect="002D743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985A84"/>
    <w:rsid w:val="000112E6"/>
    <w:rsid w:val="0004329F"/>
    <w:rsid w:val="00053B9E"/>
    <w:rsid w:val="00087CCA"/>
    <w:rsid w:val="000A4516"/>
    <w:rsid w:val="000D50F9"/>
    <w:rsid w:val="001145B5"/>
    <w:rsid w:val="00116FE1"/>
    <w:rsid w:val="00123634"/>
    <w:rsid w:val="00174882"/>
    <w:rsid w:val="00180831"/>
    <w:rsid w:val="0018797C"/>
    <w:rsid w:val="001C2A7E"/>
    <w:rsid w:val="001D422B"/>
    <w:rsid w:val="001D7DA9"/>
    <w:rsid w:val="002437E7"/>
    <w:rsid w:val="002644D4"/>
    <w:rsid w:val="00276D11"/>
    <w:rsid w:val="002829EF"/>
    <w:rsid w:val="002A3353"/>
    <w:rsid w:val="002B4DA7"/>
    <w:rsid w:val="002D7439"/>
    <w:rsid w:val="002F0FB2"/>
    <w:rsid w:val="002F5E3F"/>
    <w:rsid w:val="00332413"/>
    <w:rsid w:val="003375DD"/>
    <w:rsid w:val="00345D85"/>
    <w:rsid w:val="00377921"/>
    <w:rsid w:val="00393395"/>
    <w:rsid w:val="003E796A"/>
    <w:rsid w:val="00445BF9"/>
    <w:rsid w:val="00466D76"/>
    <w:rsid w:val="004812FD"/>
    <w:rsid w:val="004A0950"/>
    <w:rsid w:val="00503881"/>
    <w:rsid w:val="00513A2F"/>
    <w:rsid w:val="00537717"/>
    <w:rsid w:val="00546C8C"/>
    <w:rsid w:val="00554153"/>
    <w:rsid w:val="00564F2D"/>
    <w:rsid w:val="00571C03"/>
    <w:rsid w:val="00584F50"/>
    <w:rsid w:val="005D03E8"/>
    <w:rsid w:val="00600196"/>
    <w:rsid w:val="00630AF1"/>
    <w:rsid w:val="00653261"/>
    <w:rsid w:val="00673809"/>
    <w:rsid w:val="006756C8"/>
    <w:rsid w:val="00695581"/>
    <w:rsid w:val="006A27A6"/>
    <w:rsid w:val="006C3DA2"/>
    <w:rsid w:val="006D4936"/>
    <w:rsid w:val="006E2BCB"/>
    <w:rsid w:val="00711585"/>
    <w:rsid w:val="00720B67"/>
    <w:rsid w:val="007C1AE3"/>
    <w:rsid w:val="007C3500"/>
    <w:rsid w:val="007D3048"/>
    <w:rsid w:val="007E4347"/>
    <w:rsid w:val="007F59E5"/>
    <w:rsid w:val="00832DC9"/>
    <w:rsid w:val="00841E95"/>
    <w:rsid w:val="008508F3"/>
    <w:rsid w:val="0086054E"/>
    <w:rsid w:val="0086368E"/>
    <w:rsid w:val="00864E43"/>
    <w:rsid w:val="008657F1"/>
    <w:rsid w:val="00893AFD"/>
    <w:rsid w:val="008A1096"/>
    <w:rsid w:val="008A1A6C"/>
    <w:rsid w:val="008D4EEB"/>
    <w:rsid w:val="008F654F"/>
    <w:rsid w:val="00906E1B"/>
    <w:rsid w:val="00964C23"/>
    <w:rsid w:val="00976D22"/>
    <w:rsid w:val="00985A84"/>
    <w:rsid w:val="009E2D79"/>
    <w:rsid w:val="009E3F8F"/>
    <w:rsid w:val="009E714E"/>
    <w:rsid w:val="009F4457"/>
    <w:rsid w:val="00A24DCE"/>
    <w:rsid w:val="00A83E32"/>
    <w:rsid w:val="00A84AE2"/>
    <w:rsid w:val="00AC601E"/>
    <w:rsid w:val="00AE1DAA"/>
    <w:rsid w:val="00B3685C"/>
    <w:rsid w:val="00B548D3"/>
    <w:rsid w:val="00B61600"/>
    <w:rsid w:val="00B8762F"/>
    <w:rsid w:val="00B9534F"/>
    <w:rsid w:val="00BA5014"/>
    <w:rsid w:val="00BC3BF3"/>
    <w:rsid w:val="00BE57B4"/>
    <w:rsid w:val="00C24749"/>
    <w:rsid w:val="00C37FA8"/>
    <w:rsid w:val="00C5127A"/>
    <w:rsid w:val="00C87CD8"/>
    <w:rsid w:val="00C91CEC"/>
    <w:rsid w:val="00C92FFE"/>
    <w:rsid w:val="00CC5A3A"/>
    <w:rsid w:val="00CF0BA2"/>
    <w:rsid w:val="00D03BFC"/>
    <w:rsid w:val="00D271D2"/>
    <w:rsid w:val="00D50D01"/>
    <w:rsid w:val="00D5509A"/>
    <w:rsid w:val="00DB5ABF"/>
    <w:rsid w:val="00DE0D16"/>
    <w:rsid w:val="00E618E8"/>
    <w:rsid w:val="00E61D64"/>
    <w:rsid w:val="00E64769"/>
    <w:rsid w:val="00E720FE"/>
    <w:rsid w:val="00E7748A"/>
    <w:rsid w:val="00E8201E"/>
    <w:rsid w:val="00E873E6"/>
    <w:rsid w:val="00EA7C78"/>
    <w:rsid w:val="00EB159D"/>
    <w:rsid w:val="00EF285F"/>
    <w:rsid w:val="00F11C83"/>
    <w:rsid w:val="00F144DA"/>
    <w:rsid w:val="00F21125"/>
    <w:rsid w:val="00F41DB5"/>
    <w:rsid w:val="00F54E3D"/>
    <w:rsid w:val="00F74802"/>
    <w:rsid w:val="00F94BB8"/>
    <w:rsid w:val="00FB19BC"/>
    <w:rsid w:val="00FC3A5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0BA6"/>
  <w15:docId w15:val="{5A387C84-5734-438F-8A0D-77740A05A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0B67"/>
  </w:style>
  <w:style w:type="paragraph" w:styleId="Titolo1">
    <w:name w:val="heading 1"/>
    <w:basedOn w:val="Normale"/>
    <w:next w:val="Normale"/>
    <w:link w:val="Titolo1Carattere"/>
    <w:uiPriority w:val="9"/>
    <w:qFormat/>
    <w:rsid w:val="00985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85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85A8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85A8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85A8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85A8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85A8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85A8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85A8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5A8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85A8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85A8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85A8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85A8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85A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85A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85A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85A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985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85A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85A8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85A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85A8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85A84"/>
    <w:rPr>
      <w:i/>
      <w:iCs/>
      <w:color w:val="404040" w:themeColor="text1" w:themeTint="BF"/>
    </w:rPr>
  </w:style>
  <w:style w:type="paragraph" w:styleId="Paragrafoelenco">
    <w:name w:val="List Paragraph"/>
    <w:basedOn w:val="Normale"/>
    <w:uiPriority w:val="34"/>
    <w:qFormat/>
    <w:rsid w:val="00985A84"/>
    <w:pPr>
      <w:ind w:left="720"/>
      <w:contextualSpacing/>
    </w:pPr>
  </w:style>
  <w:style w:type="character" w:styleId="Enfasiintensa">
    <w:name w:val="Intense Emphasis"/>
    <w:basedOn w:val="Carpredefinitoparagrafo"/>
    <w:uiPriority w:val="21"/>
    <w:qFormat/>
    <w:rsid w:val="00985A84"/>
    <w:rPr>
      <w:i/>
      <w:iCs/>
      <w:color w:val="0F4761" w:themeColor="accent1" w:themeShade="BF"/>
    </w:rPr>
  </w:style>
  <w:style w:type="paragraph" w:styleId="Citazioneintensa">
    <w:name w:val="Intense Quote"/>
    <w:basedOn w:val="Normale"/>
    <w:next w:val="Normale"/>
    <w:link w:val="CitazioneintensaCarattere"/>
    <w:uiPriority w:val="30"/>
    <w:qFormat/>
    <w:rsid w:val="00985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85A84"/>
    <w:rPr>
      <w:i/>
      <w:iCs/>
      <w:color w:val="0F4761" w:themeColor="accent1" w:themeShade="BF"/>
    </w:rPr>
  </w:style>
  <w:style w:type="character" w:styleId="Riferimentointenso">
    <w:name w:val="Intense Reference"/>
    <w:basedOn w:val="Carpredefinitoparagrafo"/>
    <w:uiPriority w:val="32"/>
    <w:qFormat/>
    <w:rsid w:val="00985A84"/>
    <w:rPr>
      <w:b/>
      <w:bCs/>
      <w:smallCaps/>
      <w:color w:val="0F4761" w:themeColor="accent1" w:themeShade="BF"/>
      <w:spacing w:val="5"/>
    </w:rPr>
  </w:style>
  <w:style w:type="table" w:styleId="Grigliatabella">
    <w:name w:val="Table Grid"/>
    <w:basedOn w:val="Tabellanormale"/>
    <w:uiPriority w:val="39"/>
    <w:rsid w:val="00564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123634"/>
    <w:rPr>
      <w:sz w:val="16"/>
      <w:szCs w:val="16"/>
    </w:rPr>
  </w:style>
  <w:style w:type="paragraph" w:styleId="Testocommento">
    <w:name w:val="annotation text"/>
    <w:basedOn w:val="Normale"/>
    <w:link w:val="TestocommentoCarattere"/>
    <w:uiPriority w:val="99"/>
    <w:unhideWhenUsed/>
    <w:rsid w:val="00123634"/>
    <w:pPr>
      <w:spacing w:line="240" w:lineRule="auto"/>
    </w:pPr>
    <w:rPr>
      <w:sz w:val="20"/>
      <w:szCs w:val="20"/>
    </w:rPr>
  </w:style>
  <w:style w:type="character" w:customStyle="1" w:styleId="TestocommentoCarattere">
    <w:name w:val="Testo commento Carattere"/>
    <w:basedOn w:val="Carpredefinitoparagrafo"/>
    <w:link w:val="Testocommento"/>
    <w:uiPriority w:val="99"/>
    <w:rsid w:val="00123634"/>
    <w:rPr>
      <w:sz w:val="20"/>
      <w:szCs w:val="20"/>
    </w:rPr>
  </w:style>
  <w:style w:type="paragraph" w:styleId="Soggettocommento">
    <w:name w:val="annotation subject"/>
    <w:basedOn w:val="Testocommento"/>
    <w:next w:val="Testocommento"/>
    <w:link w:val="SoggettocommentoCarattere"/>
    <w:uiPriority w:val="99"/>
    <w:semiHidden/>
    <w:unhideWhenUsed/>
    <w:rsid w:val="00123634"/>
    <w:rPr>
      <w:b/>
      <w:bCs/>
    </w:rPr>
  </w:style>
  <w:style w:type="character" w:customStyle="1" w:styleId="SoggettocommentoCarattere">
    <w:name w:val="Soggetto commento Carattere"/>
    <w:basedOn w:val="TestocommentoCarattere"/>
    <w:link w:val="Soggettocommento"/>
    <w:uiPriority w:val="99"/>
    <w:semiHidden/>
    <w:rsid w:val="00123634"/>
    <w:rPr>
      <w:b/>
      <w:bCs/>
      <w:sz w:val="20"/>
      <w:szCs w:val="20"/>
    </w:rPr>
  </w:style>
  <w:style w:type="paragraph" w:styleId="Revisione">
    <w:name w:val="Revision"/>
    <w:hidden/>
    <w:uiPriority w:val="99"/>
    <w:semiHidden/>
    <w:rsid w:val="000A4516"/>
    <w:pPr>
      <w:spacing w:after="0" w:line="240" w:lineRule="auto"/>
    </w:pPr>
  </w:style>
  <w:style w:type="paragraph" w:styleId="Testofumetto">
    <w:name w:val="Balloon Text"/>
    <w:basedOn w:val="Normale"/>
    <w:link w:val="TestofumettoCarattere"/>
    <w:uiPriority w:val="99"/>
    <w:semiHidden/>
    <w:unhideWhenUsed/>
    <w:rsid w:val="0053771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377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971</Words>
  <Characters>5536</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Palmeri</dc:creator>
  <cp:lastModifiedBy>Serena Palmeri</cp:lastModifiedBy>
  <cp:revision>13</cp:revision>
  <dcterms:created xsi:type="dcterms:W3CDTF">2024-12-30T14:37:00Z</dcterms:created>
  <dcterms:modified xsi:type="dcterms:W3CDTF">2025-08-09T08:48:00Z</dcterms:modified>
</cp:coreProperties>
</file>