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63C91" w14:paraId="0F8AEEC3" w14:textId="77777777" w:rsidTr="008C190F">
        <w:tc>
          <w:tcPr>
            <w:tcW w:w="2500" w:type="pct"/>
          </w:tcPr>
          <w:p w14:paraId="341D1A3F" w14:textId="77777777" w:rsidR="00163C91" w:rsidRPr="002A47D8" w:rsidRDefault="00163C91" w:rsidP="008C190F">
            <w:pPr>
              <w:rPr>
                <w:b/>
                <w:bCs/>
              </w:rPr>
            </w:pPr>
            <w:r w:rsidRPr="002A47D8">
              <w:rPr>
                <w:b/>
                <w:bCs/>
              </w:rPr>
              <w:t>Criterion</w:t>
            </w:r>
          </w:p>
        </w:tc>
        <w:tc>
          <w:tcPr>
            <w:tcW w:w="2500" w:type="pct"/>
          </w:tcPr>
          <w:p w14:paraId="5B84C51E" w14:textId="77777777" w:rsidR="00163C91" w:rsidRPr="002A47D8" w:rsidRDefault="00163C91" w:rsidP="008C190F">
            <w:pPr>
              <w:rPr>
                <w:b/>
                <w:bCs/>
              </w:rPr>
            </w:pPr>
            <w:r w:rsidRPr="002A47D8">
              <w:rPr>
                <w:b/>
                <w:bCs/>
              </w:rPr>
              <w:t>Description</w:t>
            </w:r>
          </w:p>
        </w:tc>
      </w:tr>
      <w:tr w:rsidR="00163C91" w14:paraId="0A3F71E1" w14:textId="77777777" w:rsidTr="008C190F">
        <w:tc>
          <w:tcPr>
            <w:tcW w:w="2500" w:type="pct"/>
          </w:tcPr>
          <w:p w14:paraId="5FF660AA" w14:textId="77777777" w:rsidR="00163C91" w:rsidRDefault="00163C91" w:rsidP="008C190F">
            <w:r>
              <w:t>PS2 (Strong)</w:t>
            </w:r>
          </w:p>
        </w:tc>
        <w:tc>
          <w:tcPr>
            <w:tcW w:w="2500" w:type="pct"/>
          </w:tcPr>
          <w:p w14:paraId="09E751F2" w14:textId="0237F8CF" w:rsidR="00163C91" w:rsidRDefault="00163C91" w:rsidP="008C190F">
            <w:r>
              <w:t xml:space="preserve">De novo in patient; parents negative </w:t>
            </w:r>
            <w:r w:rsidR="005D5E72" w:rsidRPr="005D5E72">
              <w:t>based on targeted NGS segregation analysis</w:t>
            </w:r>
          </w:p>
        </w:tc>
      </w:tr>
      <w:tr w:rsidR="00163C91" w14:paraId="4FECB60D" w14:textId="77777777" w:rsidTr="008C190F">
        <w:tc>
          <w:tcPr>
            <w:tcW w:w="2500" w:type="pct"/>
          </w:tcPr>
          <w:p w14:paraId="3F008AB9" w14:textId="77777777" w:rsidR="00163C91" w:rsidRDefault="00163C91" w:rsidP="008C190F">
            <w:r>
              <w:t>PM1 (Moderate)</w:t>
            </w:r>
          </w:p>
        </w:tc>
        <w:tc>
          <w:tcPr>
            <w:tcW w:w="2500" w:type="pct"/>
          </w:tcPr>
          <w:p w14:paraId="12D6A7B6" w14:textId="77777777" w:rsidR="00163C91" w:rsidRDefault="00163C91" w:rsidP="008C190F">
            <w:r>
              <w:t>Located in known hotspot (DNA-binding domain)</w:t>
            </w:r>
          </w:p>
        </w:tc>
      </w:tr>
      <w:tr w:rsidR="00163C91" w14:paraId="102031D1" w14:textId="77777777" w:rsidTr="008C190F">
        <w:tc>
          <w:tcPr>
            <w:tcW w:w="2500" w:type="pct"/>
          </w:tcPr>
          <w:p w14:paraId="4710EEC2" w14:textId="77777777" w:rsidR="00163C91" w:rsidRDefault="00163C91" w:rsidP="008C190F">
            <w:r>
              <w:t>PM2 (Moderate)</w:t>
            </w:r>
          </w:p>
        </w:tc>
        <w:tc>
          <w:tcPr>
            <w:tcW w:w="2500" w:type="pct"/>
          </w:tcPr>
          <w:p w14:paraId="6FA460BD" w14:textId="77777777" w:rsidR="00163C91" w:rsidRDefault="00163C91" w:rsidP="008C190F">
            <w:r>
              <w:t>Absent from population databases</w:t>
            </w:r>
          </w:p>
        </w:tc>
      </w:tr>
      <w:tr w:rsidR="00163C91" w14:paraId="56CBE8F8" w14:textId="77777777" w:rsidTr="008C190F">
        <w:tc>
          <w:tcPr>
            <w:tcW w:w="2500" w:type="pct"/>
          </w:tcPr>
          <w:p w14:paraId="3E23DBD8" w14:textId="77777777" w:rsidR="00163C91" w:rsidRDefault="00163C91" w:rsidP="008C190F">
            <w:r>
              <w:t>PP3 (Supporting)</w:t>
            </w:r>
          </w:p>
        </w:tc>
        <w:tc>
          <w:tcPr>
            <w:tcW w:w="2500" w:type="pct"/>
          </w:tcPr>
          <w:p w14:paraId="00B5BACD" w14:textId="77777777" w:rsidR="00163C91" w:rsidRDefault="00163C91" w:rsidP="008C190F">
            <w:r>
              <w:t>Deleterious in silico prediction (CADD score: 23.4)</w:t>
            </w:r>
          </w:p>
        </w:tc>
      </w:tr>
      <w:tr w:rsidR="00163C91" w14:paraId="00181CCA" w14:textId="77777777" w:rsidTr="008C190F">
        <w:tc>
          <w:tcPr>
            <w:tcW w:w="2500" w:type="pct"/>
          </w:tcPr>
          <w:p w14:paraId="67B54929" w14:textId="77777777" w:rsidR="00163C91" w:rsidRDefault="00163C91" w:rsidP="008C190F">
            <w:r>
              <w:t>PP4 (Supporting)</w:t>
            </w:r>
          </w:p>
        </w:tc>
        <w:tc>
          <w:tcPr>
            <w:tcW w:w="2500" w:type="pct"/>
          </w:tcPr>
          <w:p w14:paraId="30C491BF" w14:textId="77777777" w:rsidR="00163C91" w:rsidRDefault="00163C91" w:rsidP="008C190F">
            <w:r>
              <w:t>Phenotype consistent with STAT1-GOF (CMC, TB, SLE, IL-17↓)</w:t>
            </w:r>
          </w:p>
        </w:tc>
      </w:tr>
    </w:tbl>
    <w:p w14:paraId="3815210A" w14:textId="52A74947" w:rsidR="00163C91" w:rsidRDefault="00163C91" w:rsidP="00163C91">
      <w:pPr>
        <w:rPr>
          <w:lang w:val="tr-TR"/>
        </w:rPr>
      </w:pPr>
      <w:r w:rsidRPr="0034609C">
        <w:rPr>
          <w:b/>
          <w:bCs/>
        </w:rPr>
        <w:t>Table 1.</w:t>
      </w:r>
      <w:r w:rsidRPr="0034609C">
        <w:t xml:space="preserve"> </w:t>
      </w:r>
      <w:r w:rsidRPr="0034609C">
        <w:rPr>
          <w:i/>
          <w:iCs/>
        </w:rPr>
        <w:t>Classification of the novel STAT1 variant (c.11</w:t>
      </w:r>
      <w:r w:rsidR="00AE628E">
        <w:rPr>
          <w:i/>
          <w:iCs/>
        </w:rPr>
        <w:t>60</w:t>
      </w:r>
      <w:r w:rsidRPr="0034609C">
        <w:rPr>
          <w:i/>
          <w:iCs/>
        </w:rPr>
        <w:t>C&gt;G; p.Thr387Arg) according to ACMG guidelines.</w:t>
      </w:r>
      <w:r>
        <w:rPr>
          <w:i/>
          <w:iCs/>
        </w:rPr>
        <w:t xml:space="preserve"> </w:t>
      </w:r>
      <w:r w:rsidRPr="0034609C">
        <w:t xml:space="preserve">This heterozygous missense variant, located in the DNA-binding domain, was classified as </w:t>
      </w:r>
      <w:r w:rsidRPr="0034609C">
        <w:rPr>
          <w:b/>
          <w:bCs/>
        </w:rPr>
        <w:t>likely pathogenic</w:t>
      </w:r>
      <w:r w:rsidRPr="0034609C">
        <w:t xml:space="preserve"> based on the 2015 ACMG-AMP criteria. Supporting evidence includes its de novo occurrence</w:t>
      </w:r>
      <w:r w:rsidR="00F30B2D">
        <w:t xml:space="preserve"> </w:t>
      </w:r>
      <w:r w:rsidR="00F30B2D" w:rsidRPr="00F30B2D">
        <w:t>confirmed by segregation analysis</w:t>
      </w:r>
      <w:r w:rsidRPr="0034609C">
        <w:t xml:space="preserve"> (PS2), location in a mutational hotspot (PM1), absence from population databases (PM2), predicted deleterious effect in silico (PP3), and clinical features consistent with STAT1-GOF (PP4).</w:t>
      </w:r>
    </w:p>
    <w:p w14:paraId="76FC7CCF" w14:textId="77777777" w:rsidR="005B33B2" w:rsidRDefault="005B33B2"/>
    <w:sectPr w:rsidR="005B3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7FD"/>
    <w:rsid w:val="00044323"/>
    <w:rsid w:val="00163C91"/>
    <w:rsid w:val="002D02B2"/>
    <w:rsid w:val="004C57FD"/>
    <w:rsid w:val="005B33B2"/>
    <w:rsid w:val="005D5E72"/>
    <w:rsid w:val="006F2570"/>
    <w:rsid w:val="00740BC5"/>
    <w:rsid w:val="00783C28"/>
    <w:rsid w:val="008E518E"/>
    <w:rsid w:val="00AE628E"/>
    <w:rsid w:val="00B95B07"/>
    <w:rsid w:val="00BD04E4"/>
    <w:rsid w:val="00DC45C6"/>
    <w:rsid w:val="00F273AD"/>
    <w:rsid w:val="00F30B2D"/>
    <w:rsid w:val="00F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92FCE"/>
  <w15:chartTrackingRefBased/>
  <w15:docId w15:val="{20F312B0-F05E-4719-94D1-035C9456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C91"/>
    <w:pPr>
      <w:spacing w:after="200" w:line="276" w:lineRule="auto"/>
    </w:pPr>
    <w:rPr>
      <w:rFonts w:ascii="Times New Roman" w:eastAsiaTheme="minorEastAsia" w:hAnsi="Times New Roman"/>
      <w:kern w:val="0"/>
      <w:sz w:val="24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C57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C57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C57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C57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C57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C57F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C57F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C57F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C57F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C57FD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C57F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C57FD"/>
    <w:rPr>
      <w:rFonts w:eastAsiaTheme="majorEastAsia" w:cstheme="majorBidi"/>
      <w:color w:val="2E74B5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C57FD"/>
    <w:rPr>
      <w:rFonts w:eastAsiaTheme="majorEastAsia" w:cstheme="majorBidi"/>
      <w:i/>
      <w:iCs/>
      <w:color w:val="2E74B5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C57FD"/>
    <w:rPr>
      <w:rFonts w:eastAsiaTheme="majorEastAsia" w:cstheme="majorBidi"/>
      <w:color w:val="2E74B5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C57FD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C57FD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C57FD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C57FD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4C5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C57F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4C57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C57F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4C57FD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C57FD"/>
    <w:rPr>
      <w:rFonts w:ascii="Times New Roman" w:hAnsi="Times New Roman"/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4C57FD"/>
    <w:pPr>
      <w:spacing w:after="160" w:line="259" w:lineRule="auto"/>
      <w:ind w:left="720"/>
      <w:contextualSpacing/>
    </w:pPr>
    <w:rPr>
      <w:rFonts w:eastAsiaTheme="minorHAnsi"/>
      <w:kern w:val="2"/>
      <w:sz w:val="2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C57FD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C57F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E74B5" w:themeColor="accent1" w:themeShade="BF"/>
      <w:kern w:val="2"/>
      <w:sz w:val="2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C57FD"/>
    <w:rPr>
      <w:rFonts w:ascii="Times New Roman" w:hAnsi="Times New Roman"/>
      <w:i/>
      <w:iCs/>
      <w:color w:val="2E74B5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4C57F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ARSLAN</dc:creator>
  <cp:keywords/>
  <dc:description/>
  <cp:lastModifiedBy>Serkan ARSLAN</cp:lastModifiedBy>
  <cp:revision>5</cp:revision>
  <dcterms:created xsi:type="dcterms:W3CDTF">2026-03-16T11:55:00Z</dcterms:created>
  <dcterms:modified xsi:type="dcterms:W3CDTF">2026-03-24T15:37:00Z</dcterms:modified>
</cp:coreProperties>
</file>