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3AB9C7" w14:textId="77777777" w:rsidR="00077EFE" w:rsidRPr="006117AF" w:rsidRDefault="00077EFE" w:rsidP="00077EFE">
      <w:pPr>
        <w:jc w:val="center"/>
        <w:rPr>
          <w:rFonts w:ascii="Times New Roman" w:hAnsi="Times New Roman" w:cs="Times New Roman"/>
          <w:b/>
          <w:noProof/>
          <w:sz w:val="28"/>
          <w:szCs w:val="28"/>
          <w:lang w:val="en-US" w:eastAsia="tr-TR"/>
        </w:rPr>
      </w:pPr>
      <w:r w:rsidRPr="006117AF">
        <w:rPr>
          <w:rFonts w:ascii="Times New Roman" w:hAnsi="Times New Roman" w:cs="Times New Roman"/>
          <w:b/>
          <w:noProof/>
          <w:sz w:val="28"/>
          <w:szCs w:val="28"/>
          <w:lang w:val="en-US" w:eastAsia="tr-TR"/>
        </w:rPr>
        <w:t>Supplementary Information</w:t>
      </w:r>
    </w:p>
    <w:p w14:paraId="22F5ED1F" w14:textId="77777777" w:rsidR="00077EFE" w:rsidRPr="006117AF" w:rsidRDefault="00077EFE" w:rsidP="00077EFE">
      <w:pPr>
        <w:jc w:val="center"/>
        <w:rPr>
          <w:rFonts w:ascii="Times New Roman" w:hAnsi="Times New Roman" w:cs="Times New Roman"/>
          <w:b/>
          <w:noProof/>
          <w:sz w:val="28"/>
          <w:szCs w:val="28"/>
          <w:lang w:val="en-US" w:eastAsia="tr-TR"/>
        </w:rPr>
      </w:pPr>
    </w:p>
    <w:p w14:paraId="4F969268" w14:textId="77777777" w:rsidR="00077EFE" w:rsidRPr="006117AF" w:rsidRDefault="00077EFE" w:rsidP="00C8562F">
      <w:pPr>
        <w:jc w:val="center"/>
        <w:rPr>
          <w:rFonts w:ascii="Times New Roman" w:hAnsi="Times New Roman" w:cs="Times New Roman"/>
          <w:b/>
          <w:noProof/>
          <w:sz w:val="28"/>
          <w:szCs w:val="28"/>
          <w:lang w:val="en-US" w:eastAsia="tr-TR"/>
        </w:rPr>
      </w:pPr>
      <w:r w:rsidRPr="006117AF">
        <w:rPr>
          <w:rFonts w:ascii="Times New Roman" w:hAnsi="Times New Roman" w:cs="Times New Roman"/>
          <w:b/>
          <w:noProof/>
          <w:sz w:val="28"/>
          <w:szCs w:val="28"/>
          <w:lang w:val="en-US" w:eastAsia="tr-TR"/>
        </w:rPr>
        <w:t>Evaluation of the cytotoxicity and molecular docking properties of the green synthesis of Ag</w:t>
      </w:r>
      <w:r w:rsidRPr="006117AF">
        <w:rPr>
          <w:rFonts w:ascii="Times New Roman" w:hAnsi="Times New Roman" w:cs="Times New Roman"/>
          <w:b/>
          <w:noProof/>
          <w:sz w:val="28"/>
          <w:szCs w:val="28"/>
          <w:vertAlign w:val="subscript"/>
          <w:lang w:val="en-US" w:eastAsia="tr-TR"/>
        </w:rPr>
        <w:t>2</w:t>
      </w:r>
      <w:r w:rsidRPr="006117AF">
        <w:rPr>
          <w:rFonts w:ascii="Times New Roman" w:hAnsi="Times New Roman" w:cs="Times New Roman"/>
          <w:b/>
          <w:noProof/>
          <w:sz w:val="28"/>
          <w:szCs w:val="28"/>
          <w:lang w:val="en-US" w:eastAsia="tr-TR"/>
        </w:rPr>
        <w:t>S nanoparticles</w:t>
      </w:r>
    </w:p>
    <w:p w14:paraId="5E7B78F2" w14:textId="77777777" w:rsidR="00077EFE" w:rsidRPr="006117AF" w:rsidRDefault="00077EFE" w:rsidP="00077EFE">
      <w:pPr>
        <w:jc w:val="center"/>
        <w:rPr>
          <w:rFonts w:ascii="Times New Roman" w:hAnsi="Times New Roman" w:cs="Times New Roman"/>
          <w:b/>
          <w:noProof/>
          <w:sz w:val="24"/>
          <w:szCs w:val="24"/>
          <w:lang w:val="en-US" w:eastAsia="tr-TR"/>
        </w:rPr>
      </w:pPr>
    </w:p>
    <w:p w14:paraId="41DBBB99" w14:textId="77777777" w:rsidR="00077EFE" w:rsidRPr="006117AF" w:rsidRDefault="00077EFE" w:rsidP="00077EFE">
      <w:pPr>
        <w:jc w:val="center"/>
        <w:rPr>
          <w:rFonts w:ascii="Times New Roman" w:hAnsi="Times New Roman" w:cs="Times New Roman"/>
          <w:noProof/>
          <w:sz w:val="24"/>
          <w:szCs w:val="24"/>
          <w:vertAlign w:val="superscript"/>
          <w:lang w:val="en-US" w:eastAsia="tr-TR"/>
        </w:rPr>
      </w:pPr>
      <w:r w:rsidRPr="006117AF">
        <w:rPr>
          <w:rFonts w:ascii="Times New Roman" w:hAnsi="Times New Roman" w:cs="Times New Roman"/>
          <w:noProof/>
          <w:sz w:val="24"/>
          <w:szCs w:val="24"/>
          <w:lang w:val="en-US" w:eastAsia="tr-TR"/>
        </w:rPr>
        <w:t>Emine Arslan</w:t>
      </w:r>
      <w:r w:rsidR="009E610F" w:rsidRPr="006117AF">
        <w:rPr>
          <w:rFonts w:ascii="Times New Roman" w:hAnsi="Times New Roman" w:cs="Times New Roman"/>
          <w:noProof/>
          <w:sz w:val="24"/>
          <w:szCs w:val="24"/>
          <w:vertAlign w:val="superscript"/>
          <w:lang w:val="en-US" w:eastAsia="tr-TR"/>
        </w:rPr>
        <w:t>1</w:t>
      </w:r>
      <w:r w:rsidRPr="006117AF">
        <w:rPr>
          <w:rFonts w:ascii="Times New Roman" w:hAnsi="Times New Roman" w:cs="Times New Roman"/>
          <w:noProof/>
          <w:sz w:val="24"/>
          <w:szCs w:val="24"/>
          <w:lang w:val="en-US" w:eastAsia="tr-TR"/>
        </w:rPr>
        <w:t>,</w:t>
      </w:r>
      <w:r w:rsidRPr="006117AF">
        <w:rPr>
          <w:rFonts w:ascii="Times New Roman" w:hAnsi="Times New Roman" w:cs="Times New Roman"/>
          <w:noProof/>
          <w:sz w:val="24"/>
          <w:szCs w:val="24"/>
          <w:vertAlign w:val="superscript"/>
          <w:lang w:val="en-US" w:eastAsia="tr-TR"/>
        </w:rPr>
        <w:t xml:space="preserve"> </w:t>
      </w:r>
      <w:r w:rsidRPr="006117AF">
        <w:rPr>
          <w:rFonts w:ascii="Times New Roman" w:hAnsi="Times New Roman" w:cs="Times New Roman"/>
          <w:noProof/>
          <w:sz w:val="24"/>
          <w:szCs w:val="24"/>
          <w:lang w:val="en-US" w:eastAsia="tr-TR"/>
        </w:rPr>
        <w:t>Busra Ozcay Eksi</w:t>
      </w:r>
      <w:r w:rsidR="009E610F" w:rsidRPr="006117AF">
        <w:rPr>
          <w:rFonts w:ascii="Times New Roman" w:hAnsi="Times New Roman" w:cs="Times New Roman"/>
          <w:noProof/>
          <w:sz w:val="24"/>
          <w:szCs w:val="24"/>
          <w:vertAlign w:val="superscript"/>
          <w:lang w:val="en-US" w:eastAsia="tr-TR"/>
        </w:rPr>
        <w:t>1</w:t>
      </w:r>
      <w:r w:rsidRPr="006117AF">
        <w:rPr>
          <w:rFonts w:ascii="Times New Roman" w:hAnsi="Times New Roman" w:cs="Times New Roman"/>
          <w:noProof/>
          <w:sz w:val="24"/>
          <w:szCs w:val="24"/>
          <w:lang w:val="en-US" w:eastAsia="tr-TR"/>
        </w:rPr>
        <w:t>, Erman Salih Istifli</w:t>
      </w:r>
      <w:r w:rsidR="009E610F" w:rsidRPr="006117AF">
        <w:rPr>
          <w:rFonts w:ascii="Times New Roman" w:hAnsi="Times New Roman" w:cs="Times New Roman"/>
          <w:noProof/>
          <w:sz w:val="24"/>
          <w:szCs w:val="24"/>
          <w:vertAlign w:val="superscript"/>
          <w:lang w:val="en-US" w:eastAsia="tr-TR"/>
        </w:rPr>
        <w:t>2</w:t>
      </w:r>
      <w:r w:rsidRPr="006117AF">
        <w:rPr>
          <w:rFonts w:ascii="Times New Roman" w:hAnsi="Times New Roman" w:cs="Times New Roman"/>
          <w:noProof/>
          <w:sz w:val="24"/>
          <w:szCs w:val="24"/>
          <w:lang w:val="en-US" w:eastAsia="tr-TR"/>
        </w:rPr>
        <w:t>, Keziban Atacan</w:t>
      </w:r>
      <w:r w:rsidR="009E610F" w:rsidRPr="006117AF">
        <w:rPr>
          <w:rFonts w:ascii="Times New Roman" w:hAnsi="Times New Roman" w:cs="Times New Roman"/>
          <w:noProof/>
          <w:sz w:val="24"/>
          <w:szCs w:val="24"/>
          <w:vertAlign w:val="superscript"/>
          <w:lang w:val="en-US" w:eastAsia="tr-TR"/>
        </w:rPr>
        <w:t>3</w:t>
      </w:r>
      <w:r w:rsidRPr="006117AF">
        <w:rPr>
          <w:rFonts w:ascii="Times New Roman" w:hAnsi="Times New Roman" w:cs="Times New Roman"/>
          <w:noProof/>
          <w:sz w:val="24"/>
          <w:szCs w:val="24"/>
          <w:lang w:val="en-US" w:eastAsia="tr-TR"/>
        </w:rPr>
        <w:t>, Salih Zeki Bas</w:t>
      </w:r>
      <w:r w:rsidR="009E610F" w:rsidRPr="006117AF">
        <w:rPr>
          <w:rFonts w:ascii="Times New Roman" w:hAnsi="Times New Roman" w:cs="Times New Roman"/>
          <w:noProof/>
          <w:sz w:val="24"/>
          <w:szCs w:val="24"/>
          <w:vertAlign w:val="superscript"/>
          <w:lang w:val="en-US" w:eastAsia="tr-TR"/>
        </w:rPr>
        <w:t>4</w:t>
      </w:r>
      <w:r w:rsidRPr="006117AF">
        <w:rPr>
          <w:rFonts w:ascii="Times New Roman" w:hAnsi="Times New Roman" w:cs="Times New Roman"/>
          <w:noProof/>
          <w:sz w:val="24"/>
          <w:szCs w:val="24"/>
          <w:lang w:val="en-US" w:eastAsia="tr-TR"/>
        </w:rPr>
        <w:t>, Mustafa Ozmen</w:t>
      </w:r>
      <w:r w:rsidR="009E610F" w:rsidRPr="006117AF">
        <w:rPr>
          <w:rFonts w:ascii="Times New Roman" w:hAnsi="Times New Roman" w:cs="Times New Roman"/>
          <w:noProof/>
          <w:sz w:val="24"/>
          <w:szCs w:val="24"/>
          <w:vertAlign w:val="superscript"/>
          <w:lang w:val="en-US" w:eastAsia="tr-TR"/>
        </w:rPr>
        <w:t>4</w:t>
      </w:r>
      <w:r w:rsidR="001A2737" w:rsidRPr="006117AF">
        <w:rPr>
          <w:rFonts w:ascii="Times New Roman" w:hAnsi="Times New Roman" w:cs="Times New Roman"/>
          <w:noProof/>
          <w:sz w:val="24"/>
          <w:szCs w:val="24"/>
          <w:vertAlign w:val="superscript"/>
          <w:lang w:val="en-US" w:eastAsia="tr-TR"/>
        </w:rPr>
        <w:t>,</w:t>
      </w:r>
      <w:r w:rsidR="001A2737" w:rsidRPr="006117AF">
        <w:rPr>
          <w:rStyle w:val="FootnoteReference"/>
          <w:rFonts w:ascii="Times New Roman" w:hAnsi="Times New Roman" w:cs="Times New Roman"/>
          <w:noProof/>
          <w:sz w:val="24"/>
          <w:szCs w:val="24"/>
          <w:lang w:val="en-US" w:eastAsia="tr-TR"/>
        </w:rPr>
        <w:footnoteReference w:id="1"/>
      </w:r>
    </w:p>
    <w:p w14:paraId="25B8B4B3" w14:textId="77777777" w:rsidR="00077EFE" w:rsidRPr="006117AF" w:rsidRDefault="00077EFE" w:rsidP="00077EFE">
      <w:pPr>
        <w:jc w:val="center"/>
        <w:rPr>
          <w:rFonts w:ascii="Times New Roman" w:hAnsi="Times New Roman" w:cs="Times New Roman"/>
          <w:noProof/>
          <w:sz w:val="24"/>
          <w:szCs w:val="24"/>
          <w:vertAlign w:val="superscript"/>
          <w:lang w:val="en-US" w:eastAsia="tr-TR"/>
        </w:rPr>
      </w:pPr>
    </w:p>
    <w:p w14:paraId="39F901E2" w14:textId="77777777" w:rsidR="00077EFE" w:rsidRPr="006117AF" w:rsidRDefault="009E610F" w:rsidP="00077EFE">
      <w:pPr>
        <w:spacing w:after="0" w:line="276" w:lineRule="auto"/>
        <w:jc w:val="center"/>
        <w:rPr>
          <w:rFonts w:ascii="Times New Roman" w:eastAsia="Times New Roman" w:hAnsi="Times New Roman" w:cs="Times New Roman"/>
          <w:i/>
          <w:kern w:val="2"/>
          <w:lang w:val="en-US" w:eastAsia="tr-TR"/>
        </w:rPr>
      </w:pPr>
      <w:r w:rsidRPr="006117AF">
        <w:rPr>
          <w:rFonts w:ascii="Times New Roman" w:eastAsia="Times New Roman" w:hAnsi="Times New Roman" w:cs="Times New Roman"/>
          <w:i/>
          <w:kern w:val="2"/>
          <w:vertAlign w:val="superscript"/>
          <w:lang w:val="en-US" w:eastAsia="tr-TR"/>
        </w:rPr>
        <w:t>1</w:t>
      </w:r>
      <w:r w:rsidR="00077EFE" w:rsidRPr="006117AF">
        <w:rPr>
          <w:rFonts w:ascii="Times New Roman" w:eastAsia="Times New Roman" w:hAnsi="Times New Roman" w:cs="Times New Roman"/>
          <w:i/>
          <w:kern w:val="2"/>
          <w:lang w:val="en-US" w:eastAsia="tr-TR"/>
        </w:rPr>
        <w:t xml:space="preserve">Selçuk University, Science Faculty, Department of Biology, 42250, Konya, </w:t>
      </w:r>
      <w:proofErr w:type="spellStart"/>
      <w:r w:rsidR="00077EFE" w:rsidRPr="006117AF">
        <w:rPr>
          <w:rFonts w:ascii="Times New Roman" w:eastAsia="Times New Roman" w:hAnsi="Times New Roman" w:cs="Times New Roman"/>
          <w:i/>
          <w:kern w:val="2"/>
          <w:lang w:val="en-US" w:eastAsia="tr-TR"/>
        </w:rPr>
        <w:t>Türkiye</w:t>
      </w:r>
      <w:proofErr w:type="spellEnd"/>
    </w:p>
    <w:p w14:paraId="20CA0030" w14:textId="77777777" w:rsidR="00077EFE" w:rsidRPr="006117AF" w:rsidRDefault="009E610F" w:rsidP="00077EFE">
      <w:pPr>
        <w:spacing w:after="0" w:line="276" w:lineRule="auto"/>
        <w:jc w:val="center"/>
        <w:rPr>
          <w:rFonts w:ascii="Times New Roman" w:hAnsi="Times New Roman" w:cs="Times New Roman"/>
          <w:i/>
          <w:noProof/>
          <w:sz w:val="24"/>
          <w:szCs w:val="24"/>
          <w:vertAlign w:val="superscript"/>
          <w:lang w:val="en-US" w:eastAsia="tr-TR"/>
        </w:rPr>
      </w:pPr>
      <w:r w:rsidRPr="006117AF">
        <w:rPr>
          <w:rFonts w:ascii="Times New Roman" w:hAnsi="Times New Roman" w:cs="Times New Roman"/>
          <w:i/>
          <w:vertAlign w:val="superscript"/>
          <w:lang w:val="en-US"/>
        </w:rPr>
        <w:t>2</w:t>
      </w:r>
      <w:r w:rsidR="002972A0" w:rsidRPr="006117AF">
        <w:rPr>
          <w:rFonts w:ascii="Times New Roman" w:hAnsi="Times New Roman" w:cs="Times New Roman"/>
          <w:i/>
          <w:lang w:val="en-US"/>
        </w:rPr>
        <w:t xml:space="preserve">Çukurova University, </w:t>
      </w:r>
      <w:r w:rsidR="00077EFE" w:rsidRPr="006117AF">
        <w:rPr>
          <w:rFonts w:ascii="Times New Roman" w:hAnsi="Times New Roman" w:cs="Times New Roman"/>
          <w:i/>
          <w:lang w:val="en-US"/>
        </w:rPr>
        <w:t xml:space="preserve">Faculty of Science and Literature, Department of Biology, 01330, Adana, </w:t>
      </w:r>
      <w:proofErr w:type="spellStart"/>
      <w:r w:rsidR="00077EFE" w:rsidRPr="006117AF">
        <w:rPr>
          <w:rFonts w:ascii="Times New Roman" w:hAnsi="Times New Roman" w:cs="Times New Roman"/>
          <w:i/>
          <w:lang w:val="en-US"/>
        </w:rPr>
        <w:t>Türkiye</w:t>
      </w:r>
      <w:proofErr w:type="spellEnd"/>
    </w:p>
    <w:p w14:paraId="0075F70D" w14:textId="77777777" w:rsidR="00077EFE" w:rsidRPr="006117AF" w:rsidRDefault="009E610F" w:rsidP="00077EFE">
      <w:pPr>
        <w:spacing w:after="0" w:line="276" w:lineRule="auto"/>
        <w:jc w:val="center"/>
        <w:rPr>
          <w:rFonts w:ascii="Times New Roman" w:eastAsia="Calibri" w:hAnsi="Times New Roman" w:cs="Times New Roman"/>
          <w:bCs/>
          <w:i/>
          <w:kern w:val="2"/>
          <w:lang w:val="en-US"/>
        </w:rPr>
      </w:pPr>
      <w:r w:rsidRPr="006117AF">
        <w:rPr>
          <w:rFonts w:ascii="Times New Roman" w:eastAsia="Calibri" w:hAnsi="Times New Roman" w:cs="Times New Roman"/>
          <w:bCs/>
          <w:i/>
          <w:kern w:val="2"/>
          <w:vertAlign w:val="superscript"/>
          <w:lang w:val="en-US"/>
        </w:rPr>
        <w:t>3</w:t>
      </w:r>
      <w:r w:rsidR="00077EFE" w:rsidRPr="006117AF">
        <w:rPr>
          <w:rFonts w:ascii="Times New Roman" w:eastAsia="Calibri" w:hAnsi="Times New Roman" w:cs="Times New Roman"/>
          <w:bCs/>
          <w:i/>
          <w:kern w:val="2"/>
          <w:lang w:val="en-US"/>
        </w:rPr>
        <w:t xml:space="preserve">Sakarya University of Applied Sciences, Faculty of Technology, </w:t>
      </w:r>
      <w:r w:rsidR="00077EFE" w:rsidRPr="006117AF">
        <w:rPr>
          <w:rFonts w:ascii="Times New Roman" w:eastAsia="Times New Roman" w:hAnsi="Times New Roman" w:cs="Times New Roman"/>
          <w:i/>
          <w:kern w:val="2"/>
          <w:lang w:val="en-US" w:eastAsia="tr-TR"/>
        </w:rPr>
        <w:t>Department of Engineering Fundamental Sciences</w:t>
      </w:r>
      <w:r w:rsidR="00077EFE" w:rsidRPr="006117AF">
        <w:rPr>
          <w:rFonts w:ascii="Times New Roman" w:eastAsia="Calibri" w:hAnsi="Times New Roman" w:cs="Times New Roman"/>
          <w:bCs/>
          <w:i/>
          <w:kern w:val="2"/>
          <w:lang w:val="en-US"/>
        </w:rPr>
        <w:t xml:space="preserve">, 54050, </w:t>
      </w:r>
      <w:proofErr w:type="spellStart"/>
      <w:r w:rsidR="00077EFE" w:rsidRPr="006117AF">
        <w:rPr>
          <w:rFonts w:ascii="Times New Roman" w:eastAsia="Calibri" w:hAnsi="Times New Roman" w:cs="Times New Roman"/>
          <w:bCs/>
          <w:i/>
          <w:kern w:val="2"/>
          <w:lang w:val="en-US"/>
        </w:rPr>
        <w:t>Sakarya</w:t>
      </w:r>
      <w:proofErr w:type="spellEnd"/>
      <w:r w:rsidR="00077EFE" w:rsidRPr="006117AF">
        <w:rPr>
          <w:rFonts w:ascii="Times New Roman" w:eastAsia="Calibri" w:hAnsi="Times New Roman" w:cs="Times New Roman"/>
          <w:bCs/>
          <w:i/>
          <w:kern w:val="2"/>
          <w:lang w:val="en-US"/>
        </w:rPr>
        <w:t xml:space="preserve">, </w:t>
      </w:r>
      <w:proofErr w:type="spellStart"/>
      <w:r w:rsidR="00077EFE" w:rsidRPr="006117AF">
        <w:rPr>
          <w:rFonts w:ascii="Times New Roman" w:eastAsia="Times New Roman" w:hAnsi="Times New Roman" w:cs="Times New Roman"/>
          <w:i/>
          <w:kern w:val="2"/>
          <w:lang w:val="en-US" w:eastAsia="tr-TR"/>
        </w:rPr>
        <w:t>Türkiye</w:t>
      </w:r>
      <w:proofErr w:type="spellEnd"/>
      <w:r w:rsidR="00077EFE" w:rsidRPr="006117AF">
        <w:rPr>
          <w:rFonts w:ascii="Times New Roman" w:eastAsia="Times New Roman" w:hAnsi="Times New Roman" w:cs="Times New Roman"/>
          <w:i/>
          <w:kern w:val="2"/>
          <w:lang w:val="en-US" w:eastAsia="tr-TR"/>
        </w:rPr>
        <w:t>.</w:t>
      </w:r>
    </w:p>
    <w:p w14:paraId="48935762" w14:textId="77777777" w:rsidR="00077EFE" w:rsidRPr="006117AF" w:rsidRDefault="009E610F" w:rsidP="00077EFE">
      <w:pPr>
        <w:jc w:val="center"/>
        <w:rPr>
          <w:lang w:val="en-US"/>
        </w:rPr>
      </w:pPr>
      <w:r w:rsidRPr="006117AF">
        <w:rPr>
          <w:rFonts w:ascii="Times New Roman" w:eastAsia="Times New Roman" w:hAnsi="Times New Roman" w:cs="Times New Roman"/>
          <w:i/>
          <w:kern w:val="2"/>
          <w:vertAlign w:val="superscript"/>
          <w:lang w:val="en-US" w:eastAsia="tr-TR"/>
        </w:rPr>
        <w:t>4</w:t>
      </w:r>
      <w:r w:rsidR="00077EFE" w:rsidRPr="006117AF">
        <w:rPr>
          <w:rFonts w:ascii="Times New Roman" w:eastAsia="Times New Roman" w:hAnsi="Times New Roman" w:cs="Times New Roman"/>
          <w:i/>
          <w:kern w:val="2"/>
          <w:lang w:val="en-US" w:eastAsia="tr-TR"/>
        </w:rPr>
        <w:t xml:space="preserve">Selçuk University, Science Faculty, Department of Chemistry, 42250, Konya, </w:t>
      </w:r>
      <w:proofErr w:type="spellStart"/>
      <w:r w:rsidR="00077EFE" w:rsidRPr="006117AF">
        <w:rPr>
          <w:rFonts w:ascii="Times New Roman" w:eastAsia="Times New Roman" w:hAnsi="Times New Roman" w:cs="Times New Roman"/>
          <w:i/>
          <w:kern w:val="2"/>
          <w:lang w:val="en-US" w:eastAsia="tr-TR"/>
        </w:rPr>
        <w:t>Türkiye</w:t>
      </w:r>
      <w:proofErr w:type="spellEnd"/>
    </w:p>
    <w:p w14:paraId="578C2424" w14:textId="77777777" w:rsidR="00077EFE" w:rsidRPr="006117AF" w:rsidRDefault="00077EFE" w:rsidP="00077EFE">
      <w:pPr>
        <w:rPr>
          <w:lang w:val="en-US"/>
        </w:rPr>
      </w:pPr>
    </w:p>
    <w:p w14:paraId="365360B4" w14:textId="77777777" w:rsidR="0036231A" w:rsidRPr="006117AF" w:rsidRDefault="0036231A" w:rsidP="00077EFE">
      <w:pPr>
        <w:rPr>
          <w:lang w:val="en-US"/>
        </w:rPr>
      </w:pPr>
    </w:p>
    <w:p w14:paraId="37B1BB3F" w14:textId="77777777" w:rsidR="00077EFE" w:rsidRPr="006117AF" w:rsidRDefault="00077EFE" w:rsidP="00077EFE">
      <w:pPr>
        <w:tabs>
          <w:tab w:val="left" w:pos="567"/>
        </w:tabs>
        <w:spacing w:line="360" w:lineRule="auto"/>
        <w:rPr>
          <w:rFonts w:ascii="Times New Roman" w:hAnsi="Times New Roman" w:cs="Times New Roman"/>
          <w:b/>
          <w:noProof/>
          <w:sz w:val="24"/>
          <w:szCs w:val="24"/>
          <w:lang w:val="en-US" w:eastAsia="tr-TR"/>
        </w:rPr>
      </w:pPr>
      <w:r w:rsidRPr="006117AF">
        <w:rPr>
          <w:rFonts w:ascii="Times New Roman" w:hAnsi="Times New Roman" w:cs="Times New Roman"/>
          <w:b/>
          <w:noProof/>
          <w:sz w:val="24"/>
          <w:szCs w:val="24"/>
          <w:lang w:val="en-US" w:eastAsia="tr-TR"/>
        </w:rPr>
        <w:t>Reagents and apparatus</w:t>
      </w:r>
    </w:p>
    <w:p w14:paraId="38694245" w14:textId="77777777" w:rsidR="00077EFE" w:rsidRPr="006117AF" w:rsidRDefault="00077EFE" w:rsidP="004F75B9">
      <w:pPr>
        <w:spacing w:line="360" w:lineRule="auto"/>
        <w:jc w:val="both"/>
        <w:rPr>
          <w:rFonts w:ascii="Times New Roman" w:hAnsi="Times New Roman" w:cs="Times New Roman"/>
          <w:bCs/>
          <w:noProof/>
          <w:sz w:val="24"/>
          <w:szCs w:val="24"/>
          <w:lang w:val="en-US" w:eastAsia="tr-TR"/>
        </w:rPr>
      </w:pPr>
      <w:r w:rsidRPr="006117AF">
        <w:rPr>
          <w:rFonts w:ascii="Times New Roman" w:hAnsi="Times New Roman" w:cs="Times New Roman"/>
          <w:bCs/>
          <w:noProof/>
          <w:sz w:val="24"/>
          <w:szCs w:val="24"/>
          <w:lang w:val="en-US" w:eastAsia="tr-TR"/>
        </w:rPr>
        <w:t>Sweet cherry  (</w:t>
      </w:r>
      <w:r w:rsidRPr="006117AF">
        <w:rPr>
          <w:rFonts w:ascii="Times New Roman" w:hAnsi="Times New Roman" w:cs="Times New Roman"/>
          <w:bCs/>
          <w:i/>
          <w:noProof/>
          <w:sz w:val="24"/>
          <w:szCs w:val="24"/>
          <w:lang w:val="en-US" w:eastAsia="tr-TR"/>
        </w:rPr>
        <w:t>prunus avium</w:t>
      </w:r>
      <w:r w:rsidR="002972A0" w:rsidRPr="006117AF">
        <w:rPr>
          <w:rFonts w:ascii="Times New Roman" w:hAnsi="Times New Roman" w:cs="Times New Roman"/>
          <w:bCs/>
          <w:i/>
          <w:noProof/>
          <w:sz w:val="24"/>
          <w:szCs w:val="24"/>
          <w:lang w:val="en-US" w:eastAsia="tr-TR"/>
        </w:rPr>
        <w:t xml:space="preserve"> </w:t>
      </w:r>
      <w:r w:rsidR="002972A0" w:rsidRPr="006117AF">
        <w:rPr>
          <w:rFonts w:ascii="Times New Roman" w:hAnsi="Times New Roman" w:cs="Times New Roman"/>
          <w:bCs/>
          <w:noProof/>
          <w:sz w:val="24"/>
          <w:szCs w:val="24"/>
          <w:lang w:val="en-US" w:eastAsia="tr-TR"/>
        </w:rPr>
        <w:t>L.</w:t>
      </w:r>
      <w:r w:rsidRPr="006117AF">
        <w:rPr>
          <w:rFonts w:ascii="Times New Roman" w:hAnsi="Times New Roman" w:cs="Times New Roman"/>
          <w:bCs/>
          <w:noProof/>
          <w:sz w:val="24"/>
          <w:szCs w:val="24"/>
          <w:lang w:val="en-US" w:eastAsia="tr-TR"/>
        </w:rPr>
        <w:t>) fruits were collected from the trees grown in Eşme district of Kocaeli (Türkiye) province and stored in the freezer at -20 °C until used. Silver nitrate (AgNO</w:t>
      </w:r>
      <w:r w:rsidRPr="006117AF">
        <w:rPr>
          <w:rFonts w:ascii="Times New Roman" w:hAnsi="Times New Roman" w:cs="Times New Roman"/>
          <w:bCs/>
          <w:noProof/>
          <w:sz w:val="24"/>
          <w:szCs w:val="24"/>
          <w:vertAlign w:val="subscript"/>
          <w:lang w:val="en-US" w:eastAsia="tr-TR"/>
        </w:rPr>
        <w:t>3</w:t>
      </w:r>
      <w:r w:rsidRPr="006117AF">
        <w:rPr>
          <w:rFonts w:ascii="Times New Roman" w:hAnsi="Times New Roman" w:cs="Times New Roman"/>
          <w:bCs/>
          <w:noProof/>
          <w:sz w:val="24"/>
          <w:szCs w:val="24"/>
          <w:lang w:val="en-US" w:eastAsia="tr-TR"/>
        </w:rPr>
        <w:t>), sodium sulfide hydrate (Na</w:t>
      </w:r>
      <w:r w:rsidRPr="006117AF">
        <w:rPr>
          <w:rFonts w:ascii="Times New Roman" w:hAnsi="Times New Roman" w:cs="Times New Roman"/>
          <w:bCs/>
          <w:noProof/>
          <w:sz w:val="24"/>
          <w:szCs w:val="24"/>
          <w:vertAlign w:val="subscript"/>
          <w:lang w:val="en-US" w:eastAsia="tr-TR"/>
        </w:rPr>
        <w:t>2</w:t>
      </w:r>
      <w:r w:rsidRPr="006117AF">
        <w:rPr>
          <w:rFonts w:ascii="Times New Roman" w:hAnsi="Times New Roman" w:cs="Times New Roman"/>
          <w:bCs/>
          <w:noProof/>
          <w:sz w:val="24"/>
          <w:szCs w:val="24"/>
          <w:lang w:val="en-US" w:eastAsia="tr-TR"/>
        </w:rPr>
        <w:t>S.xH</w:t>
      </w:r>
      <w:r w:rsidRPr="006117AF">
        <w:rPr>
          <w:rFonts w:ascii="Times New Roman" w:hAnsi="Times New Roman" w:cs="Times New Roman"/>
          <w:bCs/>
          <w:noProof/>
          <w:sz w:val="24"/>
          <w:szCs w:val="24"/>
          <w:vertAlign w:val="subscript"/>
          <w:lang w:val="en-US" w:eastAsia="tr-TR"/>
        </w:rPr>
        <w:t>2</w:t>
      </w:r>
      <w:r w:rsidRPr="006117AF">
        <w:rPr>
          <w:rFonts w:ascii="Times New Roman" w:hAnsi="Times New Roman" w:cs="Times New Roman"/>
          <w:bCs/>
          <w:noProof/>
          <w:sz w:val="24"/>
          <w:szCs w:val="24"/>
          <w:lang w:val="en-US" w:eastAsia="tr-TR"/>
        </w:rPr>
        <w:t xml:space="preserve">O), and ethanol were obtained by Merck (Germany). </w:t>
      </w:r>
    </w:p>
    <w:p w14:paraId="39201780" w14:textId="77777777" w:rsidR="00077EFE" w:rsidRPr="006117AF" w:rsidRDefault="00077EFE" w:rsidP="00077EFE">
      <w:pPr>
        <w:spacing w:line="360" w:lineRule="auto"/>
        <w:ind w:firstLine="567"/>
        <w:jc w:val="both"/>
        <w:rPr>
          <w:rFonts w:ascii="Times New Roman" w:eastAsia="Calibri" w:hAnsi="Times New Roman" w:cs="Times New Roman"/>
          <w:sz w:val="24"/>
          <w:szCs w:val="24"/>
          <w:lang w:val="en-US"/>
        </w:rPr>
      </w:pPr>
      <w:r w:rsidRPr="006117AF">
        <w:rPr>
          <w:rFonts w:ascii="Times New Roman" w:hAnsi="Times New Roman" w:cs="Times New Roman"/>
          <w:noProof/>
          <w:sz w:val="24"/>
          <w:szCs w:val="24"/>
          <w:lang w:val="en-US" w:eastAsia="tr-TR"/>
        </w:rPr>
        <w:t>Ag</w:t>
      </w:r>
      <w:r w:rsidRPr="006117AF">
        <w:rPr>
          <w:rFonts w:ascii="Times New Roman" w:hAnsi="Times New Roman" w:cs="Times New Roman"/>
          <w:noProof/>
          <w:sz w:val="24"/>
          <w:szCs w:val="24"/>
          <w:vertAlign w:val="subscript"/>
          <w:lang w:val="en-US" w:eastAsia="tr-TR"/>
        </w:rPr>
        <w:t>2</w:t>
      </w:r>
      <w:r w:rsidRPr="006117AF">
        <w:rPr>
          <w:rFonts w:ascii="Times New Roman" w:hAnsi="Times New Roman" w:cs="Times New Roman"/>
          <w:noProof/>
          <w:sz w:val="24"/>
          <w:szCs w:val="24"/>
          <w:lang w:val="en-US" w:eastAsia="tr-TR"/>
        </w:rPr>
        <w:t>S NPs were confirmed by XRD pattern Bruker D8 Discover</w:t>
      </w:r>
      <w:r w:rsidRPr="006117AF">
        <w:rPr>
          <w:rFonts w:ascii="Times New Roman" w:hAnsi="Times New Roman" w:cs="Times New Roman"/>
          <w:bCs/>
          <w:noProof/>
          <w:sz w:val="24"/>
          <w:szCs w:val="24"/>
          <w:lang w:val="en-US" w:eastAsia="tr-TR"/>
        </w:rPr>
        <w:t xml:space="preserve"> diffractometer using Cu Kα irradiation </w:t>
      </w:r>
      <w:r w:rsidRPr="006117AF">
        <w:rPr>
          <w:rFonts w:ascii="Times New Roman" w:hAnsi="Times New Roman" w:cs="Times New Roman"/>
          <w:noProof/>
          <w:sz w:val="24"/>
          <w:szCs w:val="24"/>
          <w:lang w:val="en-US" w:eastAsia="tr-TR"/>
        </w:rPr>
        <w:t>between 2θ = 20</w:t>
      </w:r>
      <w:r w:rsidRPr="006117AF">
        <w:rPr>
          <w:rFonts w:ascii="Times New Roman" w:hAnsi="Times New Roman" w:cs="Times New Roman"/>
          <w:noProof/>
          <w:sz w:val="24"/>
          <w:szCs w:val="24"/>
          <w:lang w:val="en-US" w:eastAsia="tr-TR"/>
        </w:rPr>
        <w:sym w:font="Symbol" w:char="F0B0"/>
      </w:r>
      <w:r w:rsidRPr="006117AF">
        <w:rPr>
          <w:rFonts w:ascii="Times New Roman" w:hAnsi="Times New Roman" w:cs="Times New Roman"/>
          <w:noProof/>
          <w:sz w:val="24"/>
          <w:szCs w:val="24"/>
          <w:lang w:val="en-US" w:eastAsia="tr-TR"/>
        </w:rPr>
        <w:t xml:space="preserve"> and 80</w:t>
      </w:r>
      <w:r w:rsidRPr="006117AF">
        <w:rPr>
          <w:rFonts w:ascii="Times New Roman" w:hAnsi="Times New Roman" w:cs="Times New Roman"/>
          <w:noProof/>
          <w:sz w:val="24"/>
          <w:szCs w:val="24"/>
          <w:lang w:val="en-US" w:eastAsia="tr-TR"/>
        </w:rPr>
        <w:sym w:font="Symbol" w:char="F0B0"/>
      </w:r>
      <w:r w:rsidRPr="006117AF">
        <w:rPr>
          <w:rFonts w:ascii="Times New Roman" w:hAnsi="Times New Roman" w:cs="Times New Roman"/>
          <w:noProof/>
          <w:sz w:val="24"/>
          <w:szCs w:val="24"/>
          <w:lang w:val="en-US" w:eastAsia="tr-TR"/>
        </w:rPr>
        <w:t>.</w:t>
      </w:r>
      <w:r w:rsidRPr="006117AF">
        <w:rPr>
          <w:rFonts w:ascii="Times New Roman" w:hAnsi="Times New Roman" w:cs="Times New Roman"/>
          <w:sz w:val="24"/>
          <w:szCs w:val="24"/>
          <w:lang w:val="en-US"/>
        </w:rPr>
        <w:t xml:space="preserve"> </w:t>
      </w:r>
      <w:r w:rsidRPr="006117AF">
        <w:rPr>
          <w:rFonts w:ascii="Times New Roman" w:hAnsi="Times New Roman" w:cs="Times New Roman"/>
          <w:noProof/>
          <w:sz w:val="24"/>
          <w:szCs w:val="24"/>
          <w:lang w:val="en-US" w:eastAsia="tr-TR"/>
        </w:rPr>
        <w:t xml:space="preserve">The Fourier Transform Infrared Spectroscopy (FT-IR) was used for the structural characterization </w:t>
      </w:r>
      <w:r w:rsidRPr="006117AF">
        <w:rPr>
          <w:rFonts w:ascii="Times New Roman" w:hAnsi="Times New Roman" w:cs="Times New Roman"/>
          <w:i/>
          <w:noProof/>
          <w:sz w:val="24"/>
          <w:szCs w:val="24"/>
          <w:lang w:val="en-US" w:eastAsia="tr-TR"/>
        </w:rPr>
        <w:t>via</w:t>
      </w:r>
      <w:r w:rsidRPr="006117AF">
        <w:rPr>
          <w:rFonts w:ascii="Times New Roman" w:hAnsi="Times New Roman" w:cs="Times New Roman"/>
          <w:noProof/>
          <w:sz w:val="24"/>
          <w:szCs w:val="24"/>
          <w:lang w:val="en-US" w:eastAsia="tr-TR"/>
        </w:rPr>
        <w:t xml:space="preserve"> a Bruker Fourier Transform Infrared FT-IR (ATR, USA). </w:t>
      </w:r>
      <w:r w:rsidRPr="006117AF">
        <w:rPr>
          <w:rFonts w:ascii="Times New Roman" w:eastAsia="Calibri" w:hAnsi="Times New Roman" w:cs="Times New Roman"/>
          <w:sz w:val="24"/>
          <w:szCs w:val="24"/>
          <w:lang w:val="en-US"/>
        </w:rPr>
        <w:t>The Ag</w:t>
      </w:r>
      <w:r w:rsidRPr="006117AF">
        <w:rPr>
          <w:rFonts w:ascii="Times New Roman" w:eastAsia="Calibri" w:hAnsi="Times New Roman" w:cs="Times New Roman"/>
          <w:sz w:val="24"/>
          <w:szCs w:val="24"/>
          <w:vertAlign w:val="subscript"/>
          <w:lang w:val="en-US"/>
        </w:rPr>
        <w:t>2</w:t>
      </w:r>
      <w:r w:rsidRPr="006117AF">
        <w:rPr>
          <w:rFonts w:ascii="Times New Roman" w:eastAsia="Calibri" w:hAnsi="Times New Roman" w:cs="Times New Roman"/>
          <w:sz w:val="24"/>
          <w:szCs w:val="24"/>
          <w:lang w:val="en-US"/>
        </w:rPr>
        <w:t xml:space="preserve">S NPs were characterized by scanning electron microscopy (SEM, Philips XL 30S FEG) equipped with an energy dispersive spectrum (EDX </w:t>
      </w:r>
      <w:proofErr w:type="spellStart"/>
      <w:r w:rsidRPr="006117AF">
        <w:rPr>
          <w:rFonts w:ascii="Times New Roman" w:eastAsia="Calibri" w:hAnsi="Times New Roman" w:cs="Times New Roman"/>
          <w:sz w:val="24"/>
          <w:szCs w:val="24"/>
          <w:lang w:val="en-US"/>
        </w:rPr>
        <w:t>Dedector</w:t>
      </w:r>
      <w:proofErr w:type="spellEnd"/>
      <w:r w:rsidRPr="006117AF">
        <w:rPr>
          <w:rFonts w:ascii="Times New Roman" w:eastAsia="Calibri" w:hAnsi="Times New Roman" w:cs="Times New Roman"/>
          <w:sz w:val="24"/>
          <w:szCs w:val="24"/>
          <w:lang w:val="en-US"/>
        </w:rPr>
        <w:t xml:space="preserve">, EDAX). The morphology and structure of the ternary composite were characterized by a FEI TALOS F200S operating at a voltage of 200 </w:t>
      </w:r>
      <w:proofErr w:type="spellStart"/>
      <w:r w:rsidRPr="006117AF">
        <w:rPr>
          <w:rFonts w:ascii="Times New Roman" w:eastAsia="Calibri" w:hAnsi="Times New Roman" w:cs="Times New Roman"/>
          <w:sz w:val="24"/>
          <w:szCs w:val="24"/>
          <w:lang w:val="en-US"/>
        </w:rPr>
        <w:t>keV</w:t>
      </w:r>
      <w:proofErr w:type="spellEnd"/>
      <w:r w:rsidRPr="006117AF">
        <w:rPr>
          <w:rFonts w:ascii="Times New Roman" w:eastAsia="Calibri" w:hAnsi="Times New Roman" w:cs="Times New Roman"/>
          <w:sz w:val="24"/>
          <w:szCs w:val="24"/>
          <w:lang w:val="en-US"/>
        </w:rPr>
        <w:t xml:space="preserve"> with a transmission electron microscope (TEM) and high-resolution transmission electron microscopy (HR-TEM).</w:t>
      </w:r>
    </w:p>
    <w:p w14:paraId="1F325973" w14:textId="77777777" w:rsidR="00A24C2C" w:rsidRPr="006117AF" w:rsidRDefault="00A24C2C" w:rsidP="00A24C2C">
      <w:pPr>
        <w:tabs>
          <w:tab w:val="left" w:pos="567"/>
        </w:tabs>
        <w:spacing w:line="360" w:lineRule="auto"/>
        <w:jc w:val="both"/>
        <w:rPr>
          <w:rFonts w:ascii="Times New Roman" w:hAnsi="Times New Roman" w:cs="Times New Roman"/>
          <w:b/>
          <w:noProof/>
          <w:sz w:val="24"/>
          <w:szCs w:val="24"/>
          <w:lang w:val="en-US" w:eastAsia="tr-TR"/>
        </w:rPr>
      </w:pPr>
      <w:r w:rsidRPr="006117AF">
        <w:rPr>
          <w:rFonts w:ascii="Times New Roman" w:hAnsi="Times New Roman" w:cs="Times New Roman"/>
          <w:b/>
          <w:noProof/>
          <w:sz w:val="24"/>
          <w:szCs w:val="24"/>
          <w:lang w:val="en-US" w:eastAsia="tr-TR"/>
        </w:rPr>
        <w:lastRenderedPageBreak/>
        <w:t>The green synthesis of Ag</w:t>
      </w:r>
      <w:r w:rsidRPr="006117AF">
        <w:rPr>
          <w:rFonts w:ascii="Times New Roman" w:hAnsi="Times New Roman" w:cs="Times New Roman"/>
          <w:b/>
          <w:noProof/>
          <w:sz w:val="24"/>
          <w:szCs w:val="24"/>
          <w:vertAlign w:val="subscript"/>
          <w:lang w:val="en-US" w:eastAsia="tr-TR"/>
        </w:rPr>
        <w:t>2</w:t>
      </w:r>
      <w:r w:rsidRPr="006117AF">
        <w:rPr>
          <w:rFonts w:ascii="Times New Roman" w:hAnsi="Times New Roman" w:cs="Times New Roman"/>
          <w:b/>
          <w:noProof/>
          <w:sz w:val="24"/>
          <w:szCs w:val="24"/>
          <w:lang w:val="en-US" w:eastAsia="tr-TR"/>
        </w:rPr>
        <w:t>S NPs</w:t>
      </w:r>
    </w:p>
    <w:p w14:paraId="699E6359" w14:textId="0200099C" w:rsidR="00A24C2C" w:rsidRPr="006117AF" w:rsidRDefault="00A24C2C" w:rsidP="00A24C2C">
      <w:pPr>
        <w:tabs>
          <w:tab w:val="left" w:pos="567"/>
        </w:tabs>
        <w:spacing w:line="360" w:lineRule="auto"/>
        <w:jc w:val="both"/>
        <w:rPr>
          <w:rFonts w:ascii="Times New Roman" w:hAnsi="Times New Roman" w:cs="Times New Roman"/>
          <w:noProof/>
          <w:sz w:val="24"/>
          <w:szCs w:val="24"/>
          <w:lang w:val="en-US" w:eastAsia="tr-TR"/>
        </w:rPr>
      </w:pPr>
      <w:r w:rsidRPr="006117AF">
        <w:rPr>
          <w:rFonts w:ascii="Times New Roman" w:hAnsi="Times New Roman" w:cs="Times New Roman"/>
          <w:sz w:val="24"/>
          <w:szCs w:val="24"/>
          <w:lang w:val="en-US"/>
        </w:rPr>
        <w:t>The preparation of Ag</w:t>
      </w:r>
      <w:r w:rsidRPr="006117AF">
        <w:rPr>
          <w:rFonts w:ascii="Times New Roman" w:hAnsi="Times New Roman" w:cs="Times New Roman"/>
          <w:sz w:val="24"/>
          <w:szCs w:val="24"/>
          <w:vertAlign w:val="subscript"/>
          <w:lang w:val="en-US"/>
        </w:rPr>
        <w:t>2</w:t>
      </w:r>
      <w:r w:rsidRPr="006117AF">
        <w:rPr>
          <w:rFonts w:ascii="Times New Roman" w:hAnsi="Times New Roman" w:cs="Times New Roman"/>
          <w:sz w:val="24"/>
          <w:szCs w:val="24"/>
          <w:lang w:val="en-US"/>
        </w:rPr>
        <w:t xml:space="preserve">S NPs was synthesized with a slight modification of the green synthesis method of </w:t>
      </w:r>
      <w:proofErr w:type="spellStart"/>
      <w:r w:rsidRPr="006117AF">
        <w:rPr>
          <w:rFonts w:ascii="Times New Roman" w:hAnsi="Times New Roman" w:cs="Times New Roman"/>
          <w:sz w:val="24"/>
          <w:szCs w:val="24"/>
          <w:lang w:val="en-US"/>
        </w:rPr>
        <w:t>Şimşir</w:t>
      </w:r>
      <w:proofErr w:type="spellEnd"/>
      <w:r w:rsidRPr="006117AF">
        <w:rPr>
          <w:rFonts w:ascii="Times New Roman" w:hAnsi="Times New Roman" w:cs="Times New Roman"/>
          <w:sz w:val="24"/>
          <w:szCs w:val="24"/>
          <w:lang w:val="en-US"/>
        </w:rPr>
        <w:t xml:space="preserve"> et al</w:t>
      </w:r>
      <w:r w:rsidR="00C47393" w:rsidRPr="006117AF">
        <w:rPr>
          <w:rFonts w:ascii="Times New Roman" w:hAnsi="Times New Roman" w:cs="Times New Roman"/>
          <w:sz w:val="24"/>
          <w:szCs w:val="24"/>
          <w:lang w:val="en-US"/>
        </w:rPr>
        <w:t xml:space="preserve"> [S1]</w:t>
      </w:r>
      <w:r w:rsidRPr="006117AF">
        <w:rPr>
          <w:rFonts w:ascii="Times New Roman" w:hAnsi="Times New Roman" w:cs="Times New Roman"/>
          <w:sz w:val="24"/>
          <w:szCs w:val="24"/>
          <w:lang w:val="en-US"/>
        </w:rPr>
        <w:t xml:space="preserve">. </w:t>
      </w:r>
      <w:r w:rsidRPr="006117AF">
        <w:rPr>
          <w:rFonts w:ascii="Times New Roman" w:hAnsi="Times New Roman" w:cs="Times New Roman"/>
          <w:noProof/>
          <w:sz w:val="24"/>
          <w:szCs w:val="24"/>
          <w:lang w:val="en-US" w:eastAsia="tr-TR"/>
        </w:rPr>
        <w:t>Firstly, the seeds of sweet cherry fruits were removed and the fruits were crushed using a mechanical crusher. Then, the obtained mixture was first filtered through filter paper and then centrifuged to separate the solid particles. The obtained extract was used as a reducing agent. 500 mL of aqueous solution containing 0.1 M AgNO</w:t>
      </w:r>
      <w:r w:rsidRPr="006117AF">
        <w:rPr>
          <w:rFonts w:ascii="Times New Roman" w:hAnsi="Times New Roman" w:cs="Times New Roman"/>
          <w:noProof/>
          <w:sz w:val="24"/>
          <w:szCs w:val="24"/>
          <w:vertAlign w:val="subscript"/>
          <w:lang w:val="en-US" w:eastAsia="tr-TR"/>
        </w:rPr>
        <w:t>3</w:t>
      </w:r>
      <w:r w:rsidRPr="006117AF">
        <w:rPr>
          <w:rFonts w:ascii="Times New Roman" w:hAnsi="Times New Roman" w:cs="Times New Roman"/>
          <w:noProof/>
          <w:sz w:val="24"/>
          <w:szCs w:val="24"/>
          <w:lang w:val="en-US" w:eastAsia="tr-TR"/>
        </w:rPr>
        <w:t xml:space="preserve"> was prepared. 10 mL of sweet cherry extract was added to the solution and stirred for 3 hours and then 0.2 M Na</w:t>
      </w:r>
      <w:r w:rsidRPr="006117AF">
        <w:rPr>
          <w:rFonts w:ascii="Times New Roman" w:hAnsi="Times New Roman" w:cs="Times New Roman"/>
          <w:noProof/>
          <w:sz w:val="24"/>
          <w:szCs w:val="24"/>
          <w:vertAlign w:val="subscript"/>
          <w:lang w:val="en-US" w:eastAsia="tr-TR"/>
        </w:rPr>
        <w:t>2</w:t>
      </w:r>
      <w:r w:rsidRPr="006117AF">
        <w:rPr>
          <w:rFonts w:ascii="Times New Roman" w:hAnsi="Times New Roman" w:cs="Times New Roman"/>
          <w:noProof/>
          <w:sz w:val="24"/>
          <w:szCs w:val="24"/>
          <w:lang w:val="en-US" w:eastAsia="tr-TR"/>
        </w:rPr>
        <w:t>S.xH</w:t>
      </w:r>
      <w:r w:rsidRPr="006117AF">
        <w:rPr>
          <w:rFonts w:ascii="Times New Roman" w:hAnsi="Times New Roman" w:cs="Times New Roman"/>
          <w:noProof/>
          <w:sz w:val="24"/>
          <w:szCs w:val="24"/>
          <w:vertAlign w:val="subscript"/>
          <w:lang w:val="en-US" w:eastAsia="tr-TR"/>
        </w:rPr>
        <w:t>2</w:t>
      </w:r>
      <w:r w:rsidRPr="006117AF">
        <w:rPr>
          <w:rFonts w:ascii="Times New Roman" w:hAnsi="Times New Roman" w:cs="Times New Roman"/>
          <w:noProof/>
          <w:sz w:val="24"/>
          <w:szCs w:val="24"/>
          <w:lang w:val="en-US" w:eastAsia="tr-TR"/>
        </w:rPr>
        <w:t>O was added and stirred for 12 hours at room temperature</w:t>
      </w:r>
      <w:r w:rsidR="00C47393" w:rsidRPr="006117AF">
        <w:rPr>
          <w:rFonts w:ascii="Times New Roman" w:hAnsi="Times New Roman" w:cs="Times New Roman"/>
          <w:noProof/>
          <w:sz w:val="24"/>
          <w:szCs w:val="24"/>
          <w:lang w:val="en-US" w:eastAsia="tr-TR"/>
        </w:rPr>
        <w:t xml:space="preserve"> [S1]</w:t>
      </w:r>
      <w:r w:rsidRPr="006117AF">
        <w:rPr>
          <w:rFonts w:ascii="Times New Roman" w:hAnsi="Times New Roman" w:cs="Times New Roman"/>
          <w:noProof/>
          <w:sz w:val="24"/>
          <w:szCs w:val="24"/>
          <w:lang w:val="en-US" w:eastAsia="tr-TR"/>
        </w:rPr>
        <w:t>. Then, the mixture was centrifuged to separate Ag</w:t>
      </w:r>
      <w:r w:rsidRPr="006117AF">
        <w:rPr>
          <w:rFonts w:ascii="Times New Roman" w:hAnsi="Times New Roman" w:cs="Times New Roman"/>
          <w:noProof/>
          <w:sz w:val="24"/>
          <w:szCs w:val="24"/>
          <w:vertAlign w:val="subscript"/>
          <w:lang w:val="en-US" w:eastAsia="tr-TR"/>
        </w:rPr>
        <w:t>2</w:t>
      </w:r>
      <w:r w:rsidRPr="006117AF">
        <w:rPr>
          <w:rFonts w:ascii="Times New Roman" w:hAnsi="Times New Roman" w:cs="Times New Roman"/>
          <w:noProof/>
          <w:sz w:val="24"/>
          <w:szCs w:val="24"/>
          <w:lang w:val="en-US" w:eastAsia="tr-TR"/>
        </w:rPr>
        <w:t>S from the medium and washed twice with distilled water and then with ethanol. Then, it was dried at 60 °C for 48 hours.</w:t>
      </w:r>
    </w:p>
    <w:p w14:paraId="0D24B385" w14:textId="77777777" w:rsidR="00255C66" w:rsidRPr="006117AF" w:rsidRDefault="00255C66" w:rsidP="00A24C2C">
      <w:pPr>
        <w:tabs>
          <w:tab w:val="left" w:pos="567"/>
        </w:tabs>
        <w:spacing w:line="360" w:lineRule="auto"/>
        <w:jc w:val="both"/>
        <w:rPr>
          <w:rFonts w:ascii="Times New Roman" w:hAnsi="Times New Roman" w:cs="Times New Roman"/>
          <w:noProof/>
          <w:sz w:val="24"/>
          <w:szCs w:val="24"/>
          <w:lang w:val="en-US" w:eastAsia="tr-TR"/>
        </w:rPr>
        <w:sectPr w:rsidR="00255C66" w:rsidRPr="006117AF">
          <w:footerReference w:type="default" r:id="rId7"/>
          <w:footnotePr>
            <w:numFmt w:val="chicago"/>
          </w:footnotePr>
          <w:pgSz w:w="11906" w:h="16838"/>
          <w:pgMar w:top="1417" w:right="1417" w:bottom="1417" w:left="1417" w:header="708" w:footer="708" w:gutter="0"/>
          <w:cols w:space="708"/>
          <w:docGrid w:linePitch="360"/>
        </w:sectPr>
      </w:pPr>
    </w:p>
    <w:p w14:paraId="567D45A1" w14:textId="55846F76" w:rsidR="00255C66" w:rsidRPr="006117AF" w:rsidRDefault="00255C66" w:rsidP="00A24C2C">
      <w:pPr>
        <w:tabs>
          <w:tab w:val="left" w:pos="567"/>
        </w:tabs>
        <w:spacing w:line="360" w:lineRule="auto"/>
        <w:jc w:val="both"/>
        <w:rPr>
          <w:rFonts w:ascii="Times New Roman" w:hAnsi="Times New Roman" w:cs="Times New Roman"/>
          <w:noProof/>
          <w:sz w:val="24"/>
          <w:szCs w:val="24"/>
          <w:lang w:val="en-US" w:eastAsia="tr-TR"/>
        </w:rPr>
      </w:pPr>
      <w:r w:rsidRPr="006117AF">
        <w:rPr>
          <w:rFonts w:ascii="Times New Roman" w:hAnsi="Times New Roman" w:cs="Times New Roman"/>
          <w:noProof/>
          <w:sz w:val="24"/>
          <w:szCs w:val="24"/>
          <w:lang w:val="en-IN" w:eastAsia="en-IN"/>
        </w:rPr>
        <w:lastRenderedPageBreak/>
        <w:drawing>
          <wp:inline distT="0" distB="0" distL="0" distR="0" wp14:anchorId="2A2AC256" wp14:editId="0EB6D522">
            <wp:extent cx="8892540" cy="2752090"/>
            <wp:effectExtent l="0" t="0" r="381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kroskop görüntüleri.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92540" cy="2752090"/>
                    </a:xfrm>
                    <a:prstGeom prst="rect">
                      <a:avLst/>
                    </a:prstGeom>
                  </pic:spPr>
                </pic:pic>
              </a:graphicData>
            </a:graphic>
          </wp:inline>
        </w:drawing>
      </w:r>
    </w:p>
    <w:p w14:paraId="148D8AD0" w14:textId="36461AD9" w:rsidR="00255C66" w:rsidRPr="006117AF" w:rsidRDefault="00255C66" w:rsidP="00255C66">
      <w:pPr>
        <w:tabs>
          <w:tab w:val="left" w:pos="567"/>
        </w:tabs>
        <w:spacing w:line="360" w:lineRule="auto"/>
        <w:jc w:val="center"/>
        <w:rPr>
          <w:rFonts w:ascii="Times New Roman" w:hAnsi="Times New Roman" w:cs="Times New Roman"/>
          <w:noProof/>
          <w:lang w:val="en-US" w:eastAsia="tr-TR"/>
        </w:rPr>
        <w:sectPr w:rsidR="00255C66" w:rsidRPr="006117AF" w:rsidSect="00255C66">
          <w:footnotePr>
            <w:numFmt w:val="chicago"/>
          </w:footnotePr>
          <w:pgSz w:w="16838" w:h="11906" w:orient="landscape"/>
          <w:pgMar w:top="1417" w:right="1417" w:bottom="1417" w:left="1417" w:header="708" w:footer="708" w:gutter="0"/>
          <w:cols w:space="708"/>
          <w:docGrid w:linePitch="360"/>
        </w:sectPr>
      </w:pPr>
      <w:r w:rsidRPr="006117AF">
        <w:rPr>
          <w:rFonts w:ascii="Times New Roman" w:hAnsi="Times New Roman" w:cs="Times New Roman"/>
          <w:b/>
          <w:noProof/>
          <w:lang w:val="en-US" w:eastAsia="tr-TR"/>
        </w:rPr>
        <w:t>Fig. S1</w:t>
      </w:r>
      <w:r w:rsidRPr="006117AF">
        <w:rPr>
          <w:rFonts w:ascii="Times New Roman" w:hAnsi="Times New Roman" w:cs="Times New Roman"/>
          <w:lang w:val="en-US"/>
        </w:rPr>
        <w:t xml:space="preserve"> The morphological changes of Ag</w:t>
      </w:r>
      <w:r w:rsidRPr="006117AF">
        <w:rPr>
          <w:rFonts w:ascii="Times New Roman" w:hAnsi="Times New Roman" w:cs="Times New Roman"/>
          <w:vertAlign w:val="subscript"/>
          <w:lang w:val="en-US"/>
        </w:rPr>
        <w:t>2</w:t>
      </w:r>
      <w:r w:rsidRPr="006117AF">
        <w:rPr>
          <w:rFonts w:ascii="Times New Roman" w:hAnsi="Times New Roman" w:cs="Times New Roman"/>
          <w:lang w:val="en-US"/>
        </w:rPr>
        <w:t>S and Ag</w:t>
      </w:r>
      <w:r w:rsidRPr="006117AF">
        <w:rPr>
          <w:rFonts w:ascii="Times New Roman" w:hAnsi="Times New Roman" w:cs="Times New Roman"/>
          <w:vertAlign w:val="subscript"/>
          <w:lang w:val="en-US"/>
        </w:rPr>
        <w:t>2</w:t>
      </w:r>
      <w:r w:rsidRPr="006117AF">
        <w:rPr>
          <w:rFonts w:ascii="Times New Roman" w:hAnsi="Times New Roman" w:cs="Times New Roman"/>
          <w:lang w:val="en-US"/>
        </w:rPr>
        <w:t xml:space="preserve">S + Gemcitabine on the PANC-1 cells </w:t>
      </w:r>
      <w:r w:rsidRPr="006117AF">
        <w:rPr>
          <w:rFonts w:ascii="Times New Roman" w:hAnsi="Times New Roman" w:cs="Times New Roman"/>
          <w:i/>
          <w:lang w:val="en-US"/>
        </w:rPr>
        <w:t xml:space="preserve">in vitro </w:t>
      </w:r>
      <w:r w:rsidRPr="006117AF">
        <w:rPr>
          <w:rFonts w:ascii="Times New Roman" w:hAnsi="Times New Roman" w:cs="Times New Roman"/>
          <w:lang w:val="en-US"/>
        </w:rPr>
        <w:t>at 24h, 48h, and 72h.</w:t>
      </w:r>
    </w:p>
    <w:p w14:paraId="0F0B5493" w14:textId="77777777" w:rsidR="00FF08E4" w:rsidRPr="006117AF" w:rsidRDefault="00FF08E4" w:rsidP="00FF08E4">
      <w:pPr>
        <w:spacing w:line="276" w:lineRule="auto"/>
        <w:jc w:val="center"/>
        <w:rPr>
          <w:rFonts w:asciiTheme="majorBidi" w:hAnsiTheme="majorBidi" w:cstheme="majorBidi"/>
          <w:lang w:val="en-US"/>
        </w:rPr>
      </w:pPr>
      <w:r w:rsidRPr="006117AF">
        <w:rPr>
          <w:rFonts w:asciiTheme="majorBidi" w:hAnsiTheme="majorBidi" w:cstheme="majorBidi"/>
          <w:noProof/>
          <w:lang w:val="en-IN" w:eastAsia="en-IN"/>
        </w:rPr>
        <w:lastRenderedPageBreak/>
        <w:drawing>
          <wp:inline distT="0" distB="0" distL="0" distR="0" wp14:anchorId="4A0CB703" wp14:editId="64D5D4D1">
            <wp:extent cx="3492097" cy="3132000"/>
            <wp:effectExtent l="0" t="0" r="0" b="0"/>
            <wp:docPr id="161774699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92097" cy="3132000"/>
                    </a:xfrm>
                    <a:prstGeom prst="rect">
                      <a:avLst/>
                    </a:prstGeom>
                    <a:noFill/>
                    <a:ln>
                      <a:noFill/>
                    </a:ln>
                  </pic:spPr>
                </pic:pic>
              </a:graphicData>
            </a:graphic>
          </wp:inline>
        </w:drawing>
      </w:r>
    </w:p>
    <w:p w14:paraId="7A592C7D" w14:textId="4864ED02" w:rsidR="00FF08E4" w:rsidRPr="006117AF" w:rsidRDefault="00FF08E4" w:rsidP="00FF08E4">
      <w:pPr>
        <w:tabs>
          <w:tab w:val="left" w:pos="567"/>
        </w:tabs>
        <w:spacing w:line="360" w:lineRule="auto"/>
        <w:jc w:val="both"/>
        <w:rPr>
          <w:rFonts w:ascii="Times New Roman" w:hAnsi="Times New Roman" w:cs="Times New Roman"/>
          <w:noProof/>
          <w:lang w:val="en-US"/>
        </w:rPr>
      </w:pPr>
      <w:r w:rsidRPr="006117AF">
        <w:rPr>
          <w:rFonts w:asciiTheme="majorBidi" w:hAnsiTheme="majorBidi" w:cstheme="majorBidi"/>
          <w:b/>
          <w:bCs/>
          <w:lang w:val="en-US"/>
        </w:rPr>
        <w:t xml:space="preserve">Fig. S2 </w:t>
      </w:r>
      <w:proofErr w:type="spellStart"/>
      <w:r w:rsidRPr="006117AF">
        <w:rPr>
          <w:rFonts w:asciiTheme="majorBidi" w:hAnsiTheme="majorBidi" w:cstheme="majorBidi"/>
          <w:lang w:val="en-US"/>
        </w:rPr>
        <w:t>Isobologram</w:t>
      </w:r>
      <w:proofErr w:type="spellEnd"/>
      <w:r w:rsidRPr="006117AF">
        <w:rPr>
          <w:rFonts w:asciiTheme="majorBidi" w:hAnsiTheme="majorBidi" w:cstheme="majorBidi"/>
          <w:lang w:val="en-US"/>
        </w:rPr>
        <w:t xml:space="preserve"> for Ag</w:t>
      </w:r>
      <w:r w:rsidRPr="006117AF">
        <w:rPr>
          <w:rFonts w:asciiTheme="majorBidi" w:hAnsiTheme="majorBidi" w:cstheme="majorBidi"/>
          <w:vertAlign w:val="subscript"/>
          <w:lang w:val="en-US"/>
        </w:rPr>
        <w:t>2</w:t>
      </w:r>
      <w:r w:rsidRPr="006117AF">
        <w:rPr>
          <w:rFonts w:asciiTheme="majorBidi" w:hAnsiTheme="majorBidi" w:cstheme="majorBidi"/>
          <w:lang w:val="en-US"/>
        </w:rPr>
        <w:t>S and gemcitabine (GEM) combinations depicting synergistic cytotoxicity in PANC-1 cells at 72h treatment duration.</w:t>
      </w:r>
    </w:p>
    <w:p w14:paraId="77216E22" w14:textId="46FAA18E" w:rsidR="00FF08E4" w:rsidRPr="006117AF" w:rsidRDefault="00FF08E4" w:rsidP="00A24C2C">
      <w:pPr>
        <w:jc w:val="center"/>
        <w:rPr>
          <w:rFonts w:ascii="Times New Roman" w:hAnsi="Times New Roman" w:cs="Times New Roman"/>
          <w:lang w:val="en-US"/>
        </w:rPr>
      </w:pPr>
    </w:p>
    <w:p w14:paraId="18149DAE" w14:textId="68D81F9D" w:rsidR="00FF08E4" w:rsidRPr="006117AF" w:rsidRDefault="00FF08E4" w:rsidP="00A24C2C">
      <w:pPr>
        <w:jc w:val="center"/>
        <w:rPr>
          <w:rFonts w:ascii="Times New Roman" w:hAnsi="Times New Roman" w:cs="Times New Roman"/>
          <w:lang w:val="en-US"/>
        </w:rPr>
      </w:pPr>
    </w:p>
    <w:p w14:paraId="4641C96A" w14:textId="1882BDD6" w:rsidR="00FF08E4" w:rsidRPr="006117AF" w:rsidRDefault="00FF08E4" w:rsidP="00A24C2C">
      <w:pPr>
        <w:jc w:val="center"/>
        <w:rPr>
          <w:rFonts w:ascii="Times New Roman" w:hAnsi="Times New Roman" w:cs="Times New Roman"/>
          <w:lang w:val="en-US"/>
        </w:rPr>
      </w:pPr>
    </w:p>
    <w:p w14:paraId="6AB986DE" w14:textId="14AF765F" w:rsidR="00FF08E4" w:rsidRPr="006117AF" w:rsidRDefault="00FF08E4" w:rsidP="00A24C2C">
      <w:pPr>
        <w:jc w:val="center"/>
        <w:rPr>
          <w:rFonts w:ascii="Times New Roman" w:hAnsi="Times New Roman" w:cs="Times New Roman"/>
          <w:lang w:val="en-US"/>
        </w:rPr>
      </w:pPr>
    </w:p>
    <w:p w14:paraId="2A5CE67E" w14:textId="57321515" w:rsidR="00FF08E4" w:rsidRPr="006117AF" w:rsidRDefault="00FF08E4" w:rsidP="00A24C2C">
      <w:pPr>
        <w:jc w:val="center"/>
        <w:rPr>
          <w:rFonts w:ascii="Times New Roman" w:hAnsi="Times New Roman" w:cs="Times New Roman"/>
          <w:lang w:val="en-US"/>
        </w:rPr>
      </w:pPr>
    </w:p>
    <w:p w14:paraId="375F9EF8" w14:textId="77777777" w:rsidR="00FF08E4" w:rsidRPr="006117AF" w:rsidRDefault="00FF08E4" w:rsidP="00A24C2C">
      <w:pPr>
        <w:jc w:val="center"/>
        <w:rPr>
          <w:rFonts w:ascii="Times New Roman" w:hAnsi="Times New Roman" w:cs="Times New Roman"/>
          <w:lang w:val="en-US"/>
        </w:rPr>
      </w:pPr>
    </w:p>
    <w:p w14:paraId="1D988532" w14:textId="77777777" w:rsidR="00FF08E4" w:rsidRPr="006117AF" w:rsidRDefault="00FF08E4" w:rsidP="00A24C2C">
      <w:pPr>
        <w:jc w:val="center"/>
        <w:rPr>
          <w:rFonts w:ascii="Times New Roman" w:hAnsi="Times New Roman" w:cs="Times New Roman"/>
          <w:lang w:val="en-US"/>
        </w:rPr>
      </w:pPr>
    </w:p>
    <w:p w14:paraId="5FB41BD4" w14:textId="77777777" w:rsidR="00CF0B76" w:rsidRPr="006117AF" w:rsidRDefault="00CF0B76" w:rsidP="00CF0B76">
      <w:pPr>
        <w:jc w:val="center"/>
        <w:rPr>
          <w:rFonts w:asciiTheme="majorBidi" w:hAnsiTheme="majorBidi" w:cstheme="majorBidi"/>
          <w:lang w:val="en-US"/>
        </w:rPr>
      </w:pPr>
      <w:r w:rsidRPr="006117AF">
        <w:rPr>
          <w:rFonts w:asciiTheme="majorBidi" w:hAnsiTheme="majorBidi" w:cstheme="majorBidi"/>
          <w:noProof/>
          <w:lang w:val="en-IN" w:eastAsia="en-IN"/>
        </w:rPr>
        <w:lastRenderedPageBreak/>
        <w:drawing>
          <wp:inline distT="0" distB="0" distL="0" distR="0" wp14:anchorId="708B2342" wp14:editId="24D489F3">
            <wp:extent cx="5680800" cy="3398400"/>
            <wp:effectExtent l="0" t="0" r="0" b="0"/>
            <wp:docPr id="6684627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0800" cy="3398400"/>
                    </a:xfrm>
                    <a:prstGeom prst="rect">
                      <a:avLst/>
                    </a:prstGeom>
                    <a:noFill/>
                    <a:ln>
                      <a:noFill/>
                    </a:ln>
                  </pic:spPr>
                </pic:pic>
              </a:graphicData>
            </a:graphic>
          </wp:inline>
        </w:drawing>
      </w:r>
    </w:p>
    <w:p w14:paraId="1B9C8E00" w14:textId="29D162C5" w:rsidR="00CF0B76" w:rsidRPr="006117AF" w:rsidRDefault="00CF0B76" w:rsidP="00CF0B76">
      <w:pPr>
        <w:spacing w:line="276" w:lineRule="auto"/>
        <w:jc w:val="both"/>
        <w:rPr>
          <w:rFonts w:asciiTheme="majorBidi" w:hAnsiTheme="majorBidi" w:cstheme="majorBidi"/>
          <w:lang w:val="en-US"/>
        </w:rPr>
      </w:pPr>
      <w:r w:rsidRPr="006117AF">
        <w:rPr>
          <w:rFonts w:asciiTheme="majorBidi" w:hAnsiTheme="majorBidi" w:cstheme="majorBidi"/>
          <w:b/>
          <w:lang w:val="en-US"/>
        </w:rPr>
        <w:t xml:space="preserve">Fig. </w:t>
      </w:r>
      <w:r w:rsidR="00EA4207" w:rsidRPr="006117AF">
        <w:rPr>
          <w:rFonts w:asciiTheme="majorBidi" w:hAnsiTheme="majorBidi" w:cstheme="majorBidi"/>
          <w:b/>
          <w:lang w:val="en-US"/>
        </w:rPr>
        <w:t>S</w:t>
      </w:r>
      <w:r w:rsidR="00FF08E4" w:rsidRPr="006117AF">
        <w:rPr>
          <w:rFonts w:asciiTheme="majorBidi" w:hAnsiTheme="majorBidi" w:cstheme="majorBidi"/>
          <w:b/>
          <w:lang w:val="en-US"/>
        </w:rPr>
        <w:t>3</w:t>
      </w:r>
      <w:r w:rsidRPr="006117AF">
        <w:rPr>
          <w:rFonts w:asciiTheme="majorBidi" w:hAnsiTheme="majorBidi" w:cstheme="majorBidi"/>
          <w:lang w:val="en-US"/>
        </w:rPr>
        <w:t xml:space="preserve"> Top-ranked conformations of the molecular complexes formed by GEM-TP, Ag</w:t>
      </w:r>
      <w:r w:rsidRPr="006117AF">
        <w:rPr>
          <w:rFonts w:asciiTheme="majorBidi" w:hAnsiTheme="majorBidi" w:cstheme="majorBidi"/>
          <w:vertAlign w:val="subscript"/>
          <w:lang w:val="en-US"/>
        </w:rPr>
        <w:t>2</w:t>
      </w:r>
      <w:r w:rsidRPr="006117AF">
        <w:rPr>
          <w:rFonts w:asciiTheme="majorBidi" w:hAnsiTheme="majorBidi" w:cstheme="majorBidi"/>
          <w:lang w:val="en-US"/>
        </w:rPr>
        <w:t>S (nanoparticle), and Ag</w:t>
      </w:r>
      <w:r w:rsidRPr="006117AF">
        <w:rPr>
          <w:rFonts w:asciiTheme="majorBidi" w:hAnsiTheme="majorBidi" w:cstheme="majorBidi"/>
          <w:vertAlign w:val="subscript"/>
          <w:lang w:val="en-US"/>
        </w:rPr>
        <w:t>2</w:t>
      </w:r>
      <w:r w:rsidRPr="006117AF">
        <w:rPr>
          <w:rFonts w:asciiTheme="majorBidi" w:hAnsiTheme="majorBidi" w:cstheme="majorBidi"/>
          <w:lang w:val="en-US"/>
        </w:rPr>
        <w:t xml:space="preserve">S—GEM ligands with human DNA polymerase alpha catalytic core (Pol α): </w:t>
      </w:r>
      <w:r w:rsidRPr="006117AF">
        <w:rPr>
          <w:rFonts w:asciiTheme="majorBidi" w:hAnsiTheme="majorBidi" w:cstheme="majorBidi"/>
          <w:b/>
          <w:lang w:val="en-US"/>
        </w:rPr>
        <w:t>A</w:t>
      </w:r>
      <w:r w:rsidRPr="006117AF">
        <w:rPr>
          <w:rFonts w:asciiTheme="majorBidi" w:hAnsiTheme="majorBidi" w:cstheme="majorBidi"/>
          <w:lang w:val="en-US"/>
        </w:rPr>
        <w:t xml:space="preserve">. GEM-TP—Pol α complex, </w:t>
      </w:r>
      <w:r w:rsidRPr="006117AF">
        <w:rPr>
          <w:rFonts w:asciiTheme="majorBidi" w:hAnsiTheme="majorBidi" w:cstheme="majorBidi"/>
          <w:b/>
          <w:lang w:val="en-US"/>
        </w:rPr>
        <w:t>B</w:t>
      </w:r>
      <w:r w:rsidRPr="006117AF">
        <w:rPr>
          <w:rFonts w:asciiTheme="majorBidi" w:hAnsiTheme="majorBidi" w:cstheme="majorBidi"/>
          <w:lang w:val="en-US"/>
        </w:rPr>
        <w:t>. Ag</w:t>
      </w:r>
      <w:r w:rsidRPr="006117AF">
        <w:rPr>
          <w:rFonts w:asciiTheme="majorBidi" w:hAnsiTheme="majorBidi" w:cstheme="majorBidi"/>
          <w:vertAlign w:val="subscript"/>
          <w:lang w:val="en-US"/>
        </w:rPr>
        <w:t>2</w:t>
      </w:r>
      <w:r w:rsidRPr="006117AF">
        <w:rPr>
          <w:rFonts w:asciiTheme="majorBidi" w:hAnsiTheme="majorBidi" w:cstheme="majorBidi"/>
          <w:lang w:val="en-US"/>
        </w:rPr>
        <w:t xml:space="preserve">S—Pol α complex, </w:t>
      </w:r>
      <w:r w:rsidRPr="006117AF">
        <w:rPr>
          <w:rFonts w:asciiTheme="majorBidi" w:hAnsiTheme="majorBidi" w:cstheme="majorBidi"/>
          <w:b/>
          <w:lang w:val="en-US"/>
        </w:rPr>
        <w:t>C</w:t>
      </w:r>
      <w:r w:rsidRPr="006117AF">
        <w:rPr>
          <w:rFonts w:asciiTheme="majorBidi" w:hAnsiTheme="majorBidi" w:cstheme="majorBidi"/>
          <w:lang w:val="en-US"/>
        </w:rPr>
        <w:t>. Ag</w:t>
      </w:r>
      <w:r w:rsidRPr="006117AF">
        <w:rPr>
          <w:rFonts w:asciiTheme="majorBidi" w:hAnsiTheme="majorBidi" w:cstheme="majorBidi"/>
          <w:vertAlign w:val="subscript"/>
          <w:lang w:val="en-US"/>
        </w:rPr>
        <w:t>2</w:t>
      </w:r>
      <w:r w:rsidRPr="006117AF">
        <w:rPr>
          <w:rFonts w:asciiTheme="majorBidi" w:hAnsiTheme="majorBidi" w:cstheme="majorBidi"/>
          <w:lang w:val="en-US"/>
        </w:rPr>
        <w:t>S-GEM—Pol α complex. The Pol α protein is represented in solid ribbon mode, while the ligands are depicted in stick mode. Green and light grey dashed lines represent hydrogen bonds, dark and light purple dashed lines represent hydrophobic contacts, cyan dashed lines represent halogen (fluorine) contacts, and light yellow dashed lines represent pi-sulfur interactions. 3D figure was prepared using the Discovery Studio Visualizer program.</w:t>
      </w:r>
    </w:p>
    <w:p w14:paraId="600064BF" w14:textId="77777777" w:rsidR="00EA4207" w:rsidRPr="006117AF" w:rsidRDefault="00EA4207" w:rsidP="00CF0B76">
      <w:pPr>
        <w:spacing w:line="276" w:lineRule="auto"/>
        <w:jc w:val="both"/>
        <w:rPr>
          <w:rFonts w:asciiTheme="majorBidi" w:hAnsiTheme="majorBidi" w:cstheme="majorBidi"/>
          <w:lang w:val="en-US"/>
        </w:rPr>
      </w:pPr>
    </w:p>
    <w:p w14:paraId="0A25EFEC" w14:textId="77777777" w:rsidR="001A2737" w:rsidRPr="006117AF" w:rsidRDefault="001A2737" w:rsidP="00EA4207">
      <w:pPr>
        <w:jc w:val="center"/>
        <w:rPr>
          <w:rFonts w:asciiTheme="majorBidi" w:hAnsiTheme="majorBidi" w:cstheme="majorBidi"/>
          <w:lang w:val="en-US"/>
        </w:rPr>
      </w:pPr>
    </w:p>
    <w:p w14:paraId="6C71DFDD" w14:textId="77777777" w:rsidR="00EA4207" w:rsidRPr="006117AF" w:rsidRDefault="00EA4207" w:rsidP="00EA4207">
      <w:pPr>
        <w:jc w:val="center"/>
        <w:rPr>
          <w:rFonts w:asciiTheme="majorBidi" w:hAnsiTheme="majorBidi" w:cstheme="majorBidi"/>
          <w:lang w:val="en-US"/>
        </w:rPr>
      </w:pPr>
      <w:r w:rsidRPr="006117AF">
        <w:rPr>
          <w:rFonts w:asciiTheme="majorBidi" w:hAnsiTheme="majorBidi" w:cstheme="majorBidi"/>
          <w:noProof/>
          <w:lang w:val="en-IN" w:eastAsia="en-IN"/>
        </w:rPr>
        <w:lastRenderedPageBreak/>
        <w:drawing>
          <wp:inline distT="0" distB="0" distL="0" distR="0" wp14:anchorId="08BCE335" wp14:editId="51651702">
            <wp:extent cx="5785200" cy="3510000"/>
            <wp:effectExtent l="0" t="0" r="6350" b="0"/>
            <wp:docPr id="40736863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85200" cy="3510000"/>
                    </a:xfrm>
                    <a:prstGeom prst="rect">
                      <a:avLst/>
                    </a:prstGeom>
                    <a:noFill/>
                    <a:ln>
                      <a:noFill/>
                    </a:ln>
                  </pic:spPr>
                </pic:pic>
              </a:graphicData>
            </a:graphic>
          </wp:inline>
        </w:drawing>
      </w:r>
    </w:p>
    <w:p w14:paraId="67A604CA" w14:textId="6FDBC7E5" w:rsidR="00EA4207" w:rsidRPr="006117AF" w:rsidRDefault="00EA4207" w:rsidP="00EA4207">
      <w:pPr>
        <w:spacing w:line="276" w:lineRule="auto"/>
        <w:jc w:val="both"/>
        <w:rPr>
          <w:rFonts w:asciiTheme="majorBidi" w:hAnsiTheme="majorBidi" w:cstheme="majorBidi"/>
          <w:lang w:val="en-US"/>
        </w:rPr>
      </w:pPr>
      <w:r w:rsidRPr="006117AF">
        <w:rPr>
          <w:rFonts w:asciiTheme="majorBidi" w:hAnsiTheme="majorBidi" w:cstheme="majorBidi"/>
          <w:b/>
          <w:lang w:val="en-US"/>
        </w:rPr>
        <w:t>Fig. S</w:t>
      </w:r>
      <w:r w:rsidR="00FF08E4" w:rsidRPr="006117AF">
        <w:rPr>
          <w:rFonts w:asciiTheme="majorBidi" w:hAnsiTheme="majorBidi" w:cstheme="majorBidi"/>
          <w:b/>
          <w:lang w:val="en-US"/>
        </w:rPr>
        <w:t>4</w:t>
      </w:r>
      <w:r w:rsidRPr="006117AF">
        <w:rPr>
          <w:rFonts w:asciiTheme="majorBidi" w:hAnsiTheme="majorBidi" w:cstheme="majorBidi"/>
          <w:lang w:val="en-US"/>
        </w:rPr>
        <w:t xml:space="preserve"> Top-ranked conformations of the molecular complexes formed by GEM-DP, Ag</w:t>
      </w:r>
      <w:r w:rsidRPr="006117AF">
        <w:rPr>
          <w:rFonts w:asciiTheme="majorBidi" w:hAnsiTheme="majorBidi" w:cstheme="majorBidi"/>
          <w:vertAlign w:val="subscript"/>
          <w:lang w:val="en-US"/>
        </w:rPr>
        <w:t>2</w:t>
      </w:r>
      <w:r w:rsidRPr="006117AF">
        <w:rPr>
          <w:rFonts w:asciiTheme="majorBidi" w:hAnsiTheme="majorBidi" w:cstheme="majorBidi"/>
          <w:lang w:val="en-US"/>
        </w:rPr>
        <w:t>S (nanoparticle), and Ag</w:t>
      </w:r>
      <w:r w:rsidRPr="006117AF">
        <w:rPr>
          <w:rFonts w:asciiTheme="majorBidi" w:hAnsiTheme="majorBidi" w:cstheme="majorBidi"/>
          <w:vertAlign w:val="subscript"/>
          <w:lang w:val="en-US"/>
        </w:rPr>
        <w:t>2</w:t>
      </w:r>
      <w:r w:rsidRPr="006117AF">
        <w:rPr>
          <w:rFonts w:asciiTheme="majorBidi" w:hAnsiTheme="majorBidi" w:cstheme="majorBidi"/>
          <w:lang w:val="en-US"/>
        </w:rPr>
        <w:t xml:space="preserve">S-GEM ligands with human ribonucleotide reductase (RNR): </w:t>
      </w:r>
      <w:r w:rsidRPr="006117AF">
        <w:rPr>
          <w:rFonts w:asciiTheme="majorBidi" w:hAnsiTheme="majorBidi" w:cstheme="majorBidi"/>
          <w:b/>
          <w:lang w:val="en-US"/>
        </w:rPr>
        <w:t>A</w:t>
      </w:r>
      <w:r w:rsidRPr="006117AF">
        <w:rPr>
          <w:rFonts w:asciiTheme="majorBidi" w:hAnsiTheme="majorBidi" w:cstheme="majorBidi"/>
          <w:lang w:val="en-US"/>
        </w:rPr>
        <w:t xml:space="preserve">. GEM-DP—RNR complex, </w:t>
      </w:r>
      <w:r w:rsidRPr="006117AF">
        <w:rPr>
          <w:rFonts w:asciiTheme="majorBidi" w:hAnsiTheme="majorBidi" w:cstheme="majorBidi"/>
          <w:b/>
          <w:lang w:val="en-US"/>
        </w:rPr>
        <w:t>B</w:t>
      </w:r>
      <w:r w:rsidRPr="006117AF">
        <w:rPr>
          <w:rFonts w:asciiTheme="majorBidi" w:hAnsiTheme="majorBidi" w:cstheme="majorBidi"/>
          <w:lang w:val="en-US"/>
        </w:rPr>
        <w:t>. Ag</w:t>
      </w:r>
      <w:r w:rsidRPr="006117AF">
        <w:rPr>
          <w:rFonts w:asciiTheme="majorBidi" w:hAnsiTheme="majorBidi" w:cstheme="majorBidi"/>
          <w:vertAlign w:val="subscript"/>
          <w:lang w:val="en-US"/>
        </w:rPr>
        <w:t>2</w:t>
      </w:r>
      <w:r w:rsidRPr="006117AF">
        <w:rPr>
          <w:rFonts w:asciiTheme="majorBidi" w:hAnsiTheme="majorBidi" w:cstheme="majorBidi"/>
          <w:lang w:val="en-US"/>
        </w:rPr>
        <w:t xml:space="preserve">S—RNR complex, </w:t>
      </w:r>
      <w:r w:rsidRPr="006117AF">
        <w:rPr>
          <w:rFonts w:asciiTheme="majorBidi" w:hAnsiTheme="majorBidi" w:cstheme="majorBidi"/>
          <w:b/>
          <w:lang w:val="en-US"/>
        </w:rPr>
        <w:t>C</w:t>
      </w:r>
      <w:r w:rsidRPr="006117AF">
        <w:rPr>
          <w:rFonts w:asciiTheme="majorBidi" w:hAnsiTheme="majorBidi" w:cstheme="majorBidi"/>
          <w:lang w:val="en-US"/>
        </w:rPr>
        <w:t>. Ag</w:t>
      </w:r>
      <w:r w:rsidRPr="006117AF">
        <w:rPr>
          <w:rFonts w:asciiTheme="majorBidi" w:hAnsiTheme="majorBidi" w:cstheme="majorBidi"/>
          <w:vertAlign w:val="subscript"/>
          <w:lang w:val="en-US"/>
        </w:rPr>
        <w:t>2</w:t>
      </w:r>
      <w:r w:rsidRPr="006117AF">
        <w:rPr>
          <w:rFonts w:asciiTheme="majorBidi" w:hAnsiTheme="majorBidi" w:cstheme="majorBidi"/>
          <w:lang w:val="en-US"/>
        </w:rPr>
        <w:t>S-GEM—RNR complex. The RNR protein is represented in solid ribbon mode, while the ligands are depicted in stick mode. Green and light grey dashed lines represent hydrogen bonds, light purple dashed lines represent hydrophobic contacts, cyan dashed lines represent halogen (fluorine) contacts, and light yellow dashed lines represent pi-sulfur interactions. 3D figure was prepared using the Discovery Studio Visualizer program.</w:t>
      </w:r>
    </w:p>
    <w:p w14:paraId="2427624C" w14:textId="62E7DBD0" w:rsidR="001A2737" w:rsidRPr="006117AF" w:rsidRDefault="001A2737" w:rsidP="00CF0B76">
      <w:pPr>
        <w:spacing w:line="276" w:lineRule="auto"/>
        <w:jc w:val="both"/>
        <w:rPr>
          <w:rFonts w:asciiTheme="majorBidi" w:hAnsiTheme="majorBidi" w:cstheme="majorBidi"/>
          <w:lang w:val="en-US"/>
        </w:rPr>
      </w:pPr>
    </w:p>
    <w:p w14:paraId="73E8A123" w14:textId="23922807" w:rsidR="00FF08E4" w:rsidRPr="006117AF" w:rsidRDefault="00FF08E4" w:rsidP="00CF0B76">
      <w:pPr>
        <w:spacing w:line="276" w:lineRule="auto"/>
        <w:jc w:val="both"/>
        <w:rPr>
          <w:rFonts w:asciiTheme="majorBidi" w:hAnsiTheme="majorBidi" w:cstheme="majorBidi"/>
          <w:lang w:val="en-US"/>
        </w:rPr>
      </w:pPr>
    </w:p>
    <w:p w14:paraId="39166266" w14:textId="77777777" w:rsidR="00FF08E4" w:rsidRPr="006117AF" w:rsidRDefault="00FF08E4" w:rsidP="00CF0B76">
      <w:pPr>
        <w:spacing w:line="276" w:lineRule="auto"/>
        <w:jc w:val="both"/>
        <w:rPr>
          <w:rFonts w:asciiTheme="majorBidi" w:hAnsiTheme="majorBidi" w:cstheme="majorBidi"/>
          <w:lang w:val="en-US"/>
        </w:rPr>
      </w:pPr>
    </w:p>
    <w:p w14:paraId="712FC4DC" w14:textId="77777777" w:rsidR="00FF08E4" w:rsidRPr="006117AF" w:rsidRDefault="00FF08E4" w:rsidP="00FF08E4">
      <w:pPr>
        <w:spacing w:line="276" w:lineRule="auto"/>
        <w:jc w:val="center"/>
        <w:rPr>
          <w:rFonts w:asciiTheme="majorBidi" w:hAnsiTheme="majorBidi" w:cstheme="majorBidi"/>
          <w:b/>
          <w:bCs/>
          <w:lang w:val="en-US"/>
        </w:rPr>
      </w:pPr>
      <w:r w:rsidRPr="006117AF">
        <w:rPr>
          <w:rFonts w:asciiTheme="majorBidi" w:hAnsiTheme="majorBidi" w:cstheme="majorBidi"/>
          <w:b/>
          <w:bCs/>
          <w:noProof/>
          <w:lang w:val="en-IN" w:eastAsia="en-IN"/>
        </w:rPr>
        <w:lastRenderedPageBreak/>
        <w:drawing>
          <wp:inline distT="0" distB="0" distL="0" distR="0" wp14:anchorId="2779CB09" wp14:editId="066EDBDC">
            <wp:extent cx="1975380" cy="3168000"/>
            <wp:effectExtent l="0" t="0" r="6350" b="0"/>
            <wp:docPr id="63284576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45764" name=""/>
                    <pic:cNvPicPr/>
                  </pic:nvPicPr>
                  <pic:blipFill>
                    <a:blip r:embed="rId12"/>
                    <a:stretch>
                      <a:fillRect/>
                    </a:stretch>
                  </pic:blipFill>
                  <pic:spPr>
                    <a:xfrm>
                      <a:off x="0" y="0"/>
                      <a:ext cx="1975380" cy="3168000"/>
                    </a:xfrm>
                    <a:prstGeom prst="rect">
                      <a:avLst/>
                    </a:prstGeom>
                  </pic:spPr>
                </pic:pic>
              </a:graphicData>
            </a:graphic>
          </wp:inline>
        </w:drawing>
      </w:r>
    </w:p>
    <w:p w14:paraId="50A00F5A" w14:textId="6F556F9B" w:rsidR="00FF08E4" w:rsidRPr="006117AF" w:rsidRDefault="00FF08E4" w:rsidP="00FF08E4">
      <w:pPr>
        <w:spacing w:line="276" w:lineRule="auto"/>
        <w:jc w:val="both"/>
        <w:rPr>
          <w:rFonts w:asciiTheme="majorBidi" w:hAnsiTheme="majorBidi" w:cstheme="majorBidi"/>
          <w:b/>
          <w:bCs/>
          <w:lang w:val="en-US"/>
        </w:rPr>
      </w:pPr>
      <w:r w:rsidRPr="006117AF">
        <w:rPr>
          <w:rFonts w:asciiTheme="majorBidi" w:hAnsiTheme="majorBidi" w:cstheme="majorBidi"/>
          <w:b/>
          <w:bCs/>
          <w:lang w:val="en-US"/>
        </w:rPr>
        <w:t xml:space="preserve">Fig. S5 </w:t>
      </w:r>
      <w:r w:rsidRPr="006117AF">
        <w:rPr>
          <w:rFonts w:asciiTheme="majorBidi" w:hAnsiTheme="majorBidi" w:cstheme="majorBidi"/>
          <w:lang w:val="en-US"/>
        </w:rPr>
        <w:t xml:space="preserve">Docking pose between aflatoxin (used as a positive control) and the 12-nucleotide double-stranded B-DNA </w:t>
      </w:r>
      <w:proofErr w:type="spellStart"/>
      <w:r w:rsidRPr="006117AF">
        <w:rPr>
          <w:rFonts w:asciiTheme="majorBidi" w:hAnsiTheme="majorBidi" w:cstheme="majorBidi"/>
          <w:lang w:val="en-US"/>
        </w:rPr>
        <w:t>dodecamer</w:t>
      </w:r>
      <w:proofErr w:type="spellEnd"/>
      <w:r w:rsidRPr="006117AF">
        <w:rPr>
          <w:rFonts w:asciiTheme="majorBidi" w:hAnsiTheme="majorBidi" w:cstheme="majorBidi"/>
          <w:lang w:val="en-US"/>
        </w:rPr>
        <w:t xml:space="preserve"> (PDB ID: 7rqt). The DNA receptor is rendered in stick mode, while the aflatoxin is depicted using the CPK (Corey-Pauling-</w:t>
      </w:r>
      <w:proofErr w:type="spellStart"/>
      <w:r w:rsidRPr="006117AF">
        <w:rPr>
          <w:rFonts w:asciiTheme="majorBidi" w:hAnsiTheme="majorBidi" w:cstheme="majorBidi"/>
          <w:lang w:val="en-US"/>
        </w:rPr>
        <w:t>Koltun</w:t>
      </w:r>
      <w:proofErr w:type="spellEnd"/>
      <w:r w:rsidRPr="006117AF">
        <w:rPr>
          <w:rFonts w:asciiTheme="majorBidi" w:hAnsiTheme="majorBidi" w:cstheme="majorBidi"/>
          <w:lang w:val="en-US"/>
        </w:rPr>
        <w:t>) representation. The docking image was generated with DS Visualizer v16.</w:t>
      </w:r>
    </w:p>
    <w:p w14:paraId="37194E0F" w14:textId="45AD9F7F" w:rsidR="00FF08E4" w:rsidRPr="006117AF" w:rsidRDefault="00FF08E4" w:rsidP="00CF0B76">
      <w:pPr>
        <w:spacing w:line="276" w:lineRule="auto"/>
        <w:jc w:val="both"/>
        <w:rPr>
          <w:rFonts w:asciiTheme="majorBidi" w:hAnsiTheme="majorBidi" w:cstheme="majorBidi"/>
          <w:lang w:val="en-US"/>
        </w:rPr>
      </w:pPr>
    </w:p>
    <w:p w14:paraId="0979B8E9" w14:textId="77777777" w:rsidR="00FF08E4" w:rsidRPr="006117AF" w:rsidRDefault="00FF08E4" w:rsidP="00CF0B76">
      <w:pPr>
        <w:spacing w:line="276" w:lineRule="auto"/>
        <w:jc w:val="both"/>
        <w:rPr>
          <w:rFonts w:asciiTheme="majorBidi" w:hAnsiTheme="majorBidi" w:cstheme="majorBidi"/>
          <w:lang w:val="en-US"/>
        </w:rPr>
      </w:pPr>
    </w:p>
    <w:p w14:paraId="15F2CA1E" w14:textId="137C3FB7" w:rsidR="00EA4207" w:rsidRPr="006117AF" w:rsidRDefault="00EA4207" w:rsidP="00EA4207">
      <w:pPr>
        <w:spacing w:line="276" w:lineRule="auto"/>
        <w:jc w:val="both"/>
        <w:rPr>
          <w:rFonts w:asciiTheme="majorBidi" w:hAnsiTheme="majorBidi" w:cstheme="majorBidi"/>
          <w:lang w:val="en-US"/>
        </w:rPr>
      </w:pPr>
      <w:r w:rsidRPr="006117AF">
        <w:rPr>
          <w:rFonts w:asciiTheme="majorBidi" w:hAnsiTheme="majorBidi" w:cstheme="majorBidi"/>
          <w:noProof/>
          <w:lang w:val="en-IN" w:eastAsia="en-IN"/>
        </w:rPr>
        <w:drawing>
          <wp:inline distT="0" distB="0" distL="0" distR="0" wp14:anchorId="2E308EC1" wp14:editId="17E15297">
            <wp:extent cx="5680800" cy="2228400"/>
            <wp:effectExtent l="0" t="0" r="0" b="635"/>
            <wp:docPr id="56113233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961" r="1662"/>
                    <a:stretch/>
                  </pic:blipFill>
                  <pic:spPr bwMode="auto">
                    <a:xfrm>
                      <a:off x="0" y="0"/>
                      <a:ext cx="5680800" cy="2228400"/>
                    </a:xfrm>
                    <a:prstGeom prst="rect">
                      <a:avLst/>
                    </a:prstGeom>
                    <a:noFill/>
                    <a:ln>
                      <a:noFill/>
                    </a:ln>
                    <a:extLst>
                      <a:ext uri="{53640926-AAD7-44D8-BBD7-CCE9431645EC}">
                        <a14:shadowObscured xmlns:a14="http://schemas.microsoft.com/office/drawing/2010/main"/>
                      </a:ext>
                    </a:extLst>
                  </pic:spPr>
                </pic:pic>
              </a:graphicData>
            </a:graphic>
          </wp:inline>
        </w:drawing>
      </w:r>
      <w:r w:rsidRPr="006117AF">
        <w:rPr>
          <w:rFonts w:asciiTheme="majorBidi" w:hAnsiTheme="majorBidi" w:cstheme="majorBidi"/>
          <w:b/>
          <w:bCs/>
          <w:lang w:val="en-US"/>
        </w:rPr>
        <w:t>Fig. S</w:t>
      </w:r>
      <w:r w:rsidR="00FF08E4" w:rsidRPr="006117AF">
        <w:rPr>
          <w:rFonts w:asciiTheme="majorBidi" w:hAnsiTheme="majorBidi" w:cstheme="majorBidi"/>
          <w:b/>
          <w:bCs/>
          <w:lang w:val="en-US"/>
        </w:rPr>
        <w:t>6</w:t>
      </w:r>
      <w:r w:rsidRPr="006117AF">
        <w:rPr>
          <w:rFonts w:asciiTheme="majorBidi" w:hAnsiTheme="majorBidi" w:cstheme="majorBidi"/>
          <w:lang w:val="en-US"/>
        </w:rPr>
        <w:t xml:space="preserve"> Molecular interactions of 5-Fluorouracil (5-FU), Ag</w:t>
      </w:r>
      <w:r w:rsidRPr="006117AF">
        <w:rPr>
          <w:rFonts w:asciiTheme="majorBidi" w:hAnsiTheme="majorBidi" w:cstheme="majorBidi"/>
          <w:vertAlign w:val="subscript"/>
          <w:lang w:val="en-US"/>
        </w:rPr>
        <w:t>2</w:t>
      </w:r>
      <w:r w:rsidRPr="006117AF">
        <w:rPr>
          <w:rFonts w:asciiTheme="majorBidi" w:hAnsiTheme="majorBidi" w:cstheme="majorBidi"/>
          <w:lang w:val="en-US"/>
        </w:rPr>
        <w:t>S nanoparticle, gemcitabine (GEM), and the Ag</w:t>
      </w:r>
      <w:r w:rsidRPr="006117AF">
        <w:rPr>
          <w:rFonts w:asciiTheme="majorBidi" w:hAnsiTheme="majorBidi" w:cstheme="majorBidi"/>
          <w:vertAlign w:val="subscript"/>
          <w:lang w:val="en-US"/>
        </w:rPr>
        <w:t>2</w:t>
      </w:r>
      <w:r w:rsidRPr="006117AF">
        <w:rPr>
          <w:rFonts w:asciiTheme="majorBidi" w:hAnsiTheme="majorBidi" w:cstheme="majorBidi"/>
          <w:lang w:val="en-US"/>
        </w:rPr>
        <w:t xml:space="preserve">S—GEM with the 12-nucleotide double-stranded B-DNA </w:t>
      </w:r>
      <w:proofErr w:type="spellStart"/>
      <w:r w:rsidRPr="006117AF">
        <w:rPr>
          <w:rFonts w:asciiTheme="majorBidi" w:hAnsiTheme="majorBidi" w:cstheme="majorBidi"/>
          <w:lang w:val="en-US"/>
        </w:rPr>
        <w:t>dodecamer</w:t>
      </w:r>
      <w:proofErr w:type="spellEnd"/>
      <w:r w:rsidRPr="006117AF">
        <w:rPr>
          <w:rFonts w:asciiTheme="majorBidi" w:hAnsiTheme="majorBidi" w:cstheme="majorBidi"/>
          <w:lang w:val="en-US"/>
        </w:rPr>
        <w:t xml:space="preserve"> (PDB ID: 7rqt). </w:t>
      </w:r>
      <w:r w:rsidRPr="006117AF">
        <w:rPr>
          <w:rFonts w:asciiTheme="majorBidi" w:hAnsiTheme="majorBidi" w:cstheme="majorBidi"/>
          <w:b/>
          <w:bCs/>
          <w:lang w:val="en-US"/>
        </w:rPr>
        <w:t>a</w:t>
      </w:r>
      <w:r w:rsidRPr="006117AF">
        <w:rPr>
          <w:rFonts w:asciiTheme="majorBidi" w:hAnsiTheme="majorBidi" w:cstheme="majorBidi"/>
          <w:lang w:val="en-US"/>
        </w:rPr>
        <w:t xml:space="preserve">. 5-FU-DNA interaction, </w:t>
      </w:r>
      <w:r w:rsidRPr="006117AF">
        <w:rPr>
          <w:rFonts w:asciiTheme="majorBidi" w:hAnsiTheme="majorBidi" w:cstheme="majorBidi"/>
          <w:b/>
          <w:bCs/>
          <w:lang w:val="en-US"/>
        </w:rPr>
        <w:t>b</w:t>
      </w:r>
      <w:r w:rsidRPr="006117AF">
        <w:rPr>
          <w:rFonts w:asciiTheme="majorBidi" w:hAnsiTheme="majorBidi" w:cstheme="majorBidi"/>
          <w:lang w:val="en-US"/>
        </w:rPr>
        <w:t>. Ag</w:t>
      </w:r>
      <w:r w:rsidRPr="006117AF">
        <w:rPr>
          <w:rFonts w:asciiTheme="majorBidi" w:hAnsiTheme="majorBidi" w:cstheme="majorBidi"/>
          <w:vertAlign w:val="subscript"/>
          <w:lang w:val="en-US"/>
        </w:rPr>
        <w:t>2</w:t>
      </w:r>
      <w:r w:rsidRPr="006117AF">
        <w:rPr>
          <w:rFonts w:asciiTheme="majorBidi" w:hAnsiTheme="majorBidi" w:cstheme="majorBidi"/>
          <w:lang w:val="en-US"/>
        </w:rPr>
        <w:t xml:space="preserve">S-DNA interaction, </w:t>
      </w:r>
      <w:r w:rsidRPr="006117AF">
        <w:rPr>
          <w:rFonts w:asciiTheme="majorBidi" w:hAnsiTheme="majorBidi" w:cstheme="majorBidi"/>
          <w:b/>
          <w:bCs/>
          <w:lang w:val="en-US"/>
        </w:rPr>
        <w:t>c</w:t>
      </w:r>
      <w:r w:rsidRPr="006117AF">
        <w:rPr>
          <w:rFonts w:asciiTheme="majorBidi" w:hAnsiTheme="majorBidi" w:cstheme="majorBidi"/>
          <w:lang w:val="en-US"/>
        </w:rPr>
        <w:t xml:space="preserve">. GEM-DNA interaction, </w:t>
      </w:r>
      <w:r w:rsidRPr="006117AF">
        <w:rPr>
          <w:rFonts w:asciiTheme="majorBidi" w:hAnsiTheme="majorBidi" w:cstheme="majorBidi"/>
          <w:b/>
          <w:bCs/>
          <w:lang w:val="en-US"/>
        </w:rPr>
        <w:t>d</w:t>
      </w:r>
      <w:r w:rsidRPr="006117AF">
        <w:rPr>
          <w:rFonts w:asciiTheme="majorBidi" w:hAnsiTheme="majorBidi" w:cstheme="majorBidi"/>
          <w:lang w:val="en-US"/>
        </w:rPr>
        <w:t>. Ag</w:t>
      </w:r>
      <w:r w:rsidRPr="006117AF">
        <w:rPr>
          <w:rFonts w:asciiTheme="majorBidi" w:hAnsiTheme="majorBidi" w:cstheme="majorBidi"/>
          <w:vertAlign w:val="subscript"/>
          <w:lang w:val="en-US"/>
        </w:rPr>
        <w:t>2</w:t>
      </w:r>
      <w:r w:rsidRPr="006117AF">
        <w:rPr>
          <w:rFonts w:asciiTheme="majorBidi" w:hAnsiTheme="majorBidi" w:cstheme="majorBidi"/>
          <w:lang w:val="en-US"/>
        </w:rPr>
        <w:t>S-GEM—DNA interaction. The DNA receptor is displayed in stick mode, while the ligands are represented in CPK (Corey-Pauling-</w:t>
      </w:r>
      <w:proofErr w:type="spellStart"/>
      <w:r w:rsidRPr="006117AF">
        <w:rPr>
          <w:rFonts w:asciiTheme="majorBidi" w:hAnsiTheme="majorBidi" w:cstheme="majorBidi"/>
          <w:lang w:val="en-US"/>
        </w:rPr>
        <w:t>Koltun</w:t>
      </w:r>
      <w:proofErr w:type="spellEnd"/>
      <w:r w:rsidRPr="006117AF">
        <w:rPr>
          <w:rFonts w:asciiTheme="majorBidi" w:hAnsiTheme="majorBidi" w:cstheme="majorBidi"/>
          <w:lang w:val="en-US"/>
        </w:rPr>
        <w:t>) mode. The docking figures were generated using DS Visualizer v16.</w:t>
      </w:r>
    </w:p>
    <w:p w14:paraId="2F5A31F9" w14:textId="77777777" w:rsidR="00663189" w:rsidRPr="006117AF" w:rsidRDefault="00663189" w:rsidP="00EA4207">
      <w:pPr>
        <w:spacing w:line="276" w:lineRule="auto"/>
        <w:jc w:val="both"/>
        <w:rPr>
          <w:rFonts w:asciiTheme="majorBidi" w:hAnsiTheme="majorBidi" w:cstheme="majorBidi"/>
          <w:lang w:val="en-US"/>
        </w:rPr>
      </w:pPr>
    </w:p>
    <w:p w14:paraId="69A6D8AA" w14:textId="77777777" w:rsidR="00663189" w:rsidRPr="006117AF" w:rsidRDefault="00663189" w:rsidP="00EA4207">
      <w:pPr>
        <w:spacing w:line="276" w:lineRule="auto"/>
        <w:jc w:val="both"/>
        <w:rPr>
          <w:rFonts w:asciiTheme="majorBidi" w:hAnsiTheme="majorBidi" w:cstheme="majorBidi"/>
          <w:lang w:val="en-US"/>
        </w:rPr>
      </w:pPr>
    </w:p>
    <w:p w14:paraId="337D61EC" w14:textId="147B7F52" w:rsidR="002C3DE3" w:rsidRPr="006117AF" w:rsidRDefault="002C3DE3" w:rsidP="002C3DE3">
      <w:pPr>
        <w:spacing w:after="0" w:line="276" w:lineRule="auto"/>
        <w:jc w:val="both"/>
        <w:rPr>
          <w:rFonts w:ascii="Times New Roman" w:hAnsi="Times New Roman" w:cs="Times New Roman"/>
          <w:lang w:val="en-US"/>
        </w:rPr>
      </w:pPr>
      <w:r w:rsidRPr="006117AF">
        <w:rPr>
          <w:rFonts w:ascii="Times New Roman" w:hAnsi="Times New Roman" w:cs="Times New Roman"/>
          <w:b/>
          <w:lang w:val="en-US"/>
        </w:rPr>
        <w:lastRenderedPageBreak/>
        <w:t>Table S1</w:t>
      </w:r>
      <w:r w:rsidRPr="006117AF">
        <w:rPr>
          <w:rFonts w:ascii="Times New Roman" w:hAnsi="Times New Roman" w:cs="Times New Roman"/>
          <w:lang w:val="en-US"/>
        </w:rPr>
        <w:t xml:space="preserve"> Binding free energy (kcal/</w:t>
      </w:r>
      <w:proofErr w:type="spellStart"/>
      <w:r w:rsidRPr="006117AF">
        <w:rPr>
          <w:rFonts w:ascii="Times New Roman" w:hAnsi="Times New Roman" w:cs="Times New Roman"/>
          <w:lang w:val="en-US"/>
        </w:rPr>
        <w:t>mol</w:t>
      </w:r>
      <w:proofErr w:type="spellEnd"/>
      <w:r w:rsidRPr="006117AF">
        <w:rPr>
          <w:rFonts w:ascii="Times New Roman" w:hAnsi="Times New Roman" w:cs="Times New Roman"/>
          <w:lang w:val="en-US"/>
        </w:rPr>
        <w:t xml:space="preserve">) predicted </w:t>
      </w:r>
      <w:r w:rsidR="00441E11" w:rsidRPr="006117AF">
        <w:rPr>
          <w:rFonts w:ascii="Times New Roman" w:hAnsi="Times New Roman" w:cs="Times New Roman"/>
          <w:lang w:val="en-US"/>
        </w:rPr>
        <w:t>by</w:t>
      </w:r>
      <w:r w:rsidRPr="006117AF">
        <w:rPr>
          <w:rFonts w:ascii="Times New Roman" w:hAnsi="Times New Roman" w:cs="Times New Roman"/>
          <w:lang w:val="en-US"/>
        </w:rPr>
        <w:t xml:space="preserve"> molecular docking for aflatoxin (AFL) used as a positive (reference) control against the 12-nucleotide double-stranded B-DNA </w:t>
      </w:r>
      <w:proofErr w:type="spellStart"/>
      <w:r w:rsidRPr="006117AF">
        <w:rPr>
          <w:rFonts w:ascii="Times New Roman" w:hAnsi="Times New Roman" w:cs="Times New Roman"/>
          <w:lang w:val="en-US"/>
        </w:rPr>
        <w:t>dodecamer</w:t>
      </w:r>
      <w:proofErr w:type="spellEnd"/>
      <w:r w:rsidRPr="006117AF">
        <w:rPr>
          <w:rFonts w:ascii="Times New Roman" w:hAnsi="Times New Roman" w:cs="Times New Roman"/>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8"/>
        <w:gridCol w:w="1450"/>
        <w:gridCol w:w="1439"/>
        <w:gridCol w:w="1447"/>
        <w:gridCol w:w="1429"/>
        <w:gridCol w:w="1849"/>
      </w:tblGrid>
      <w:tr w:rsidR="006117AF" w:rsidRPr="006117AF" w14:paraId="2274C63B" w14:textId="32416CDD" w:rsidTr="00812A86">
        <w:tc>
          <w:tcPr>
            <w:tcW w:w="1509" w:type="dxa"/>
            <w:tcBorders>
              <w:top w:val="single" w:sz="4" w:space="0" w:color="auto"/>
              <w:bottom w:val="single" w:sz="4" w:space="0" w:color="auto"/>
            </w:tcBorders>
            <w:vAlign w:val="center"/>
          </w:tcPr>
          <w:p w14:paraId="6CA450CE" w14:textId="229A8DB7" w:rsidR="002C3DE3" w:rsidRPr="006117AF" w:rsidRDefault="002C3DE3" w:rsidP="002C3DE3">
            <w:pPr>
              <w:spacing w:line="276" w:lineRule="auto"/>
              <w:jc w:val="center"/>
              <w:rPr>
                <w:rFonts w:asciiTheme="majorBidi" w:hAnsiTheme="majorBidi" w:cstheme="majorBidi"/>
                <w:lang w:val="en-US"/>
              </w:rPr>
            </w:pPr>
            <w:r w:rsidRPr="006117AF">
              <w:rPr>
                <w:rFonts w:ascii="Times New Roman" w:hAnsi="Times New Roman" w:cs="Times New Roman"/>
                <w:b/>
                <w:sz w:val="18"/>
                <w:szCs w:val="18"/>
                <w:lang w:val="en-US"/>
              </w:rPr>
              <w:t>Compound</w:t>
            </w:r>
          </w:p>
        </w:tc>
        <w:tc>
          <w:tcPr>
            <w:tcW w:w="1510" w:type="dxa"/>
            <w:tcBorders>
              <w:top w:val="single" w:sz="4" w:space="0" w:color="auto"/>
              <w:bottom w:val="single" w:sz="4" w:space="0" w:color="auto"/>
            </w:tcBorders>
            <w:vAlign w:val="center"/>
          </w:tcPr>
          <w:p w14:paraId="55AA5FF5" w14:textId="77777777" w:rsidR="002C3DE3" w:rsidRPr="006117AF" w:rsidRDefault="002C3DE3" w:rsidP="002C3DE3">
            <w:pPr>
              <w:spacing w:line="276" w:lineRule="auto"/>
              <w:jc w:val="center"/>
              <w:rPr>
                <w:rFonts w:ascii="Times New Roman" w:hAnsi="Times New Roman" w:cs="Times New Roman"/>
                <w:b/>
                <w:sz w:val="18"/>
                <w:szCs w:val="18"/>
                <w:lang w:val="en-US"/>
              </w:rPr>
            </w:pPr>
            <w:r w:rsidRPr="006117AF">
              <w:rPr>
                <w:rFonts w:ascii="Times New Roman" w:hAnsi="Times New Roman" w:cs="Times New Roman"/>
                <w:b/>
                <w:sz w:val="18"/>
                <w:szCs w:val="18"/>
                <w:lang w:val="en-US"/>
              </w:rPr>
              <w:t>Molecular</w:t>
            </w:r>
          </w:p>
          <w:p w14:paraId="04301AAA" w14:textId="77777777" w:rsidR="002C3DE3" w:rsidRPr="006117AF" w:rsidRDefault="002C3DE3" w:rsidP="002C3DE3">
            <w:pPr>
              <w:spacing w:line="276" w:lineRule="auto"/>
              <w:jc w:val="center"/>
              <w:rPr>
                <w:rFonts w:ascii="Times New Roman" w:hAnsi="Times New Roman" w:cs="Times New Roman"/>
                <w:b/>
                <w:sz w:val="18"/>
                <w:szCs w:val="18"/>
                <w:lang w:val="en-US"/>
              </w:rPr>
            </w:pPr>
            <w:r w:rsidRPr="006117AF">
              <w:rPr>
                <w:rFonts w:ascii="Times New Roman" w:hAnsi="Times New Roman" w:cs="Times New Roman"/>
                <w:b/>
                <w:sz w:val="18"/>
                <w:szCs w:val="18"/>
                <w:lang w:val="en-US"/>
              </w:rPr>
              <w:t>weight</w:t>
            </w:r>
          </w:p>
          <w:p w14:paraId="76BCDCFA" w14:textId="447BAB5F" w:rsidR="002C3DE3" w:rsidRPr="006117AF" w:rsidRDefault="002C3DE3" w:rsidP="002C3DE3">
            <w:pPr>
              <w:spacing w:line="276" w:lineRule="auto"/>
              <w:jc w:val="center"/>
              <w:rPr>
                <w:rFonts w:asciiTheme="majorBidi" w:hAnsiTheme="majorBidi" w:cstheme="majorBidi"/>
                <w:lang w:val="en-US"/>
              </w:rPr>
            </w:pPr>
            <w:r w:rsidRPr="006117AF">
              <w:rPr>
                <w:rFonts w:ascii="Times New Roman" w:hAnsi="Times New Roman" w:cs="Times New Roman"/>
                <w:b/>
                <w:sz w:val="18"/>
                <w:szCs w:val="18"/>
                <w:lang w:val="en-US"/>
              </w:rPr>
              <w:t>(g/</w:t>
            </w:r>
            <w:proofErr w:type="spellStart"/>
            <w:r w:rsidRPr="006117AF">
              <w:rPr>
                <w:rFonts w:ascii="Times New Roman" w:hAnsi="Times New Roman" w:cs="Times New Roman"/>
                <w:b/>
                <w:sz w:val="18"/>
                <w:szCs w:val="18"/>
                <w:lang w:val="en-US"/>
              </w:rPr>
              <w:t>mol</w:t>
            </w:r>
            <w:proofErr w:type="spellEnd"/>
            <w:r w:rsidRPr="006117AF">
              <w:rPr>
                <w:rFonts w:ascii="Times New Roman" w:hAnsi="Times New Roman" w:cs="Times New Roman"/>
                <w:b/>
                <w:sz w:val="18"/>
                <w:szCs w:val="18"/>
                <w:lang w:val="en-US"/>
              </w:rPr>
              <w:t>)</w:t>
            </w:r>
          </w:p>
        </w:tc>
        <w:tc>
          <w:tcPr>
            <w:tcW w:w="1510" w:type="dxa"/>
            <w:tcBorders>
              <w:top w:val="single" w:sz="4" w:space="0" w:color="auto"/>
              <w:bottom w:val="single" w:sz="4" w:space="0" w:color="auto"/>
            </w:tcBorders>
            <w:vAlign w:val="center"/>
          </w:tcPr>
          <w:p w14:paraId="4676639F" w14:textId="1D5124C9" w:rsidR="002C3DE3" w:rsidRPr="006117AF" w:rsidRDefault="002C3DE3" w:rsidP="002C3DE3">
            <w:pPr>
              <w:spacing w:line="276" w:lineRule="auto"/>
              <w:jc w:val="center"/>
              <w:rPr>
                <w:rFonts w:asciiTheme="majorBidi" w:hAnsiTheme="majorBidi" w:cstheme="majorBidi"/>
                <w:lang w:val="en-US"/>
              </w:rPr>
            </w:pPr>
            <w:r w:rsidRPr="006117AF">
              <w:rPr>
                <w:rFonts w:ascii="Times New Roman" w:hAnsi="Times New Roman" w:cs="Times New Roman"/>
                <w:b/>
                <w:sz w:val="18"/>
                <w:szCs w:val="18"/>
                <w:lang w:val="en-US"/>
              </w:rPr>
              <w:t>Receptor</w:t>
            </w:r>
          </w:p>
        </w:tc>
        <w:tc>
          <w:tcPr>
            <w:tcW w:w="1511" w:type="dxa"/>
            <w:tcBorders>
              <w:top w:val="single" w:sz="4" w:space="0" w:color="auto"/>
              <w:bottom w:val="single" w:sz="4" w:space="0" w:color="auto"/>
            </w:tcBorders>
            <w:vAlign w:val="center"/>
          </w:tcPr>
          <w:p w14:paraId="4CFCFA20" w14:textId="77777777" w:rsidR="002C3DE3" w:rsidRPr="006117AF" w:rsidRDefault="002C3DE3" w:rsidP="002C3DE3">
            <w:pPr>
              <w:spacing w:line="276" w:lineRule="auto"/>
              <w:jc w:val="center"/>
              <w:rPr>
                <w:rFonts w:ascii="Times New Roman" w:hAnsi="Times New Roman" w:cs="Times New Roman"/>
                <w:b/>
                <w:sz w:val="18"/>
                <w:szCs w:val="18"/>
                <w:vertAlign w:val="subscript"/>
                <w:lang w:val="en-US"/>
              </w:rPr>
            </w:pPr>
            <w:proofErr w:type="spellStart"/>
            <w:r w:rsidRPr="006117AF">
              <w:rPr>
                <w:rFonts w:ascii="Times New Roman" w:hAnsi="Times New Roman" w:cs="Times New Roman"/>
                <w:b/>
                <w:sz w:val="18"/>
                <w:szCs w:val="18"/>
                <w:lang w:val="en-US"/>
              </w:rPr>
              <w:t>Δ</w:t>
            </w:r>
            <w:r w:rsidRPr="006117AF">
              <w:rPr>
                <w:rFonts w:ascii="Times New Roman" w:hAnsi="Times New Roman" w:cs="Times New Roman"/>
                <w:b/>
                <w:i/>
                <w:iCs/>
                <w:sz w:val="18"/>
                <w:szCs w:val="18"/>
                <w:lang w:val="en-US"/>
              </w:rPr>
              <w:t>G</w:t>
            </w:r>
            <w:r w:rsidRPr="006117AF">
              <w:rPr>
                <w:rFonts w:ascii="Times New Roman" w:hAnsi="Times New Roman" w:cs="Times New Roman"/>
                <w:b/>
                <w:sz w:val="18"/>
                <w:szCs w:val="18"/>
                <w:vertAlign w:val="subscript"/>
                <w:lang w:val="en-US"/>
              </w:rPr>
              <w:t>best</w:t>
            </w:r>
            <w:proofErr w:type="spellEnd"/>
          </w:p>
          <w:p w14:paraId="46D8ADE4" w14:textId="201485ED" w:rsidR="002C3DE3" w:rsidRPr="006117AF" w:rsidRDefault="002C3DE3" w:rsidP="002C3DE3">
            <w:pPr>
              <w:spacing w:line="276" w:lineRule="auto"/>
              <w:jc w:val="center"/>
              <w:rPr>
                <w:rFonts w:asciiTheme="majorBidi" w:hAnsiTheme="majorBidi" w:cstheme="majorBidi"/>
                <w:lang w:val="en-US"/>
              </w:rPr>
            </w:pPr>
            <w:r w:rsidRPr="006117AF">
              <w:rPr>
                <w:rFonts w:ascii="Times New Roman" w:hAnsi="Times New Roman" w:cs="Times New Roman"/>
                <w:b/>
                <w:sz w:val="18"/>
                <w:szCs w:val="18"/>
                <w:lang w:val="en-US"/>
              </w:rPr>
              <w:t>(</w:t>
            </w:r>
            <w:r w:rsidRPr="006117AF">
              <w:rPr>
                <w:rFonts w:ascii="Times New Roman" w:hAnsi="Times New Roman" w:cs="Times New Roman"/>
                <w:b/>
                <w:i/>
                <w:sz w:val="18"/>
                <w:szCs w:val="18"/>
                <w:lang w:val="en-US"/>
              </w:rPr>
              <w:t>kcal/</w:t>
            </w:r>
            <w:proofErr w:type="spellStart"/>
            <w:r w:rsidRPr="006117AF">
              <w:rPr>
                <w:rFonts w:ascii="Times New Roman" w:hAnsi="Times New Roman" w:cs="Times New Roman"/>
                <w:b/>
                <w:i/>
                <w:sz w:val="18"/>
                <w:szCs w:val="18"/>
                <w:lang w:val="en-US"/>
              </w:rPr>
              <w:t>mol</w:t>
            </w:r>
            <w:proofErr w:type="spellEnd"/>
            <w:r w:rsidRPr="006117AF">
              <w:rPr>
                <w:rFonts w:ascii="Times New Roman" w:hAnsi="Times New Roman" w:cs="Times New Roman"/>
                <w:b/>
                <w:sz w:val="18"/>
                <w:szCs w:val="18"/>
                <w:lang w:val="en-US"/>
              </w:rPr>
              <w:t>)</w:t>
            </w:r>
          </w:p>
        </w:tc>
        <w:tc>
          <w:tcPr>
            <w:tcW w:w="1511" w:type="dxa"/>
            <w:tcBorders>
              <w:top w:val="single" w:sz="4" w:space="0" w:color="auto"/>
              <w:bottom w:val="single" w:sz="4" w:space="0" w:color="auto"/>
            </w:tcBorders>
            <w:vAlign w:val="center"/>
          </w:tcPr>
          <w:p w14:paraId="0193E996" w14:textId="4E62A8F1" w:rsidR="002C3DE3" w:rsidRPr="006117AF" w:rsidRDefault="002C3DE3" w:rsidP="002C3DE3">
            <w:pPr>
              <w:spacing w:line="276" w:lineRule="auto"/>
              <w:jc w:val="center"/>
              <w:rPr>
                <w:rFonts w:asciiTheme="majorBidi" w:hAnsiTheme="majorBidi" w:cstheme="majorBidi"/>
                <w:lang w:val="en-US"/>
              </w:rPr>
            </w:pPr>
            <w:r w:rsidRPr="006117AF">
              <w:rPr>
                <w:rFonts w:ascii="Times New Roman" w:hAnsi="Times New Roman" w:cs="Times New Roman"/>
                <w:b/>
                <w:sz w:val="18"/>
                <w:szCs w:val="18"/>
                <w:lang w:val="en-US"/>
              </w:rPr>
              <w:t>Binding mode</w:t>
            </w:r>
          </w:p>
        </w:tc>
        <w:tc>
          <w:tcPr>
            <w:tcW w:w="1511" w:type="dxa"/>
            <w:tcBorders>
              <w:top w:val="single" w:sz="4" w:space="0" w:color="auto"/>
              <w:bottom w:val="single" w:sz="4" w:space="0" w:color="auto"/>
            </w:tcBorders>
            <w:vAlign w:val="center"/>
          </w:tcPr>
          <w:p w14:paraId="12FA2CEF" w14:textId="39F80935" w:rsidR="002C3DE3" w:rsidRPr="006117AF" w:rsidRDefault="002C3DE3" w:rsidP="002C3DE3">
            <w:pPr>
              <w:spacing w:line="276" w:lineRule="auto"/>
              <w:jc w:val="center"/>
              <w:rPr>
                <w:rFonts w:asciiTheme="majorBidi" w:hAnsiTheme="majorBidi" w:cstheme="majorBidi"/>
                <w:lang w:val="en-US"/>
              </w:rPr>
            </w:pPr>
            <w:r w:rsidRPr="006117AF">
              <w:rPr>
                <w:rFonts w:ascii="Times New Roman" w:hAnsi="Times New Roman" w:cs="Times New Roman"/>
                <w:b/>
                <w:sz w:val="18"/>
                <w:szCs w:val="18"/>
                <w:lang w:val="en-US"/>
              </w:rPr>
              <w:t>Binding sequence</w:t>
            </w:r>
          </w:p>
        </w:tc>
      </w:tr>
      <w:tr w:rsidR="006117AF" w:rsidRPr="006117AF" w14:paraId="63A4409B" w14:textId="77777777" w:rsidTr="00812A86">
        <w:tc>
          <w:tcPr>
            <w:tcW w:w="1509" w:type="dxa"/>
            <w:tcBorders>
              <w:top w:val="single" w:sz="4" w:space="0" w:color="auto"/>
              <w:bottom w:val="single" w:sz="4" w:space="0" w:color="auto"/>
            </w:tcBorders>
            <w:vAlign w:val="center"/>
          </w:tcPr>
          <w:p w14:paraId="421D7989" w14:textId="4BDE4C39" w:rsidR="002C3DE3" w:rsidRPr="006117AF" w:rsidRDefault="00241067" w:rsidP="002C3DE3">
            <w:pPr>
              <w:spacing w:line="276" w:lineRule="auto"/>
              <w:jc w:val="center"/>
              <w:rPr>
                <w:rFonts w:ascii="Times New Roman" w:hAnsi="Times New Roman" w:cs="Times New Roman"/>
                <w:bCs/>
                <w:sz w:val="18"/>
                <w:szCs w:val="18"/>
                <w:lang w:val="en-US"/>
              </w:rPr>
            </w:pPr>
            <w:r w:rsidRPr="006117AF">
              <w:rPr>
                <w:rFonts w:ascii="Times New Roman" w:hAnsi="Times New Roman" w:cs="Times New Roman"/>
                <w:bCs/>
                <w:sz w:val="18"/>
                <w:szCs w:val="18"/>
                <w:lang w:val="en-US"/>
              </w:rPr>
              <w:t>AFL</w:t>
            </w:r>
          </w:p>
        </w:tc>
        <w:tc>
          <w:tcPr>
            <w:tcW w:w="1510" w:type="dxa"/>
            <w:tcBorders>
              <w:top w:val="single" w:sz="4" w:space="0" w:color="auto"/>
              <w:bottom w:val="single" w:sz="4" w:space="0" w:color="auto"/>
            </w:tcBorders>
            <w:vAlign w:val="center"/>
          </w:tcPr>
          <w:p w14:paraId="7FCC59D4" w14:textId="21A65034" w:rsidR="002C3DE3" w:rsidRPr="006117AF" w:rsidRDefault="00241067" w:rsidP="002C3DE3">
            <w:pPr>
              <w:spacing w:line="276" w:lineRule="auto"/>
              <w:jc w:val="center"/>
              <w:rPr>
                <w:rFonts w:ascii="Times New Roman" w:hAnsi="Times New Roman" w:cs="Times New Roman"/>
                <w:bCs/>
                <w:sz w:val="18"/>
                <w:szCs w:val="18"/>
                <w:lang w:val="en-US"/>
              </w:rPr>
            </w:pPr>
            <w:r w:rsidRPr="006117AF">
              <w:rPr>
                <w:rFonts w:ascii="Times New Roman" w:hAnsi="Times New Roman" w:cs="Times New Roman"/>
                <w:bCs/>
                <w:sz w:val="18"/>
                <w:szCs w:val="18"/>
                <w:lang w:val="en-US"/>
              </w:rPr>
              <w:t>328.283</w:t>
            </w:r>
          </w:p>
        </w:tc>
        <w:tc>
          <w:tcPr>
            <w:tcW w:w="1510" w:type="dxa"/>
            <w:tcBorders>
              <w:top w:val="single" w:sz="4" w:space="0" w:color="auto"/>
              <w:bottom w:val="single" w:sz="4" w:space="0" w:color="auto"/>
            </w:tcBorders>
            <w:vAlign w:val="center"/>
          </w:tcPr>
          <w:p w14:paraId="5D9F0AC8" w14:textId="0425385C" w:rsidR="002C3DE3" w:rsidRPr="006117AF" w:rsidRDefault="00241067" w:rsidP="002C3DE3">
            <w:pPr>
              <w:spacing w:line="276" w:lineRule="auto"/>
              <w:jc w:val="center"/>
              <w:rPr>
                <w:rFonts w:ascii="Times New Roman" w:hAnsi="Times New Roman" w:cs="Times New Roman"/>
                <w:b/>
                <w:sz w:val="18"/>
                <w:szCs w:val="18"/>
                <w:lang w:val="en-US"/>
              </w:rPr>
            </w:pPr>
            <w:r w:rsidRPr="006117AF">
              <w:rPr>
                <w:rFonts w:ascii="Times New Roman" w:hAnsi="Times New Roman" w:cs="Times New Roman"/>
                <w:sz w:val="18"/>
                <w:szCs w:val="18"/>
                <w:lang w:val="en-US"/>
              </w:rPr>
              <w:t>B-DNA</w:t>
            </w:r>
          </w:p>
        </w:tc>
        <w:tc>
          <w:tcPr>
            <w:tcW w:w="1511" w:type="dxa"/>
            <w:tcBorders>
              <w:top w:val="single" w:sz="4" w:space="0" w:color="auto"/>
              <w:bottom w:val="single" w:sz="4" w:space="0" w:color="auto"/>
            </w:tcBorders>
            <w:vAlign w:val="center"/>
          </w:tcPr>
          <w:p w14:paraId="396D82BB" w14:textId="6DD518B6" w:rsidR="002C3DE3" w:rsidRPr="006117AF" w:rsidRDefault="00241067" w:rsidP="002C3DE3">
            <w:pPr>
              <w:spacing w:line="276" w:lineRule="auto"/>
              <w:jc w:val="center"/>
              <w:rPr>
                <w:rFonts w:ascii="Times New Roman" w:hAnsi="Times New Roman" w:cs="Times New Roman"/>
                <w:bCs/>
                <w:sz w:val="18"/>
                <w:szCs w:val="18"/>
                <w:lang w:val="en-US"/>
              </w:rPr>
            </w:pPr>
            <w:r w:rsidRPr="006117AF">
              <w:rPr>
                <w:rFonts w:ascii="Times New Roman" w:hAnsi="Times New Roman" w:cs="Times New Roman"/>
                <w:bCs/>
                <w:sz w:val="18"/>
                <w:szCs w:val="18"/>
                <w:lang w:val="en-US"/>
              </w:rPr>
              <w:t>-7.79</w:t>
            </w:r>
          </w:p>
        </w:tc>
        <w:tc>
          <w:tcPr>
            <w:tcW w:w="1511" w:type="dxa"/>
            <w:tcBorders>
              <w:top w:val="single" w:sz="4" w:space="0" w:color="auto"/>
              <w:bottom w:val="single" w:sz="4" w:space="0" w:color="auto"/>
            </w:tcBorders>
            <w:vAlign w:val="center"/>
          </w:tcPr>
          <w:p w14:paraId="393D253D" w14:textId="60547B90" w:rsidR="002C3DE3" w:rsidRPr="006117AF" w:rsidRDefault="00F620D7" w:rsidP="002C3DE3">
            <w:pPr>
              <w:spacing w:line="276" w:lineRule="auto"/>
              <w:jc w:val="center"/>
              <w:rPr>
                <w:rFonts w:ascii="Times New Roman" w:hAnsi="Times New Roman" w:cs="Times New Roman"/>
                <w:bCs/>
                <w:sz w:val="18"/>
                <w:szCs w:val="18"/>
                <w:lang w:val="en-US"/>
              </w:rPr>
            </w:pPr>
            <w:r w:rsidRPr="006117AF">
              <w:rPr>
                <w:rFonts w:ascii="Times New Roman" w:hAnsi="Times New Roman" w:cs="Times New Roman"/>
                <w:bCs/>
                <w:sz w:val="18"/>
                <w:szCs w:val="18"/>
                <w:lang w:val="en-US"/>
              </w:rPr>
              <w:t>Minor groove</w:t>
            </w:r>
          </w:p>
        </w:tc>
        <w:tc>
          <w:tcPr>
            <w:tcW w:w="1511" w:type="dxa"/>
            <w:tcBorders>
              <w:top w:val="single" w:sz="4" w:space="0" w:color="auto"/>
              <w:bottom w:val="single" w:sz="4" w:space="0" w:color="auto"/>
            </w:tcBorders>
            <w:vAlign w:val="center"/>
          </w:tcPr>
          <w:p w14:paraId="79CA5ED0" w14:textId="70842994" w:rsidR="002C3DE3" w:rsidRPr="006117AF" w:rsidRDefault="00071382" w:rsidP="002C3DE3">
            <w:pPr>
              <w:spacing w:line="276" w:lineRule="auto"/>
              <w:jc w:val="center"/>
              <w:rPr>
                <w:rFonts w:ascii="Times New Roman" w:hAnsi="Times New Roman" w:cs="Times New Roman"/>
                <w:b/>
                <w:sz w:val="18"/>
                <w:szCs w:val="18"/>
                <w:lang w:val="en-US"/>
              </w:rPr>
            </w:pPr>
            <w:r w:rsidRPr="006117AF">
              <w:rPr>
                <w:rFonts w:ascii="Times New Roman" w:hAnsi="Times New Roman" w:cs="Times New Roman"/>
                <w:b/>
                <w:noProof/>
                <w:sz w:val="18"/>
                <w:szCs w:val="18"/>
                <w:lang w:val="en-IN" w:eastAsia="en-IN"/>
              </w:rPr>
              <w:drawing>
                <wp:inline distT="0" distB="0" distL="0" distR="0" wp14:anchorId="193C093B" wp14:editId="30585038">
                  <wp:extent cx="1037271" cy="252000"/>
                  <wp:effectExtent l="0" t="0" r="0" b="0"/>
                  <wp:docPr id="199390303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903037" name=""/>
                          <pic:cNvPicPr/>
                        </pic:nvPicPr>
                        <pic:blipFill>
                          <a:blip r:embed="rId14"/>
                          <a:stretch>
                            <a:fillRect/>
                          </a:stretch>
                        </pic:blipFill>
                        <pic:spPr>
                          <a:xfrm>
                            <a:off x="0" y="0"/>
                            <a:ext cx="1037271" cy="252000"/>
                          </a:xfrm>
                          <a:prstGeom prst="rect">
                            <a:avLst/>
                          </a:prstGeom>
                        </pic:spPr>
                      </pic:pic>
                    </a:graphicData>
                  </a:graphic>
                </wp:inline>
              </w:drawing>
            </w:r>
          </w:p>
        </w:tc>
      </w:tr>
    </w:tbl>
    <w:p w14:paraId="481F5FEC" w14:textId="3748664E" w:rsidR="002C3DE3" w:rsidRPr="006117AF" w:rsidRDefault="002C3DE3" w:rsidP="002C3DE3">
      <w:pPr>
        <w:spacing w:after="0" w:line="240" w:lineRule="auto"/>
        <w:jc w:val="both"/>
        <w:rPr>
          <w:rFonts w:ascii="Times New Roman" w:hAnsi="Times New Roman" w:cs="Times New Roman"/>
          <w:sz w:val="18"/>
          <w:szCs w:val="18"/>
          <w:lang w:val="en-US"/>
        </w:rPr>
      </w:pPr>
      <w:r w:rsidRPr="006117AF">
        <w:rPr>
          <w:rFonts w:ascii="Times New Roman" w:hAnsi="Times New Roman" w:cs="Times New Roman"/>
          <w:sz w:val="18"/>
          <w:szCs w:val="18"/>
          <w:lang w:val="en-US"/>
        </w:rPr>
        <w:t>AFL: Aflatoxin (PubChem CID: 14421)</w:t>
      </w:r>
    </w:p>
    <w:p w14:paraId="69876C9E" w14:textId="76AFBBFE" w:rsidR="002C3DE3" w:rsidRPr="006117AF" w:rsidRDefault="002C3DE3" w:rsidP="002C3DE3">
      <w:pPr>
        <w:spacing w:after="0" w:line="240" w:lineRule="auto"/>
        <w:jc w:val="both"/>
        <w:rPr>
          <w:rFonts w:ascii="Times New Roman" w:hAnsi="Times New Roman" w:cs="Times New Roman"/>
          <w:sz w:val="18"/>
          <w:szCs w:val="18"/>
          <w:lang w:val="en-US"/>
        </w:rPr>
      </w:pPr>
      <w:r w:rsidRPr="006117AF">
        <w:rPr>
          <w:rFonts w:ascii="Times New Roman" w:hAnsi="Times New Roman" w:cs="Times New Roman"/>
          <w:sz w:val="18"/>
          <w:szCs w:val="18"/>
          <w:lang w:val="en-US"/>
        </w:rPr>
        <w:t xml:space="preserve">DNA: B-DNA </w:t>
      </w:r>
      <w:proofErr w:type="spellStart"/>
      <w:r w:rsidRPr="006117AF">
        <w:rPr>
          <w:rFonts w:ascii="Times New Roman" w:hAnsi="Times New Roman" w:cs="Times New Roman"/>
          <w:sz w:val="18"/>
          <w:szCs w:val="18"/>
          <w:lang w:val="en-US"/>
        </w:rPr>
        <w:t>dodecamer</w:t>
      </w:r>
      <w:proofErr w:type="spellEnd"/>
      <w:r w:rsidRPr="006117AF">
        <w:rPr>
          <w:rFonts w:ascii="Times New Roman" w:hAnsi="Times New Roman" w:cs="Times New Roman"/>
          <w:sz w:val="18"/>
          <w:szCs w:val="18"/>
          <w:lang w:val="en-US"/>
        </w:rPr>
        <w:t xml:space="preserve"> (PDB ID: 7rqt) </w:t>
      </w:r>
    </w:p>
    <w:p w14:paraId="0B5EE6D5" w14:textId="77777777" w:rsidR="002C3DE3" w:rsidRPr="006117AF" w:rsidRDefault="002C3DE3" w:rsidP="002C3DE3">
      <w:pPr>
        <w:spacing w:after="0" w:line="240" w:lineRule="auto"/>
        <w:jc w:val="both"/>
        <w:rPr>
          <w:rFonts w:ascii="Times New Roman" w:hAnsi="Times New Roman" w:cs="Times New Roman"/>
          <w:sz w:val="18"/>
          <w:szCs w:val="18"/>
          <w:lang w:val="en-US"/>
        </w:rPr>
      </w:pPr>
      <w:proofErr w:type="spellStart"/>
      <w:r w:rsidRPr="006117AF">
        <w:rPr>
          <w:rFonts w:ascii="Times New Roman" w:hAnsi="Times New Roman" w:cs="Times New Roman"/>
          <w:sz w:val="18"/>
          <w:szCs w:val="18"/>
          <w:lang w:val="en-US"/>
        </w:rPr>
        <w:t>Δ</w:t>
      </w:r>
      <w:r w:rsidRPr="006117AF">
        <w:rPr>
          <w:rFonts w:ascii="Times New Roman" w:hAnsi="Times New Roman" w:cs="Times New Roman"/>
          <w:i/>
          <w:iCs/>
          <w:sz w:val="18"/>
          <w:szCs w:val="18"/>
          <w:lang w:val="en-US"/>
        </w:rPr>
        <w:t>G</w:t>
      </w:r>
      <w:r w:rsidRPr="006117AF">
        <w:rPr>
          <w:rFonts w:ascii="Times New Roman" w:hAnsi="Times New Roman" w:cs="Times New Roman"/>
          <w:sz w:val="18"/>
          <w:szCs w:val="18"/>
          <w:vertAlign w:val="subscript"/>
          <w:lang w:val="en-US"/>
        </w:rPr>
        <w:t>best</w:t>
      </w:r>
      <w:proofErr w:type="spellEnd"/>
      <w:r w:rsidRPr="006117AF">
        <w:rPr>
          <w:rFonts w:ascii="Times New Roman" w:hAnsi="Times New Roman" w:cs="Times New Roman"/>
          <w:sz w:val="18"/>
          <w:szCs w:val="18"/>
          <w:lang w:val="en-US"/>
        </w:rPr>
        <w:t>: Most favorable binding free energy (</w:t>
      </w:r>
      <w:r w:rsidRPr="006117AF">
        <w:rPr>
          <w:rFonts w:ascii="Times New Roman" w:hAnsi="Times New Roman" w:cs="Times New Roman"/>
          <w:i/>
          <w:sz w:val="18"/>
          <w:szCs w:val="18"/>
          <w:lang w:val="en-US"/>
        </w:rPr>
        <w:t>kcal/</w:t>
      </w:r>
      <w:proofErr w:type="spellStart"/>
      <w:r w:rsidRPr="006117AF">
        <w:rPr>
          <w:rFonts w:ascii="Times New Roman" w:hAnsi="Times New Roman" w:cs="Times New Roman"/>
          <w:i/>
          <w:sz w:val="18"/>
          <w:szCs w:val="18"/>
          <w:lang w:val="en-US"/>
        </w:rPr>
        <w:t>mol</w:t>
      </w:r>
      <w:proofErr w:type="spellEnd"/>
      <w:r w:rsidRPr="006117AF">
        <w:rPr>
          <w:rFonts w:ascii="Times New Roman" w:hAnsi="Times New Roman" w:cs="Times New Roman"/>
          <w:sz w:val="18"/>
          <w:szCs w:val="18"/>
          <w:lang w:val="en-US"/>
        </w:rPr>
        <w:t>).</w:t>
      </w:r>
    </w:p>
    <w:p w14:paraId="297953B5" w14:textId="77777777" w:rsidR="00663189" w:rsidRPr="006117AF" w:rsidRDefault="00663189" w:rsidP="00EA4207">
      <w:pPr>
        <w:spacing w:line="276" w:lineRule="auto"/>
        <w:jc w:val="both"/>
        <w:rPr>
          <w:rFonts w:asciiTheme="majorBidi" w:hAnsiTheme="majorBidi" w:cstheme="majorBidi"/>
          <w:lang w:val="en-US"/>
        </w:rPr>
      </w:pPr>
    </w:p>
    <w:p w14:paraId="739BE1C1" w14:textId="78E00378" w:rsidR="00663189" w:rsidRPr="006117AF" w:rsidRDefault="00441E11" w:rsidP="00CF7F13">
      <w:pPr>
        <w:spacing w:line="360" w:lineRule="auto"/>
        <w:jc w:val="both"/>
        <w:rPr>
          <w:rFonts w:asciiTheme="majorBidi" w:hAnsiTheme="majorBidi" w:cstheme="majorBidi"/>
          <w:sz w:val="24"/>
          <w:szCs w:val="24"/>
          <w:lang w:val="en-US"/>
        </w:rPr>
      </w:pPr>
      <w:r w:rsidRPr="006117AF">
        <w:rPr>
          <w:rFonts w:asciiTheme="majorBidi" w:hAnsiTheme="majorBidi" w:cstheme="majorBidi"/>
          <w:sz w:val="24"/>
          <w:szCs w:val="24"/>
          <w:lang w:val="en-US"/>
        </w:rPr>
        <w:t xml:space="preserve">The aflatoxin (AFL, positive control) bound to B-DNA </w:t>
      </w:r>
      <w:r w:rsidRPr="006117AF">
        <w:rPr>
          <w:rFonts w:asciiTheme="majorBidi" w:hAnsiTheme="majorBidi" w:cstheme="majorBidi"/>
          <w:i/>
          <w:iCs/>
          <w:sz w:val="24"/>
          <w:szCs w:val="24"/>
          <w:lang w:val="en-US"/>
        </w:rPr>
        <w:t>via</w:t>
      </w:r>
      <w:r w:rsidRPr="006117AF">
        <w:rPr>
          <w:rFonts w:asciiTheme="majorBidi" w:hAnsiTheme="majorBidi" w:cstheme="majorBidi"/>
          <w:sz w:val="24"/>
          <w:szCs w:val="24"/>
          <w:lang w:val="en-US"/>
        </w:rPr>
        <w:t xml:space="preserve"> the minor groove (</w:t>
      </w:r>
      <w:r w:rsidRPr="006117AF">
        <w:rPr>
          <w:rFonts w:asciiTheme="majorBidi" w:hAnsiTheme="majorBidi" w:cstheme="majorBidi"/>
          <w:b/>
          <w:bCs/>
          <w:sz w:val="24"/>
          <w:szCs w:val="24"/>
          <w:lang w:val="en-US"/>
        </w:rPr>
        <w:t>Fig. S</w:t>
      </w:r>
      <w:r w:rsidR="00FA1A75" w:rsidRPr="006117AF">
        <w:rPr>
          <w:rFonts w:asciiTheme="majorBidi" w:hAnsiTheme="majorBidi" w:cstheme="majorBidi"/>
          <w:b/>
          <w:bCs/>
          <w:sz w:val="24"/>
          <w:szCs w:val="24"/>
          <w:lang w:val="en-US"/>
        </w:rPr>
        <w:t>5</w:t>
      </w:r>
      <w:r w:rsidRPr="006117AF">
        <w:rPr>
          <w:rFonts w:asciiTheme="majorBidi" w:hAnsiTheme="majorBidi" w:cstheme="majorBidi"/>
          <w:sz w:val="24"/>
          <w:szCs w:val="24"/>
          <w:lang w:val="en-US"/>
        </w:rPr>
        <w:t>), exhibiting a marked preference for G-enriched</w:t>
      </w:r>
      <w:r w:rsidR="00812A86" w:rsidRPr="006117AF">
        <w:rPr>
          <w:rFonts w:asciiTheme="majorBidi" w:hAnsiTheme="majorBidi" w:cstheme="majorBidi"/>
          <w:sz w:val="24"/>
          <w:szCs w:val="24"/>
          <w:lang w:val="en-US"/>
        </w:rPr>
        <w:t xml:space="preserve"> (bases shown in bold)</w:t>
      </w:r>
      <w:r w:rsidRPr="006117AF">
        <w:rPr>
          <w:rFonts w:asciiTheme="majorBidi" w:hAnsiTheme="majorBidi" w:cstheme="majorBidi"/>
          <w:sz w:val="24"/>
          <w:szCs w:val="24"/>
          <w:lang w:val="en-US"/>
        </w:rPr>
        <w:t xml:space="preserve"> regions (</w:t>
      </w:r>
      <w:r w:rsidRPr="006117AF">
        <w:rPr>
          <w:rFonts w:asciiTheme="majorBidi" w:hAnsiTheme="majorBidi" w:cstheme="majorBidi"/>
          <w:b/>
          <w:bCs/>
          <w:sz w:val="24"/>
          <w:szCs w:val="24"/>
          <w:lang w:val="en-US"/>
        </w:rPr>
        <w:t>Table S1</w:t>
      </w:r>
      <w:r w:rsidRPr="006117AF">
        <w:rPr>
          <w:rFonts w:asciiTheme="majorBidi" w:hAnsiTheme="majorBidi" w:cstheme="majorBidi"/>
          <w:sz w:val="24"/>
          <w:szCs w:val="24"/>
          <w:lang w:val="en-US"/>
        </w:rPr>
        <w:t>). AFL displayed a notably strong calculated binding affinity for B-DNA (Δ</w:t>
      </w:r>
      <w:r w:rsidRPr="006117AF">
        <w:rPr>
          <w:rFonts w:asciiTheme="majorBidi" w:hAnsiTheme="majorBidi" w:cstheme="majorBidi"/>
          <w:i/>
          <w:iCs/>
          <w:sz w:val="24"/>
          <w:szCs w:val="24"/>
          <w:lang w:val="en-US"/>
        </w:rPr>
        <w:t>G</w:t>
      </w:r>
      <w:r w:rsidRPr="006117AF">
        <w:rPr>
          <w:rFonts w:asciiTheme="majorBidi" w:hAnsiTheme="majorBidi" w:cstheme="majorBidi"/>
          <w:sz w:val="24"/>
          <w:szCs w:val="24"/>
          <w:lang w:val="en-US"/>
        </w:rPr>
        <w:t xml:space="preserve"> = -7.79 kcal/</w:t>
      </w:r>
      <w:proofErr w:type="spellStart"/>
      <w:r w:rsidRPr="006117AF">
        <w:rPr>
          <w:rFonts w:asciiTheme="majorBidi" w:hAnsiTheme="majorBidi" w:cstheme="majorBidi"/>
          <w:sz w:val="24"/>
          <w:szCs w:val="24"/>
          <w:lang w:val="en-US"/>
        </w:rPr>
        <w:t>mol</w:t>
      </w:r>
      <w:proofErr w:type="spellEnd"/>
      <w:r w:rsidRPr="006117AF">
        <w:rPr>
          <w:rFonts w:asciiTheme="majorBidi" w:hAnsiTheme="majorBidi" w:cstheme="majorBidi"/>
          <w:sz w:val="24"/>
          <w:szCs w:val="24"/>
          <w:lang w:val="en-US"/>
        </w:rPr>
        <w:t xml:space="preserve">), thereby confirming that the scoring function of </w:t>
      </w:r>
      <w:proofErr w:type="spellStart"/>
      <w:r w:rsidRPr="006117AF">
        <w:rPr>
          <w:rFonts w:asciiTheme="majorBidi" w:hAnsiTheme="majorBidi" w:cstheme="majorBidi"/>
          <w:sz w:val="24"/>
          <w:szCs w:val="24"/>
          <w:lang w:val="en-US"/>
        </w:rPr>
        <w:t>AutoDock</w:t>
      </w:r>
      <w:proofErr w:type="spellEnd"/>
      <w:r w:rsidRPr="006117AF">
        <w:rPr>
          <w:rFonts w:asciiTheme="majorBidi" w:hAnsiTheme="majorBidi" w:cstheme="majorBidi"/>
          <w:sz w:val="24"/>
          <w:szCs w:val="24"/>
          <w:lang w:val="en-US"/>
        </w:rPr>
        <w:t xml:space="preserve"> 4.2.6, employed in our docking studies, </w:t>
      </w:r>
      <w:r w:rsidR="00572DA8" w:rsidRPr="006117AF">
        <w:rPr>
          <w:rFonts w:asciiTheme="majorBidi" w:hAnsiTheme="majorBidi" w:cstheme="majorBidi"/>
          <w:sz w:val="24"/>
          <w:szCs w:val="24"/>
          <w:lang w:val="en-US"/>
        </w:rPr>
        <w:t xml:space="preserve">could </w:t>
      </w:r>
      <w:r w:rsidRPr="006117AF">
        <w:rPr>
          <w:rFonts w:asciiTheme="majorBidi" w:hAnsiTheme="majorBidi" w:cstheme="majorBidi"/>
          <w:sz w:val="24"/>
          <w:szCs w:val="24"/>
          <w:lang w:val="en-US"/>
        </w:rPr>
        <w:t xml:space="preserve">accurately capture the DNA binding mode </w:t>
      </w:r>
      <w:r w:rsidR="00572DA8" w:rsidRPr="006117AF">
        <w:rPr>
          <w:rFonts w:asciiTheme="majorBidi" w:hAnsiTheme="majorBidi" w:cstheme="majorBidi"/>
          <w:sz w:val="24"/>
          <w:szCs w:val="24"/>
          <w:lang w:val="en-US"/>
        </w:rPr>
        <w:t>[S2]</w:t>
      </w:r>
      <w:r w:rsidRPr="006117AF">
        <w:rPr>
          <w:rFonts w:asciiTheme="majorBidi" w:hAnsiTheme="majorBidi" w:cstheme="majorBidi"/>
          <w:sz w:val="24"/>
          <w:szCs w:val="24"/>
          <w:lang w:val="en-US"/>
        </w:rPr>
        <w:t xml:space="preserve"> and </w:t>
      </w:r>
      <w:r w:rsidR="00572DA8" w:rsidRPr="006117AF">
        <w:rPr>
          <w:rFonts w:asciiTheme="majorBidi" w:hAnsiTheme="majorBidi" w:cstheme="majorBidi"/>
          <w:sz w:val="24"/>
          <w:szCs w:val="24"/>
          <w:lang w:val="en-US"/>
        </w:rPr>
        <w:t xml:space="preserve">relative </w:t>
      </w:r>
      <w:r w:rsidRPr="006117AF">
        <w:rPr>
          <w:rFonts w:asciiTheme="majorBidi" w:hAnsiTheme="majorBidi" w:cstheme="majorBidi"/>
          <w:sz w:val="24"/>
          <w:szCs w:val="24"/>
          <w:lang w:val="en-US"/>
        </w:rPr>
        <w:t xml:space="preserve">affinity </w:t>
      </w:r>
      <w:r w:rsidR="00572DA8" w:rsidRPr="006117AF">
        <w:rPr>
          <w:rFonts w:asciiTheme="majorBidi" w:hAnsiTheme="majorBidi" w:cstheme="majorBidi"/>
          <w:sz w:val="24"/>
          <w:szCs w:val="24"/>
          <w:lang w:val="en-US"/>
        </w:rPr>
        <w:t>[S3]</w:t>
      </w:r>
      <w:r w:rsidRPr="006117AF">
        <w:rPr>
          <w:rFonts w:asciiTheme="majorBidi" w:hAnsiTheme="majorBidi" w:cstheme="majorBidi"/>
          <w:sz w:val="24"/>
          <w:szCs w:val="24"/>
          <w:lang w:val="en-US"/>
        </w:rPr>
        <w:t xml:space="preserve"> of this well-known genotoxic agent.</w:t>
      </w:r>
    </w:p>
    <w:p w14:paraId="4B22F7D0" w14:textId="77777777" w:rsidR="004E557B" w:rsidRPr="006117AF" w:rsidRDefault="004E557B" w:rsidP="00EA4207">
      <w:pPr>
        <w:spacing w:line="276" w:lineRule="auto"/>
        <w:jc w:val="both"/>
        <w:rPr>
          <w:rFonts w:asciiTheme="majorBidi" w:hAnsiTheme="majorBidi" w:cstheme="majorBidi"/>
          <w:lang w:val="en-US"/>
        </w:rPr>
      </w:pPr>
    </w:p>
    <w:p w14:paraId="18681AF5" w14:textId="77777777" w:rsidR="004E557B" w:rsidRPr="006117AF" w:rsidRDefault="004E557B" w:rsidP="00EA4207">
      <w:pPr>
        <w:spacing w:line="276" w:lineRule="auto"/>
        <w:jc w:val="both"/>
        <w:rPr>
          <w:rFonts w:asciiTheme="majorBidi" w:hAnsiTheme="majorBidi" w:cstheme="majorBidi"/>
          <w:lang w:val="en-US"/>
        </w:rPr>
      </w:pPr>
    </w:p>
    <w:p w14:paraId="3F74CD0F" w14:textId="77777777" w:rsidR="004E557B" w:rsidRPr="006117AF" w:rsidRDefault="004E557B" w:rsidP="00EA4207">
      <w:pPr>
        <w:spacing w:line="276" w:lineRule="auto"/>
        <w:jc w:val="both"/>
        <w:rPr>
          <w:rFonts w:asciiTheme="majorBidi" w:hAnsiTheme="majorBidi" w:cstheme="majorBidi"/>
          <w:lang w:val="en-US"/>
        </w:rPr>
      </w:pPr>
    </w:p>
    <w:p w14:paraId="271F27CE" w14:textId="77777777" w:rsidR="000919D1" w:rsidRPr="006117AF" w:rsidRDefault="000919D1" w:rsidP="009E610F">
      <w:pPr>
        <w:tabs>
          <w:tab w:val="left" w:pos="567"/>
        </w:tabs>
        <w:spacing w:line="360" w:lineRule="auto"/>
        <w:jc w:val="both"/>
        <w:rPr>
          <w:rFonts w:ascii="Times New Roman" w:hAnsi="Times New Roman" w:cs="Times New Roman"/>
          <w:b/>
          <w:noProof/>
          <w:lang w:val="en-US"/>
        </w:rPr>
      </w:pPr>
    </w:p>
    <w:p w14:paraId="42DF0BF7" w14:textId="77777777" w:rsidR="000919D1" w:rsidRPr="006117AF" w:rsidRDefault="000919D1" w:rsidP="009E610F">
      <w:pPr>
        <w:tabs>
          <w:tab w:val="left" w:pos="567"/>
        </w:tabs>
        <w:spacing w:line="360" w:lineRule="auto"/>
        <w:jc w:val="both"/>
        <w:rPr>
          <w:rFonts w:ascii="Times New Roman" w:hAnsi="Times New Roman" w:cs="Times New Roman"/>
          <w:b/>
          <w:noProof/>
          <w:lang w:val="en-US"/>
        </w:rPr>
      </w:pPr>
    </w:p>
    <w:p w14:paraId="4588D07C" w14:textId="77777777" w:rsidR="000919D1" w:rsidRPr="006117AF" w:rsidRDefault="000919D1" w:rsidP="009E610F">
      <w:pPr>
        <w:tabs>
          <w:tab w:val="left" w:pos="567"/>
        </w:tabs>
        <w:spacing w:line="360" w:lineRule="auto"/>
        <w:jc w:val="both"/>
        <w:rPr>
          <w:rFonts w:ascii="Times New Roman" w:hAnsi="Times New Roman" w:cs="Times New Roman"/>
          <w:b/>
          <w:noProof/>
          <w:lang w:val="en-US"/>
        </w:rPr>
      </w:pPr>
    </w:p>
    <w:p w14:paraId="6767812F" w14:textId="01DAE4D1" w:rsidR="001A2737" w:rsidRPr="006117AF" w:rsidRDefault="009E610F" w:rsidP="009E610F">
      <w:pPr>
        <w:tabs>
          <w:tab w:val="left" w:pos="567"/>
        </w:tabs>
        <w:spacing w:line="360" w:lineRule="auto"/>
        <w:jc w:val="both"/>
        <w:rPr>
          <w:rFonts w:ascii="Times New Roman" w:hAnsi="Times New Roman" w:cs="Times New Roman"/>
          <w:b/>
          <w:noProof/>
          <w:lang w:val="en-US"/>
        </w:rPr>
      </w:pPr>
      <w:r w:rsidRPr="006117AF">
        <w:rPr>
          <w:rFonts w:ascii="Times New Roman" w:hAnsi="Times New Roman" w:cs="Times New Roman"/>
          <w:b/>
          <w:noProof/>
          <w:lang w:val="en-US"/>
        </w:rPr>
        <w:t>References</w:t>
      </w:r>
    </w:p>
    <w:p w14:paraId="08D3E728" w14:textId="77777777" w:rsidR="001A2737" w:rsidRPr="006117AF" w:rsidRDefault="001A2737" w:rsidP="001A2737">
      <w:pPr>
        <w:tabs>
          <w:tab w:val="left" w:pos="567"/>
        </w:tabs>
        <w:spacing w:line="360" w:lineRule="auto"/>
        <w:ind w:left="567" w:hanging="567"/>
        <w:jc w:val="both"/>
        <w:rPr>
          <w:rFonts w:ascii="Times New Roman" w:hAnsi="Times New Roman" w:cs="Times New Roman"/>
          <w:noProof/>
          <w:lang w:val="en-US"/>
        </w:rPr>
      </w:pPr>
      <w:r w:rsidRPr="006117AF">
        <w:rPr>
          <w:rFonts w:ascii="Times New Roman" w:hAnsi="Times New Roman" w:cs="Times New Roman"/>
          <w:b/>
          <w:noProof/>
          <w:lang w:val="en-US"/>
        </w:rPr>
        <w:t>S1.</w:t>
      </w:r>
      <w:r w:rsidRPr="006117AF">
        <w:rPr>
          <w:rFonts w:ascii="Times New Roman" w:hAnsi="Times New Roman" w:cs="Times New Roman"/>
          <w:noProof/>
          <w:lang w:val="en-US"/>
        </w:rPr>
        <w:tab/>
        <w:t>A.B. Şimşir, K. Atacan, N. Güy, Green synthesis of Ag</w:t>
      </w:r>
      <w:r w:rsidRPr="006117AF">
        <w:rPr>
          <w:rFonts w:ascii="Times New Roman" w:hAnsi="Times New Roman" w:cs="Times New Roman"/>
          <w:noProof/>
          <w:vertAlign w:val="subscript"/>
          <w:lang w:val="en-US"/>
        </w:rPr>
        <w:t>2</w:t>
      </w:r>
      <w:r w:rsidRPr="006117AF">
        <w:rPr>
          <w:rFonts w:ascii="Times New Roman" w:hAnsi="Times New Roman" w:cs="Times New Roman"/>
          <w:noProof/>
          <w:lang w:val="en-US"/>
        </w:rPr>
        <w:t>S nanoparticle from sweet cherry on ultrasound-assisted prepared NiMoO</w:t>
      </w:r>
      <w:r w:rsidRPr="006117AF">
        <w:rPr>
          <w:rFonts w:ascii="Times New Roman" w:hAnsi="Times New Roman" w:cs="Times New Roman"/>
          <w:noProof/>
          <w:vertAlign w:val="subscript"/>
          <w:lang w:val="en-US"/>
        </w:rPr>
        <w:t>4</w:t>
      </w:r>
      <w:r w:rsidRPr="006117AF">
        <w:rPr>
          <w:rFonts w:ascii="Times New Roman" w:hAnsi="Times New Roman" w:cs="Times New Roman"/>
          <w:noProof/>
          <w:lang w:val="en-US"/>
        </w:rPr>
        <w:t>/g-C</w:t>
      </w:r>
      <w:r w:rsidRPr="006117AF">
        <w:rPr>
          <w:rFonts w:ascii="Times New Roman" w:hAnsi="Times New Roman" w:cs="Times New Roman"/>
          <w:noProof/>
          <w:vertAlign w:val="subscript"/>
          <w:lang w:val="en-US"/>
        </w:rPr>
        <w:t>3</w:t>
      </w:r>
      <w:r w:rsidRPr="006117AF">
        <w:rPr>
          <w:rFonts w:ascii="Times New Roman" w:hAnsi="Times New Roman" w:cs="Times New Roman"/>
          <w:noProof/>
          <w:lang w:val="en-US"/>
        </w:rPr>
        <w:t>N</w:t>
      </w:r>
      <w:r w:rsidRPr="006117AF">
        <w:rPr>
          <w:rFonts w:ascii="Times New Roman" w:hAnsi="Times New Roman" w:cs="Times New Roman"/>
          <w:noProof/>
          <w:vertAlign w:val="subscript"/>
          <w:lang w:val="en-US"/>
        </w:rPr>
        <w:t>4</w:t>
      </w:r>
      <w:r w:rsidRPr="006117AF">
        <w:rPr>
          <w:rFonts w:ascii="Times New Roman" w:hAnsi="Times New Roman" w:cs="Times New Roman"/>
          <w:noProof/>
          <w:lang w:val="en-US"/>
        </w:rPr>
        <w:t xml:space="preserve"> nanocomposite for photocatalytic H</w:t>
      </w:r>
      <w:r w:rsidRPr="006117AF">
        <w:rPr>
          <w:rFonts w:ascii="Times New Roman" w:hAnsi="Times New Roman" w:cs="Times New Roman"/>
          <w:noProof/>
          <w:vertAlign w:val="subscript"/>
          <w:lang w:val="en-US"/>
        </w:rPr>
        <w:t>2</w:t>
      </w:r>
      <w:r w:rsidRPr="006117AF">
        <w:rPr>
          <w:rFonts w:ascii="Times New Roman" w:hAnsi="Times New Roman" w:cs="Times New Roman"/>
          <w:noProof/>
          <w:lang w:val="en-US"/>
        </w:rPr>
        <w:t xml:space="preserve"> production, Journal of Alloys and Compounds, 976 (2024) 172996.</w:t>
      </w:r>
    </w:p>
    <w:p w14:paraId="0ABC5E96" w14:textId="2B85E022" w:rsidR="00572DA8" w:rsidRPr="006117AF" w:rsidRDefault="00572DA8" w:rsidP="006A48C3">
      <w:pPr>
        <w:spacing w:line="360" w:lineRule="auto"/>
        <w:ind w:left="567" w:hanging="553"/>
        <w:jc w:val="both"/>
        <w:rPr>
          <w:rFonts w:ascii="Times New Roman" w:hAnsi="Times New Roman" w:cs="Times New Roman"/>
          <w:noProof/>
          <w:lang w:val="en-US"/>
        </w:rPr>
      </w:pPr>
      <w:r w:rsidRPr="006117AF">
        <w:rPr>
          <w:rFonts w:ascii="Times New Roman" w:hAnsi="Times New Roman" w:cs="Times New Roman"/>
          <w:b/>
          <w:noProof/>
          <w:lang w:val="en-US"/>
        </w:rPr>
        <w:t>S2.</w:t>
      </w:r>
      <w:r w:rsidRPr="006117AF">
        <w:rPr>
          <w:rFonts w:ascii="Times New Roman" w:hAnsi="Times New Roman" w:cs="Times New Roman"/>
          <w:noProof/>
          <w:lang w:val="en-US"/>
        </w:rPr>
        <w:t xml:space="preserve">     L. Ma, J. Wang, Y. Zhang, Probing the characterization of the interaction of aflatoxins B1 and  G1 with calf thymus DNA in vitro, Toxins, 9 (2017) 209.</w:t>
      </w:r>
    </w:p>
    <w:p w14:paraId="71614B12" w14:textId="55367AF3" w:rsidR="00572DA8" w:rsidRPr="006117AF" w:rsidRDefault="00572DA8" w:rsidP="00CF7F13">
      <w:pPr>
        <w:spacing w:line="360" w:lineRule="auto"/>
        <w:ind w:left="567" w:hanging="553"/>
        <w:jc w:val="both"/>
        <w:rPr>
          <w:rFonts w:ascii="Times New Roman" w:hAnsi="Times New Roman" w:cs="Times New Roman"/>
          <w:noProof/>
          <w:lang w:val="en-US"/>
        </w:rPr>
      </w:pPr>
      <w:r w:rsidRPr="006117AF">
        <w:rPr>
          <w:rFonts w:ascii="Times New Roman" w:hAnsi="Times New Roman" w:cs="Times New Roman"/>
          <w:b/>
          <w:noProof/>
          <w:lang w:val="en-US"/>
        </w:rPr>
        <w:t xml:space="preserve">S3. </w:t>
      </w:r>
      <w:r w:rsidR="00CF7F13" w:rsidRPr="006117AF">
        <w:rPr>
          <w:rFonts w:ascii="Times New Roman" w:hAnsi="Times New Roman" w:cs="Times New Roman"/>
          <w:b/>
          <w:noProof/>
          <w:lang w:val="en-US"/>
        </w:rPr>
        <w:tab/>
      </w:r>
      <w:r w:rsidR="006A48C3" w:rsidRPr="006117AF">
        <w:rPr>
          <w:rFonts w:ascii="Times New Roman" w:hAnsi="Times New Roman" w:cs="Times New Roman"/>
          <w:bCs/>
          <w:noProof/>
          <w:lang w:val="en-US"/>
        </w:rPr>
        <w:t>C.G. Ricci, P.A. Netz, Docking studies on DNA-ligand interactions: building and application of a protocol to identify the binding mode, Journal of Chemical Information and Modeling, 49 (2009) 1925–1935.</w:t>
      </w:r>
      <w:bookmarkStart w:id="0" w:name="_GoBack"/>
      <w:bookmarkEnd w:id="0"/>
    </w:p>
    <w:p w14:paraId="44579F68" w14:textId="77777777" w:rsidR="001A2737" w:rsidRPr="006117AF" w:rsidRDefault="001A2737" w:rsidP="00A24C2C">
      <w:pPr>
        <w:rPr>
          <w:lang w:val="en-US"/>
        </w:rPr>
      </w:pPr>
    </w:p>
    <w:sectPr w:rsidR="001A2737" w:rsidRPr="006117AF" w:rsidSect="006117AF">
      <w:footnotePr>
        <w:numFmt w:val="chicago"/>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5CC601" w14:textId="77777777" w:rsidR="00AB0BC5" w:rsidRDefault="00AB0BC5" w:rsidP="001A2737">
      <w:pPr>
        <w:spacing w:after="0" w:line="240" w:lineRule="auto"/>
      </w:pPr>
      <w:r>
        <w:separator/>
      </w:r>
    </w:p>
  </w:endnote>
  <w:endnote w:type="continuationSeparator" w:id="0">
    <w:p w14:paraId="467D01F4" w14:textId="77777777" w:rsidR="00AB0BC5" w:rsidRDefault="00AB0BC5" w:rsidP="001A2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5954210"/>
      <w:docPartObj>
        <w:docPartGallery w:val="Page Numbers (Bottom of Page)"/>
        <w:docPartUnique/>
      </w:docPartObj>
    </w:sdtPr>
    <w:sdtEndPr>
      <w:rPr>
        <w:rFonts w:ascii="Times New Roman" w:hAnsi="Times New Roman" w:cs="Times New Roman"/>
        <w:sz w:val="24"/>
        <w:szCs w:val="24"/>
      </w:rPr>
    </w:sdtEndPr>
    <w:sdtContent>
      <w:p w14:paraId="36A32B35" w14:textId="28C3C482" w:rsidR="001A2737" w:rsidRPr="001A2737" w:rsidRDefault="001A2737">
        <w:pPr>
          <w:pStyle w:val="Footer"/>
          <w:jc w:val="right"/>
          <w:rPr>
            <w:rFonts w:ascii="Times New Roman" w:hAnsi="Times New Roman" w:cs="Times New Roman"/>
            <w:sz w:val="24"/>
            <w:szCs w:val="24"/>
          </w:rPr>
        </w:pPr>
        <w:r w:rsidRPr="001A2737">
          <w:rPr>
            <w:rFonts w:ascii="Times New Roman" w:hAnsi="Times New Roman" w:cs="Times New Roman"/>
            <w:sz w:val="24"/>
            <w:szCs w:val="24"/>
          </w:rPr>
          <w:fldChar w:fldCharType="begin"/>
        </w:r>
        <w:r w:rsidRPr="001A2737">
          <w:rPr>
            <w:rFonts w:ascii="Times New Roman" w:hAnsi="Times New Roman" w:cs="Times New Roman"/>
            <w:sz w:val="24"/>
            <w:szCs w:val="24"/>
          </w:rPr>
          <w:instrText>PAGE   \* MERGEFORMAT</w:instrText>
        </w:r>
        <w:r w:rsidRPr="001A2737">
          <w:rPr>
            <w:rFonts w:ascii="Times New Roman" w:hAnsi="Times New Roman" w:cs="Times New Roman"/>
            <w:sz w:val="24"/>
            <w:szCs w:val="24"/>
          </w:rPr>
          <w:fldChar w:fldCharType="separate"/>
        </w:r>
        <w:r w:rsidR="006117AF">
          <w:rPr>
            <w:rFonts w:ascii="Times New Roman" w:hAnsi="Times New Roman" w:cs="Times New Roman"/>
            <w:noProof/>
            <w:sz w:val="24"/>
            <w:szCs w:val="24"/>
          </w:rPr>
          <w:t>8</w:t>
        </w:r>
        <w:r w:rsidRPr="001A2737">
          <w:rPr>
            <w:rFonts w:ascii="Times New Roman" w:hAnsi="Times New Roman" w:cs="Times New Roman"/>
            <w:sz w:val="24"/>
            <w:szCs w:val="24"/>
          </w:rPr>
          <w:fldChar w:fldCharType="end"/>
        </w:r>
      </w:p>
    </w:sdtContent>
  </w:sdt>
  <w:p w14:paraId="2CBD7209" w14:textId="77777777" w:rsidR="001A2737" w:rsidRDefault="001A27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69F165" w14:textId="77777777" w:rsidR="00AB0BC5" w:rsidRDefault="00AB0BC5" w:rsidP="001A2737">
      <w:pPr>
        <w:spacing w:after="0" w:line="240" w:lineRule="auto"/>
      </w:pPr>
      <w:r>
        <w:separator/>
      </w:r>
    </w:p>
  </w:footnote>
  <w:footnote w:type="continuationSeparator" w:id="0">
    <w:p w14:paraId="5B675139" w14:textId="77777777" w:rsidR="00AB0BC5" w:rsidRDefault="00AB0BC5" w:rsidP="001A2737">
      <w:pPr>
        <w:spacing w:after="0" w:line="240" w:lineRule="auto"/>
      </w:pPr>
      <w:r>
        <w:continuationSeparator/>
      </w:r>
    </w:p>
  </w:footnote>
  <w:footnote w:id="1">
    <w:p w14:paraId="202443A4" w14:textId="77777777" w:rsidR="001A2737" w:rsidRPr="008614FD" w:rsidRDefault="001A2737" w:rsidP="001A2737">
      <w:pPr>
        <w:spacing w:after="0" w:line="276" w:lineRule="auto"/>
        <w:jc w:val="both"/>
        <w:rPr>
          <w:rFonts w:ascii="Times New Roman" w:eastAsia="Calibri" w:hAnsi="Times New Roman" w:cs="Times New Roman"/>
          <w:bCs/>
          <w:i/>
          <w:kern w:val="2"/>
          <w:sz w:val="20"/>
          <w:szCs w:val="20"/>
          <w:lang w:val="en-US"/>
        </w:rPr>
      </w:pPr>
      <w:r>
        <w:rPr>
          <w:rStyle w:val="FootnoteReference"/>
        </w:rPr>
        <w:footnoteRef/>
      </w:r>
      <w:r>
        <w:t xml:space="preserve"> </w:t>
      </w:r>
      <w:r w:rsidRPr="008614FD">
        <w:rPr>
          <w:rFonts w:ascii="Times New Roman" w:hAnsi="Times New Roman" w:cs="Times New Roman"/>
          <w:color w:val="000000" w:themeColor="text1"/>
          <w:sz w:val="20"/>
          <w:szCs w:val="20"/>
          <w:lang w:val="en-US"/>
        </w:rPr>
        <w:t xml:space="preserve">Corresponding author at: </w:t>
      </w:r>
      <w:proofErr w:type="spellStart"/>
      <w:r w:rsidRPr="008614FD">
        <w:rPr>
          <w:rFonts w:ascii="Times New Roman" w:eastAsia="Times New Roman" w:hAnsi="Times New Roman" w:cs="Times New Roman"/>
          <w:i/>
          <w:kern w:val="2"/>
          <w:sz w:val="20"/>
          <w:szCs w:val="20"/>
          <w:lang w:val="en-US" w:eastAsia="tr-TR"/>
        </w:rPr>
        <w:t>Selçuk</w:t>
      </w:r>
      <w:proofErr w:type="spellEnd"/>
      <w:r w:rsidRPr="008614FD">
        <w:rPr>
          <w:rFonts w:ascii="Times New Roman" w:eastAsia="Times New Roman" w:hAnsi="Times New Roman" w:cs="Times New Roman"/>
          <w:i/>
          <w:kern w:val="2"/>
          <w:sz w:val="20"/>
          <w:szCs w:val="20"/>
          <w:lang w:val="en-US" w:eastAsia="tr-TR"/>
        </w:rPr>
        <w:t xml:space="preserve"> University, Science Faculty, Department of Chemistry, 42250, Konya, </w:t>
      </w:r>
      <w:proofErr w:type="spellStart"/>
      <w:r w:rsidRPr="008614FD">
        <w:rPr>
          <w:rFonts w:ascii="Times New Roman" w:eastAsia="Times New Roman" w:hAnsi="Times New Roman" w:cs="Times New Roman"/>
          <w:i/>
          <w:kern w:val="2"/>
          <w:sz w:val="20"/>
          <w:szCs w:val="20"/>
          <w:lang w:val="en-US" w:eastAsia="tr-TR"/>
        </w:rPr>
        <w:t>Türkiye</w:t>
      </w:r>
      <w:proofErr w:type="spellEnd"/>
    </w:p>
    <w:p w14:paraId="2A43A147" w14:textId="77777777" w:rsidR="001A2737" w:rsidRPr="008614FD" w:rsidRDefault="001A2737" w:rsidP="001A2737">
      <w:pPr>
        <w:autoSpaceDE w:val="0"/>
        <w:autoSpaceDN w:val="0"/>
        <w:adjustRightInd w:val="0"/>
        <w:spacing w:line="276" w:lineRule="auto"/>
        <w:jc w:val="both"/>
        <w:rPr>
          <w:rFonts w:ascii="Times New Roman" w:eastAsia="Batang" w:hAnsi="Times New Roman" w:cs="Times New Roman"/>
          <w:iCs/>
          <w:color w:val="000000" w:themeColor="text1"/>
          <w:sz w:val="20"/>
          <w:szCs w:val="20"/>
          <w:lang w:val="en-US" w:eastAsia="ko-KR"/>
        </w:rPr>
      </w:pPr>
      <w:r w:rsidRPr="008614FD">
        <w:rPr>
          <w:rFonts w:ascii="Times New Roman" w:hAnsi="Times New Roman" w:cs="Times New Roman"/>
          <w:i/>
          <w:color w:val="000000" w:themeColor="text1"/>
          <w:lang w:val="en-US"/>
        </w:rPr>
        <w:t xml:space="preserve"> </w:t>
      </w:r>
      <w:r w:rsidRPr="008614FD">
        <w:rPr>
          <w:rFonts w:ascii="Times New Roman" w:hAnsi="Times New Roman" w:cs="Times New Roman"/>
          <w:i/>
          <w:sz w:val="20"/>
          <w:szCs w:val="20"/>
        </w:rPr>
        <w:t>E-mail address:</w:t>
      </w:r>
      <w:r>
        <w:rPr>
          <w:rFonts w:ascii="Times New Roman" w:hAnsi="Times New Roman" w:cs="Times New Roman"/>
          <w:i/>
          <w:color w:val="000000" w:themeColor="text1"/>
          <w:sz w:val="20"/>
          <w:szCs w:val="20"/>
          <w:lang w:val="en-US"/>
        </w:rPr>
        <w:t xml:space="preserve"> </w:t>
      </w:r>
      <w:hyperlink r:id="rId1" w:history="1">
        <w:r w:rsidRPr="008614FD">
          <w:rPr>
            <w:rStyle w:val="Hyperlink"/>
            <w:rFonts w:ascii="Times New Roman" w:hAnsi="Times New Roman" w:cs="Times New Roman"/>
            <w:sz w:val="20"/>
            <w:szCs w:val="20"/>
            <w:shd w:val="clear" w:color="auto" w:fill="FFFFFF"/>
            <w:lang w:val="en-US"/>
          </w:rPr>
          <w:t>musozmen@gmail.com</w:t>
        </w:r>
      </w:hyperlink>
      <w:r w:rsidRPr="008614FD">
        <w:rPr>
          <w:rFonts w:ascii="Times New Roman" w:hAnsi="Times New Roman" w:cs="Times New Roman"/>
          <w:color w:val="000000" w:themeColor="text1"/>
          <w:sz w:val="20"/>
          <w:szCs w:val="20"/>
          <w:lang w:val="en-US"/>
        </w:rPr>
        <w:t xml:space="preserve">(M. </w:t>
      </w:r>
      <w:proofErr w:type="spellStart"/>
      <w:r w:rsidRPr="008614FD">
        <w:rPr>
          <w:rFonts w:ascii="Times New Roman" w:hAnsi="Times New Roman" w:cs="Times New Roman"/>
          <w:color w:val="000000" w:themeColor="text1"/>
          <w:sz w:val="20"/>
          <w:szCs w:val="20"/>
          <w:lang w:val="en-US"/>
        </w:rPr>
        <w:t>Ozmen</w:t>
      </w:r>
      <w:proofErr w:type="spellEnd"/>
      <w:r w:rsidRPr="008614FD">
        <w:rPr>
          <w:rFonts w:ascii="Times New Roman" w:hAnsi="Times New Roman" w:cs="Times New Roman"/>
          <w:color w:val="000000" w:themeColor="text1"/>
          <w:sz w:val="20"/>
          <w:szCs w:val="20"/>
          <w:lang w:val="en-US"/>
        </w:rPr>
        <w:t>)</w:t>
      </w:r>
    </w:p>
    <w:p w14:paraId="7F8EEB31" w14:textId="77777777" w:rsidR="001A2737" w:rsidRDefault="001A2737">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EFE"/>
    <w:rsid w:val="000311CA"/>
    <w:rsid w:val="000612F8"/>
    <w:rsid w:val="00071382"/>
    <w:rsid w:val="00077EFE"/>
    <w:rsid w:val="000919D1"/>
    <w:rsid w:val="001303BA"/>
    <w:rsid w:val="001A2737"/>
    <w:rsid w:val="00241067"/>
    <w:rsid w:val="00255C66"/>
    <w:rsid w:val="002972A0"/>
    <w:rsid w:val="002B5C69"/>
    <w:rsid w:val="002C3DE3"/>
    <w:rsid w:val="002D7A7F"/>
    <w:rsid w:val="0036231A"/>
    <w:rsid w:val="003B25EE"/>
    <w:rsid w:val="00402D98"/>
    <w:rsid w:val="00404621"/>
    <w:rsid w:val="00441E11"/>
    <w:rsid w:val="004C00F1"/>
    <w:rsid w:val="004D7FDC"/>
    <w:rsid w:val="004E557B"/>
    <w:rsid w:val="004F75B9"/>
    <w:rsid w:val="005349E1"/>
    <w:rsid w:val="005569B2"/>
    <w:rsid w:val="00572DA8"/>
    <w:rsid w:val="005B3064"/>
    <w:rsid w:val="006117AF"/>
    <w:rsid w:val="00663189"/>
    <w:rsid w:val="006A48C3"/>
    <w:rsid w:val="00713BC1"/>
    <w:rsid w:val="007F7EF7"/>
    <w:rsid w:val="00812A86"/>
    <w:rsid w:val="00837B8D"/>
    <w:rsid w:val="00870E19"/>
    <w:rsid w:val="008E11C5"/>
    <w:rsid w:val="0092656F"/>
    <w:rsid w:val="009E610F"/>
    <w:rsid w:val="00A24C2C"/>
    <w:rsid w:val="00AA4F12"/>
    <w:rsid w:val="00AB0BC5"/>
    <w:rsid w:val="00BD3B77"/>
    <w:rsid w:val="00C45214"/>
    <w:rsid w:val="00C47393"/>
    <w:rsid w:val="00C8562F"/>
    <w:rsid w:val="00CF0B76"/>
    <w:rsid w:val="00CF7F13"/>
    <w:rsid w:val="00D1226A"/>
    <w:rsid w:val="00D72264"/>
    <w:rsid w:val="00E70178"/>
    <w:rsid w:val="00E72CAE"/>
    <w:rsid w:val="00EA4207"/>
    <w:rsid w:val="00F41E2C"/>
    <w:rsid w:val="00F620D7"/>
    <w:rsid w:val="00FA1A75"/>
    <w:rsid w:val="00FA6A04"/>
    <w:rsid w:val="00FC2CEF"/>
    <w:rsid w:val="00FF08E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426FF"/>
  <w15:chartTrackingRefBased/>
  <w15:docId w15:val="{16C877A5-0B95-4CE3-90EC-D77DEDF13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7E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A27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2737"/>
    <w:rPr>
      <w:sz w:val="20"/>
      <w:szCs w:val="20"/>
    </w:rPr>
  </w:style>
  <w:style w:type="character" w:styleId="FootnoteReference">
    <w:name w:val="footnote reference"/>
    <w:basedOn w:val="DefaultParagraphFont"/>
    <w:uiPriority w:val="99"/>
    <w:semiHidden/>
    <w:unhideWhenUsed/>
    <w:rsid w:val="001A2737"/>
    <w:rPr>
      <w:vertAlign w:val="superscript"/>
    </w:rPr>
  </w:style>
  <w:style w:type="character" w:styleId="Hyperlink">
    <w:name w:val="Hyperlink"/>
    <w:basedOn w:val="DefaultParagraphFont"/>
    <w:uiPriority w:val="99"/>
    <w:unhideWhenUsed/>
    <w:rsid w:val="001A2737"/>
    <w:rPr>
      <w:color w:val="0563C1" w:themeColor="hyperlink"/>
      <w:u w:val="single"/>
    </w:rPr>
  </w:style>
  <w:style w:type="paragraph" w:styleId="Header">
    <w:name w:val="header"/>
    <w:basedOn w:val="Normal"/>
    <w:link w:val="HeaderChar"/>
    <w:uiPriority w:val="99"/>
    <w:unhideWhenUsed/>
    <w:rsid w:val="001A2737"/>
    <w:pPr>
      <w:tabs>
        <w:tab w:val="center" w:pos="4536"/>
        <w:tab w:val="right" w:pos="9072"/>
      </w:tabs>
      <w:spacing w:after="0" w:line="240" w:lineRule="auto"/>
    </w:pPr>
  </w:style>
  <w:style w:type="character" w:customStyle="1" w:styleId="HeaderChar">
    <w:name w:val="Header Char"/>
    <w:basedOn w:val="DefaultParagraphFont"/>
    <w:link w:val="Header"/>
    <w:uiPriority w:val="99"/>
    <w:rsid w:val="001A2737"/>
  </w:style>
  <w:style w:type="paragraph" w:styleId="Footer">
    <w:name w:val="footer"/>
    <w:basedOn w:val="Normal"/>
    <w:link w:val="FooterChar"/>
    <w:uiPriority w:val="99"/>
    <w:unhideWhenUsed/>
    <w:rsid w:val="001A2737"/>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2737"/>
  </w:style>
  <w:style w:type="table" w:styleId="TableGrid">
    <w:name w:val="Table Grid"/>
    <w:basedOn w:val="TableNormal"/>
    <w:uiPriority w:val="39"/>
    <w:rsid w:val="002C3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mailto:musozmen@g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65A73-1A9E-4C7A-A651-1C9665670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8</Pages>
  <Words>953</Words>
  <Characters>5437</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Suheda Celen</dc:creator>
  <cp:keywords/>
  <dc:description/>
  <cp:lastModifiedBy>Jayashree Keerthivel</cp:lastModifiedBy>
  <cp:revision>5</cp:revision>
  <dcterms:created xsi:type="dcterms:W3CDTF">2025-04-16T14:29:00Z</dcterms:created>
  <dcterms:modified xsi:type="dcterms:W3CDTF">2025-05-22T12:24:00Z</dcterms:modified>
</cp:coreProperties>
</file>