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047" w:rsidRDefault="00DC6047" w:rsidP="00DC6047">
      <w:pPr>
        <w:suppressLineNumbers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eastAsia="Arial Unicode MS" w:hAnsi="Times New Roman" w:cs="Arial Unicode MS"/>
          <w:sz w:val="20"/>
          <w:szCs w:val="20"/>
        </w:rPr>
        <w:t>Supplementary Appendix 1. Full Search Strategies</w:t>
      </w:r>
    </w:p>
    <w:p w:rsidR="00DC6047" w:rsidRDefault="00DC6047" w:rsidP="00DC6047">
      <w:pPr>
        <w:numPr>
          <w:ilvl w:val="0"/>
          <w:numId w:val="1"/>
        </w:numPr>
        <w:suppressLineNumbers/>
        <w:spacing w:line="278" w:lineRule="auto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PubMed (searched August 23,2025)</w:t>
      </w:r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("artificial intelligence"[Mesh] OR "machine learning"[Mesh] OR "deep learning"[Mesh]</w:t>
      </w:r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OR "natural language processing"[Mesh] OR "artificial intelligence"[</w:t>
      </w:r>
      <w:proofErr w:type="spell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tiab</w:t>
      </w:r>
      <w:proofErr w:type="spell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] OR </w:t>
      </w:r>
      <w:proofErr w:type="gram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…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)</w:t>
      </w:r>
      <w:proofErr w:type="gramEnd"/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AND ("clinical decision support systems"[Mesh] OR "decision support"[</w:t>
      </w:r>
      <w:proofErr w:type="spell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tiab</w:t>
      </w:r>
      <w:proofErr w:type="spell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] </w:t>
      </w:r>
      <w:proofErr w:type="gram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…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)</w:t>
      </w:r>
      <w:proofErr w:type="gramEnd"/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AND ("preadmission testing"[</w:t>
      </w:r>
      <w:proofErr w:type="spell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tiab</w:t>
      </w:r>
      <w:proofErr w:type="spell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] OR "preoperative evaluation"[</w:t>
      </w:r>
      <w:proofErr w:type="spell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tiab</w:t>
      </w:r>
      <w:proofErr w:type="spell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] OR </w:t>
      </w:r>
      <w:proofErr w:type="gram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…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)</w:t>
      </w:r>
      <w:proofErr w:type="gramEnd"/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AND ("2020/01/01"[Date - Publication</w:t>
      </w:r>
      <w:proofErr w:type="gram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] :</w:t>
      </w:r>
      <w:proofErr w:type="gram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"2025/08/01"[Date - Publication])</w:t>
      </w:r>
    </w:p>
    <w:p w:rsidR="00DC6047" w:rsidRDefault="00DC6047" w:rsidP="00DC6047">
      <w:pPr>
        <w:numPr>
          <w:ilvl w:val="0"/>
          <w:numId w:val="1"/>
        </w:numPr>
        <w:suppressLineNumbers/>
        <w:spacing w:line="278" w:lineRule="auto"/>
        <w:contextualSpacing/>
        <w:rPr>
          <w:sz w:val="20"/>
          <w:szCs w:val="20"/>
        </w:rPr>
      </w:pPr>
      <w:proofErr w:type="spell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Embase</w:t>
      </w:r>
      <w:proofErr w:type="spell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(Ovid; searched August 23, 2025)</w:t>
      </w:r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('artificial intelligence'/</w:t>
      </w:r>
      <w:proofErr w:type="spell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exp</w:t>
      </w:r>
      <w:proofErr w:type="spell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OR 'machine learning'/</w:t>
      </w:r>
      <w:proofErr w:type="spell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exp</w:t>
      </w:r>
      <w:proofErr w:type="spell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OR 'deep learning'/</w:t>
      </w:r>
      <w:proofErr w:type="spell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exp</w:t>
      </w:r>
      <w:proofErr w:type="spell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</w:t>
      </w:r>
      <w:proofErr w:type="gram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…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)</w:t>
      </w:r>
      <w:proofErr w:type="gramEnd"/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AND ('clinical decision support system'/</w:t>
      </w:r>
      <w:proofErr w:type="spell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exp</w:t>
      </w:r>
      <w:proofErr w:type="spell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OR 'clinical decision support'</w:t>
      </w:r>
      <w:proofErr w:type="gram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:</w:t>
      </w:r>
      <w:proofErr w:type="spell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ti,ab</w:t>
      </w:r>
      <w:proofErr w:type="spellEnd"/>
      <w:proofErr w:type="gram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…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)</w:t>
      </w:r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AND ('pre-admission testing'</w:t>
      </w:r>
      <w:proofErr w:type="gram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:</w:t>
      </w:r>
      <w:proofErr w:type="spell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ti,ab</w:t>
      </w:r>
      <w:proofErr w:type="spellEnd"/>
      <w:proofErr w:type="gram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OR 'preoperative care'/</w:t>
      </w:r>
      <w:proofErr w:type="spell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exp</w:t>
      </w:r>
      <w:proofErr w:type="spell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OR 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…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)</w:t>
      </w:r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AND [2020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–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2025]/</w:t>
      </w:r>
      <w:proofErr w:type="spell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py</w:t>
      </w:r>
      <w:proofErr w:type="spellEnd"/>
    </w:p>
    <w:p w:rsidR="00DC6047" w:rsidRDefault="00DC6047" w:rsidP="00DC6047">
      <w:pPr>
        <w:numPr>
          <w:ilvl w:val="0"/>
          <w:numId w:val="1"/>
        </w:numPr>
        <w:suppressLineNumbers/>
        <w:spacing w:line="278" w:lineRule="auto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Scopus (Elsevier; searched August 23,2025)</w:t>
      </w:r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(TITLE-ABS-</w:t>
      </w:r>
      <w:proofErr w:type="gram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KEY(</w:t>
      </w:r>
      <w:proofErr w:type="gram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"artificial intelligence" OR "machine learning" OR 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…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))</w:t>
      </w:r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AND (TITLE-ABS-</w:t>
      </w:r>
      <w:proofErr w:type="gram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KEY(</w:t>
      </w:r>
      <w:proofErr w:type="gram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"clinical decision support" OR "CDSS"))</w:t>
      </w:r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AND (TITLE-ABS-</w:t>
      </w:r>
      <w:proofErr w:type="gramStart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KEY(</w:t>
      </w:r>
      <w:proofErr w:type="gramEnd"/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"preadmission testing" OR "preoperative care" OR 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…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))</w:t>
      </w:r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AND PUBYEAR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 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&gt;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 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2019 AND PUBYEAR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 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&lt;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 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2026</w:t>
      </w:r>
    </w:p>
    <w:p w:rsidR="00DC6047" w:rsidRDefault="00DC6047" w:rsidP="00DC6047">
      <w:pPr>
        <w:numPr>
          <w:ilvl w:val="0"/>
          <w:numId w:val="1"/>
        </w:numPr>
        <w:suppressLineNumbers/>
        <w:spacing w:line="278" w:lineRule="auto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CINAHL (EBSCO; searched August 23, 2025)</w:t>
      </w:r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(MH "Artificial Intelligence+" OR TI "machine learning" OR AB "deep learning" 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…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 xml:space="preserve"> )</w:t>
      </w:r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AND (MH "Decision Support Systems, Clinical+" OR TI "CDSS" OR AB "decision support")</w:t>
      </w:r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AND (MH "Preoperative Care+" OR TI "preadmission testing" OR AB "preoperative evaluation")</w:t>
      </w:r>
    </w:p>
    <w:p w:rsidR="00DC6047" w:rsidRDefault="00DC6047" w:rsidP="00DC6047">
      <w:pPr>
        <w:suppressLineNumbers/>
        <w:spacing w:line="278" w:lineRule="auto"/>
        <w:ind w:left="720"/>
        <w:contextualSpacing/>
        <w:rPr>
          <w:sz w:val="20"/>
          <w:szCs w:val="20"/>
        </w:rPr>
      </w:pP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Limiters: Published Date 20200101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–</w:t>
      </w:r>
      <w:r>
        <w:rPr>
          <w:rFonts w:ascii="Arial Unicode MS" w:eastAsia="Arial Unicode MS" w:hAnsi="Times New Roman" w:cs="Arial Unicode MS"/>
          <w:kern w:val="2"/>
          <w:sz w:val="20"/>
          <w:szCs w:val="20"/>
          <w:lang w:val="en-US"/>
          <w14:ligatures w14:val="standardContextual"/>
        </w:rPr>
        <w:t>20250801; English Language</w:t>
      </w:r>
    </w:p>
    <w:p w:rsidR="00DC6047" w:rsidRDefault="00DC6047" w:rsidP="00DC6047">
      <w:pPr>
        <w:keepNext/>
        <w:suppressLineNumbers/>
        <w:spacing w:after="200"/>
        <w:rPr>
          <w:sz w:val="20"/>
          <w:szCs w:val="20"/>
        </w:rPr>
      </w:pPr>
      <w:r>
        <w:rPr>
          <w:i/>
          <w:iCs/>
          <w:color w:val="44546A" w:themeColor="text2"/>
          <w:kern w:val="2"/>
          <w:sz w:val="20"/>
          <w:szCs w:val="20"/>
          <w:lang w:val="en-US"/>
          <w14:ligatures w14:val="standardContextual"/>
        </w:rPr>
        <w:t>Table 2 Database searches and results (2020–2025)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70"/>
        <w:gridCol w:w="1725"/>
        <w:gridCol w:w="1890"/>
        <w:gridCol w:w="1890"/>
        <w:gridCol w:w="1975"/>
      </w:tblGrid>
      <w:tr w:rsidR="00DC6047" w:rsidTr="00B246FB">
        <w:tc>
          <w:tcPr>
            <w:tcW w:w="1870" w:type="dxa"/>
            <w:shd w:val="clear" w:color="auto" w:fill="D0CECE" w:themeFill="background2" w:themeFillShade="E6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b/>
                <w:bCs/>
                <w:sz w:val="20"/>
                <w:szCs w:val="20"/>
              </w:rPr>
              <w:t>Database</w:t>
            </w:r>
          </w:p>
        </w:tc>
        <w:tc>
          <w:tcPr>
            <w:tcW w:w="1725" w:type="dxa"/>
            <w:shd w:val="clear" w:color="auto" w:fill="D0CECE" w:themeFill="background2" w:themeFillShade="E6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b/>
                <w:bCs/>
                <w:sz w:val="20"/>
                <w:szCs w:val="20"/>
              </w:rPr>
              <w:t>Platform</w:t>
            </w:r>
          </w:p>
        </w:tc>
        <w:tc>
          <w:tcPr>
            <w:tcW w:w="1890" w:type="dxa"/>
            <w:shd w:val="clear" w:color="auto" w:fill="D0CECE" w:themeFill="background2" w:themeFillShade="E6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b/>
                <w:bCs/>
                <w:sz w:val="20"/>
                <w:szCs w:val="20"/>
              </w:rPr>
              <w:t>Coverage</w:t>
            </w:r>
          </w:p>
        </w:tc>
        <w:tc>
          <w:tcPr>
            <w:tcW w:w="1890" w:type="dxa"/>
            <w:shd w:val="clear" w:color="auto" w:fill="D0CECE" w:themeFill="background2" w:themeFillShade="E6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b/>
                <w:bCs/>
                <w:sz w:val="20"/>
                <w:szCs w:val="20"/>
              </w:rPr>
              <w:t>Date searched</w:t>
            </w:r>
          </w:p>
        </w:tc>
        <w:tc>
          <w:tcPr>
            <w:tcW w:w="1975" w:type="dxa"/>
            <w:shd w:val="clear" w:color="auto" w:fill="D0CECE" w:themeFill="background2" w:themeFillShade="E6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b/>
                <w:bCs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b/>
                <w:bCs/>
                <w:sz w:val="20"/>
                <w:szCs w:val="20"/>
              </w:rPr>
              <w:t>Results retrieved</w:t>
            </w:r>
          </w:p>
        </w:tc>
      </w:tr>
      <w:tr w:rsidR="00DC6047" w:rsidTr="00B246FB">
        <w:tc>
          <w:tcPr>
            <w:tcW w:w="1870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PubMed</w:t>
            </w:r>
          </w:p>
        </w:tc>
        <w:tc>
          <w:tcPr>
            <w:tcW w:w="1725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NCBI</w:t>
            </w:r>
          </w:p>
        </w:tc>
        <w:tc>
          <w:tcPr>
            <w:tcW w:w="1890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2020</w:t>
            </w: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–</w:t>
            </w: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2025</w:t>
            </w:r>
          </w:p>
        </w:tc>
        <w:tc>
          <w:tcPr>
            <w:tcW w:w="1890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Aug 23,2025</w:t>
            </w:r>
          </w:p>
        </w:tc>
        <w:tc>
          <w:tcPr>
            <w:tcW w:w="1975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6</w:t>
            </w:r>
          </w:p>
        </w:tc>
      </w:tr>
      <w:tr w:rsidR="00DC6047" w:rsidTr="00B246FB">
        <w:tc>
          <w:tcPr>
            <w:tcW w:w="1870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Embase</w:t>
            </w:r>
            <w:proofErr w:type="spellEnd"/>
          </w:p>
        </w:tc>
        <w:tc>
          <w:tcPr>
            <w:tcW w:w="1725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Ovid/Elsevier</w:t>
            </w:r>
          </w:p>
        </w:tc>
        <w:tc>
          <w:tcPr>
            <w:tcW w:w="1890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2020</w:t>
            </w: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–</w:t>
            </w: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2025</w:t>
            </w:r>
          </w:p>
        </w:tc>
        <w:tc>
          <w:tcPr>
            <w:tcW w:w="1890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Aug 23,2025</w:t>
            </w:r>
          </w:p>
        </w:tc>
        <w:tc>
          <w:tcPr>
            <w:tcW w:w="1975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48</w:t>
            </w:r>
          </w:p>
        </w:tc>
      </w:tr>
      <w:tr w:rsidR="00DC6047" w:rsidTr="00B246FB">
        <w:tc>
          <w:tcPr>
            <w:tcW w:w="1870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Scopus</w:t>
            </w:r>
          </w:p>
        </w:tc>
        <w:tc>
          <w:tcPr>
            <w:tcW w:w="1725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Elsevier</w:t>
            </w:r>
          </w:p>
        </w:tc>
        <w:tc>
          <w:tcPr>
            <w:tcW w:w="1890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2020</w:t>
            </w: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–</w:t>
            </w: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2025</w:t>
            </w:r>
          </w:p>
        </w:tc>
        <w:tc>
          <w:tcPr>
            <w:tcW w:w="1890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Aug 23,2025</w:t>
            </w:r>
          </w:p>
        </w:tc>
        <w:tc>
          <w:tcPr>
            <w:tcW w:w="1975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93</w:t>
            </w:r>
          </w:p>
        </w:tc>
      </w:tr>
      <w:tr w:rsidR="00DC6047" w:rsidTr="00B246FB">
        <w:tc>
          <w:tcPr>
            <w:tcW w:w="1870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CINAHL</w:t>
            </w:r>
          </w:p>
        </w:tc>
        <w:tc>
          <w:tcPr>
            <w:tcW w:w="1725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EBSCO</w:t>
            </w:r>
          </w:p>
        </w:tc>
        <w:tc>
          <w:tcPr>
            <w:tcW w:w="1890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2020</w:t>
            </w: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–</w:t>
            </w: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2025</w:t>
            </w:r>
          </w:p>
        </w:tc>
        <w:tc>
          <w:tcPr>
            <w:tcW w:w="1890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Aug 23,2025</w:t>
            </w:r>
          </w:p>
        </w:tc>
        <w:tc>
          <w:tcPr>
            <w:tcW w:w="1975" w:type="dxa"/>
            <w:shd w:val="clear" w:color="auto" w:fill="E7E6E6" w:themeFill="background2"/>
          </w:tcPr>
          <w:p w:rsidR="00DC6047" w:rsidRDefault="00DC6047" w:rsidP="00B246FB">
            <w:pPr>
              <w:suppressLineNumbers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Times New Roman" w:cs="Arial Unicode MS"/>
                <w:sz w:val="20"/>
                <w:szCs w:val="20"/>
              </w:rPr>
              <w:t>4</w:t>
            </w:r>
          </w:p>
        </w:tc>
      </w:tr>
    </w:tbl>
    <w:p w:rsidR="00DC6047" w:rsidRDefault="00DC6047" w:rsidP="00DC6047">
      <w:pPr>
        <w:suppressLineNumbers/>
        <w:rPr>
          <w:rFonts w:ascii="Arial Unicode MS" w:hAnsi="Arial Unicode MS" w:cs="Arial Unicode MS"/>
          <w:i/>
          <w:iCs/>
          <w:sz w:val="20"/>
          <w:szCs w:val="20"/>
        </w:rPr>
      </w:pPr>
      <w:r>
        <w:rPr>
          <w:rFonts w:ascii="Arial Unicode MS" w:eastAsia="Arial Unicode MS" w:hAnsi="Times New Roman" w:cs="Arial Unicode MS"/>
          <w:i/>
          <w:iCs/>
          <w:sz w:val="20"/>
          <w:szCs w:val="20"/>
        </w:rPr>
        <w:t>Results reflect database contents as of August 23, 2025. Full electronic search strategies for all databases, including exact Boolean operators and limits, are provided in Supplementary Appendix 1</w:t>
      </w:r>
    </w:p>
    <w:p w:rsidR="00DC6047" w:rsidRDefault="00DC6047" w:rsidP="00DC6047">
      <w:pPr>
        <w:rPr>
          <w:rFonts w:ascii="Arial Unicode MS" w:hAnsi="Arial Unicode MS" w:cs="Arial Unicode MS"/>
        </w:rPr>
      </w:pPr>
      <w:r>
        <w:rPr>
          <w:rFonts w:ascii="Arial Unicode MS" w:eastAsia="Arial Unicode MS" w:cs="Arial Unicode MS"/>
          <w:b/>
        </w:rPr>
        <w:lastRenderedPageBreak/>
        <w:t>Supplementary Table S0. Data dictionary (variables and definitions)</w:t>
      </w:r>
    </w:p>
    <w:p w:rsidR="00DC6047" w:rsidRDefault="00DC6047" w:rsidP="00DC6047">
      <w:pPr>
        <w:keepNext/>
        <w:spacing w:after="200"/>
      </w:pPr>
      <w:r>
        <w:rPr>
          <w:i/>
          <w:iCs/>
          <w:color w:val="44546A" w:themeColor="text2"/>
          <w:kern w:val="2"/>
          <w:sz w:val="18"/>
          <w:szCs w:val="18"/>
          <w:lang w:val="en-US"/>
          <w14:ligatures w14:val="standardContextual"/>
        </w:rPr>
        <w:t>Table S 0 Data dictionary (variables and definitions)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53"/>
        <w:gridCol w:w="2853"/>
        <w:gridCol w:w="2844"/>
      </w:tblGrid>
      <w:tr w:rsidR="00DC6047" w:rsidTr="00B246FB">
        <w:trPr>
          <w:jc w:val="center"/>
        </w:trPr>
        <w:tc>
          <w:tcPr>
            <w:tcW w:w="3653" w:type="dxa"/>
            <w:shd w:val="clear" w:color="auto" w:fill="D0CECE" w:themeFill="background2" w:themeFillShade="E6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Variable</w:t>
            </w:r>
          </w:p>
        </w:tc>
        <w:tc>
          <w:tcPr>
            <w:tcW w:w="2853" w:type="dxa"/>
            <w:shd w:val="clear" w:color="auto" w:fill="D0CECE" w:themeFill="background2" w:themeFillShade="E6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Definition</w:t>
            </w:r>
          </w:p>
        </w:tc>
        <w:tc>
          <w:tcPr>
            <w:tcW w:w="2844" w:type="dxa"/>
            <w:shd w:val="clear" w:color="auto" w:fill="D0CECE" w:themeFill="background2" w:themeFillShade="E6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Coding options/rules</w:t>
            </w:r>
          </w:p>
        </w:tc>
      </w:tr>
      <w:tr w:rsidR="00DC6047" w:rsidTr="00B246FB">
        <w:trPr>
          <w:trHeight w:val="413"/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Ref #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Reference number used in manuscript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Integer (1</w:t>
            </w:r>
            <w:r>
              <w:rPr>
                <w:rFonts w:ascii="Arial Unicode MS" w:eastAsia="Arial Unicode MS" w:hAnsi="Times New Roman" w:cs="Arial Unicode MS"/>
              </w:rPr>
              <w:t>–</w:t>
            </w:r>
            <w:r>
              <w:rPr>
                <w:rFonts w:ascii="Arial Unicode MS" w:eastAsia="Arial Unicode MS" w:hAnsi="Times New Roman" w:cs="Arial Unicode MS"/>
              </w:rPr>
              <w:t>60)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First author_(Year)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First author surname and publication year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 xml:space="preserve">Text (e.g., </w:t>
            </w:r>
            <w:r>
              <w:rPr>
                <w:rFonts w:ascii="Arial Unicode MS" w:eastAsia="Arial Unicode MS" w:hAnsi="Times New Roman" w:cs="Arial Unicode MS"/>
              </w:rPr>
              <w:t>“</w:t>
            </w:r>
            <w:proofErr w:type="spellStart"/>
            <w:r>
              <w:rPr>
                <w:rFonts w:ascii="Arial Unicode MS" w:eastAsia="Arial Unicode MS" w:hAnsi="Times New Roman" w:cs="Arial Unicode MS"/>
              </w:rPr>
              <w:t>Wongtangman</w:t>
            </w:r>
            <w:proofErr w:type="spellEnd"/>
            <w:r>
              <w:rPr>
                <w:rFonts w:ascii="Arial Unicode MS" w:eastAsia="Arial Unicode MS" w:hAnsi="Times New Roman" w:cs="Arial Unicode MS"/>
              </w:rPr>
              <w:t xml:space="preserve"> 2023</w:t>
            </w:r>
            <w:r>
              <w:rPr>
                <w:rFonts w:ascii="Arial Unicode MS" w:eastAsia="Arial Unicode MS" w:hAnsi="Times New Roman" w:cs="Arial Unicode MS"/>
              </w:rPr>
              <w:t>’</w:t>
            </w:r>
            <w:r>
              <w:rPr>
                <w:rFonts w:ascii="Arial Unicode MS" w:eastAsia="Arial Unicode MS" w:hAnsi="Times New Roman" w:cs="Arial Unicode MS"/>
              </w:rPr>
              <w:t>)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</w:rPr>
              <w:t>Study_design_type</w:t>
            </w:r>
            <w:proofErr w:type="spellEnd"/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 xml:space="preserve">Design label (RCT, prospective cohort, retrospective, cross-sectional, diagnostic, </w:t>
            </w:r>
            <w:proofErr w:type="spellStart"/>
            <w:r>
              <w:rPr>
                <w:rFonts w:ascii="Arial Unicode MS" w:eastAsia="Arial Unicode MS" w:hAnsi="Times New Roman" w:cs="Arial Unicode MS"/>
              </w:rPr>
              <w:t>modeling</w:t>
            </w:r>
            <w:proofErr w:type="spellEnd"/>
            <w:r>
              <w:rPr>
                <w:rFonts w:ascii="Arial Unicode MS" w:eastAsia="Arial Unicode MS" w:hAnsi="Times New Roman" w:cs="Arial Unicode MS"/>
              </w:rPr>
              <w:t>, QI, usability, framework, mathematical, review, abstract)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Controlled vocabulary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Setting &amp; population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Clinical setting and population descriptors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Free text short phrase; e.g., 'adult surgical candidates, PAT clinic'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Country/region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Country or multi-country designation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ISO country or region name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Sample size (N)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 xml:space="preserve">Total participants/records </w:t>
            </w:r>
            <w:proofErr w:type="spellStart"/>
            <w:r>
              <w:rPr>
                <w:rFonts w:ascii="Arial Unicode MS" w:eastAsia="Arial Unicode MS" w:hAnsi="Times New Roman" w:cs="Arial Unicode MS"/>
              </w:rPr>
              <w:t>analyzed</w:t>
            </w:r>
            <w:proofErr w:type="spellEnd"/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Integer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Dataset provenance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Source of data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Public / Institutional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</w:rPr>
              <w:t>Multicenter</w:t>
            </w:r>
            <w:proofErr w:type="spellEnd"/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More than one clinical site contributed data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Yes / No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lastRenderedPageBreak/>
              <w:t>Data sources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EHR, labs, free text, imaging, physiologic monitoring, wearables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Multi-select list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Ai method family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Primary analytic approach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LR/LASSO, RF, XGB, SVM, DL?CNN, LLM?NLP, BN, NB, KNN, Ensemble, Other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Primary CDSS function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Intended decision-support purpose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Risk prediction; Triage/test stewardship; Workflow optimization; Planning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Validation tier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Highest level of validation reported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Internal split/CV; External temporal; External site; Prospective; RCT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Outcome/application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Clinical endpoint or task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Free text (concise)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Performance (discrimination)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AUC/C-index and CI if available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Numeric with CI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Performance (calibration)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Calibration slope/intercept or H-L test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Reported / Not reported</w:t>
            </w:r>
            <w:r>
              <w:rPr>
                <w:rFonts w:ascii="Arial Unicode MS" w:eastAsia="Arial Unicode MS" w:hAnsi="Times New Roman" w:cs="Arial Unicode MS"/>
              </w:rPr>
              <w:t> </w:t>
            </w:r>
            <w:r>
              <w:rPr>
                <w:rFonts w:ascii="Arial Unicode MS" w:eastAsia="Arial Unicode MS" w:hAnsi="Times New Roman" w:cs="Arial Unicode MS"/>
              </w:rPr>
              <w:t>+</w:t>
            </w:r>
            <w:r>
              <w:rPr>
                <w:rFonts w:ascii="Arial Unicode MS" w:eastAsia="Arial Unicode MS" w:hAnsi="Times New Roman" w:cs="Arial Unicode MS"/>
              </w:rPr>
              <w:t> </w:t>
            </w:r>
            <w:r>
              <w:rPr>
                <w:rFonts w:ascii="Arial Unicode MS" w:eastAsia="Arial Unicode MS" w:hAnsi="Times New Roman" w:cs="Arial Unicode MS"/>
              </w:rPr>
              <w:t>details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</w:rPr>
              <w:t>Explainability</w:t>
            </w:r>
            <w:proofErr w:type="spellEnd"/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Use of SHAP, LIME, interpretable NB, feature importance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Reported / Not reported</w:t>
            </w:r>
            <w:r>
              <w:rPr>
                <w:rFonts w:ascii="Arial Unicode MS" w:eastAsia="Arial Unicode MS" w:hAnsi="Times New Roman" w:cs="Arial Unicode MS"/>
              </w:rPr>
              <w:t> </w:t>
            </w:r>
            <w:r>
              <w:rPr>
                <w:rFonts w:ascii="Arial Unicode MS" w:eastAsia="Arial Unicode MS" w:hAnsi="Times New Roman" w:cs="Arial Unicode MS"/>
              </w:rPr>
              <w:t>+</w:t>
            </w:r>
            <w:r>
              <w:rPr>
                <w:rFonts w:ascii="Arial Unicode MS" w:eastAsia="Arial Unicode MS" w:hAnsi="Times New Roman" w:cs="Arial Unicode MS"/>
              </w:rPr>
              <w:t> </w:t>
            </w:r>
            <w:r>
              <w:rPr>
                <w:rFonts w:ascii="Arial Unicode MS" w:eastAsia="Arial Unicode MS" w:hAnsi="Times New Roman" w:cs="Arial Unicode MS"/>
              </w:rPr>
              <w:t>method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EHR integration/automation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Evidence of EHR linkage or automated scoring</w:t>
            </w:r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Yes / No</w:t>
            </w:r>
            <w:r>
              <w:rPr>
                <w:rFonts w:ascii="Arial Unicode MS" w:eastAsia="Arial Unicode MS" w:hAnsi="Times New Roman" w:cs="Arial Unicode MS"/>
              </w:rPr>
              <w:t> </w:t>
            </w:r>
            <w:r>
              <w:rPr>
                <w:rFonts w:ascii="Arial Unicode MS" w:eastAsia="Arial Unicode MS" w:hAnsi="Times New Roman" w:cs="Arial Unicode MS"/>
              </w:rPr>
              <w:t>+</w:t>
            </w:r>
            <w:r>
              <w:rPr>
                <w:rFonts w:ascii="Arial Unicode MS" w:eastAsia="Arial Unicode MS" w:hAnsi="Times New Roman" w:cs="Arial Unicode MS"/>
              </w:rPr>
              <w:t> </w:t>
            </w:r>
            <w:r>
              <w:rPr>
                <w:rFonts w:ascii="Arial Unicode MS" w:eastAsia="Arial Unicode MS" w:hAnsi="Times New Roman" w:cs="Arial Unicode MS"/>
              </w:rPr>
              <w:t>brief</w:t>
            </w:r>
          </w:p>
        </w:tc>
      </w:tr>
      <w:tr w:rsidR="00DC6047" w:rsidTr="00B246FB">
        <w:trPr>
          <w:jc w:val="center"/>
        </w:trPr>
        <w:tc>
          <w:tcPr>
            <w:tcW w:w="36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lastRenderedPageBreak/>
              <w:t>Operational endpoint</w:t>
            </w:r>
          </w:p>
        </w:tc>
        <w:tc>
          <w:tcPr>
            <w:tcW w:w="2853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 xml:space="preserve">Time savings, triage accuracy, DOS delays, LOS, </w:t>
            </w:r>
            <w:proofErr w:type="spellStart"/>
            <w:r>
              <w:rPr>
                <w:rFonts w:ascii="Arial Unicode MS" w:eastAsia="Arial Unicode MS" w:hAnsi="Times New Roman" w:cs="Arial Unicode MS"/>
              </w:rPr>
              <w:t>etc</w:t>
            </w:r>
            <w:proofErr w:type="spellEnd"/>
          </w:p>
        </w:tc>
        <w:tc>
          <w:tcPr>
            <w:tcW w:w="2844" w:type="dxa"/>
            <w:shd w:val="clear" w:color="auto" w:fill="E7E6E6" w:themeFill="background2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Reported / Not reported</w:t>
            </w:r>
            <w:r>
              <w:rPr>
                <w:rFonts w:ascii="Arial Unicode MS" w:eastAsia="Arial Unicode MS" w:hAnsi="Times New Roman" w:cs="Arial Unicode MS"/>
              </w:rPr>
              <w:t> </w:t>
            </w:r>
            <w:r>
              <w:rPr>
                <w:rFonts w:ascii="Arial Unicode MS" w:eastAsia="Arial Unicode MS" w:hAnsi="Times New Roman" w:cs="Arial Unicode MS"/>
              </w:rPr>
              <w:t>+</w:t>
            </w:r>
            <w:r>
              <w:rPr>
                <w:rFonts w:ascii="Arial Unicode MS" w:eastAsia="Arial Unicode MS" w:hAnsi="Times New Roman" w:cs="Arial Unicode MS"/>
              </w:rPr>
              <w:t> </w:t>
            </w:r>
            <w:r>
              <w:rPr>
                <w:rFonts w:ascii="Arial Unicode MS" w:eastAsia="Arial Unicode MS" w:hAnsi="Times New Roman" w:cs="Arial Unicode MS"/>
              </w:rPr>
              <w:t>metric</w:t>
            </w:r>
          </w:p>
        </w:tc>
      </w:tr>
    </w:tbl>
    <w:p w:rsidR="00DC6047" w:rsidRDefault="00DC6047" w:rsidP="00DC6047">
      <w:pPr>
        <w:keepNext/>
        <w:rPr>
          <w:rFonts w:ascii="Arial Unicode MS" w:hAnsi="Arial Unicode MS" w:cs="Arial Unicode MS"/>
        </w:rPr>
      </w:pPr>
      <w:r>
        <w:rPr>
          <w:rFonts w:ascii="Arial Unicode MS" w:eastAsia="Arial Unicode MS" w:cs="Arial Unicode MS"/>
          <w:i/>
          <w:iCs/>
          <w:sz w:val="18"/>
          <w:szCs w:val="18"/>
        </w:rPr>
        <w:t>Data extraction schema (codebook) Variables, definitions, and coding rules used during charting</w:t>
      </w:r>
      <w:r>
        <w:rPr>
          <w:rFonts w:ascii="Arial Unicode MS" w:eastAsia="Arial Unicode MS" w:cs="Arial Unicode MS"/>
          <w:i/>
          <w:iCs/>
          <w:sz w:val="18"/>
          <w:szCs w:val="18"/>
        </w:rPr>
        <w:t>—</w:t>
      </w:r>
      <w:r>
        <w:rPr>
          <w:rFonts w:ascii="Arial Unicode MS" w:eastAsia="Arial Unicode MS" w:cs="Arial Unicode MS"/>
          <w:i/>
          <w:iCs/>
          <w:sz w:val="18"/>
          <w:szCs w:val="18"/>
        </w:rPr>
        <w:t>these terms are referenced in Table</w:t>
      </w:r>
      <w:r>
        <w:rPr>
          <w:rFonts w:ascii="Arial Unicode MS" w:eastAsia="Arial Unicode MS" w:cs="Arial Unicode MS"/>
          <w:i/>
          <w:iCs/>
          <w:sz w:val="18"/>
          <w:szCs w:val="18"/>
        </w:rPr>
        <w:t> </w:t>
      </w:r>
      <w:r>
        <w:rPr>
          <w:rFonts w:ascii="Arial Unicode MS" w:eastAsia="Arial Unicode MS" w:cs="Arial Unicode MS"/>
          <w:i/>
          <w:iCs/>
          <w:sz w:val="18"/>
          <w:szCs w:val="18"/>
        </w:rPr>
        <w:t xml:space="preserve">1 and the Results (e.g., dataset provenance, </w:t>
      </w:r>
      <w:proofErr w:type="spellStart"/>
      <w:r>
        <w:rPr>
          <w:rFonts w:ascii="Arial Unicode MS" w:eastAsia="Arial Unicode MS" w:cs="Arial Unicode MS"/>
          <w:i/>
          <w:iCs/>
          <w:sz w:val="18"/>
          <w:szCs w:val="18"/>
        </w:rPr>
        <w:t>multicenter</w:t>
      </w:r>
      <w:proofErr w:type="spellEnd"/>
      <w:r>
        <w:rPr>
          <w:rFonts w:ascii="Arial Unicode MS" w:eastAsia="Arial Unicode MS" w:cs="Arial Unicode MS"/>
          <w:i/>
          <w:iCs/>
          <w:sz w:val="18"/>
          <w:szCs w:val="18"/>
        </w:rPr>
        <w:t xml:space="preserve"> status, AI method family). AI method family acronyms: LR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logistic regression; LASSO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least absolute shrinkage and selection operator (penalized regression); RF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random forest; XGB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extreme gradient boosting (</w:t>
      </w:r>
      <w:proofErr w:type="spellStart"/>
      <w:r>
        <w:rPr>
          <w:rFonts w:ascii="Arial Unicode MS" w:eastAsia="Arial Unicode MS" w:cs="Arial Unicode MS"/>
          <w:i/>
          <w:iCs/>
          <w:sz w:val="18"/>
          <w:szCs w:val="18"/>
        </w:rPr>
        <w:t>XGBoost</w:t>
      </w:r>
      <w:proofErr w:type="spellEnd"/>
      <w:r>
        <w:rPr>
          <w:rFonts w:ascii="Arial Unicode MS" w:eastAsia="Arial Unicode MS" w:cs="Arial Unicode MS"/>
          <w:i/>
          <w:iCs/>
          <w:sz w:val="18"/>
          <w:szCs w:val="18"/>
        </w:rPr>
        <w:t>); SVM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support vector machine; DL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deep learning; CNN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convolutional neural network; LLM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large language model; NLP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natural language processing; BN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Bayesian network; NB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na</w:t>
      </w:r>
      <w:r>
        <w:rPr>
          <w:rFonts w:ascii="Arial Unicode MS" w:eastAsia="Arial Unicode MS" w:cs="Arial Unicode MS"/>
          <w:i/>
          <w:iCs/>
          <w:sz w:val="18"/>
          <w:szCs w:val="18"/>
        </w:rPr>
        <w:t>ï</w:t>
      </w:r>
      <w:r>
        <w:rPr>
          <w:rFonts w:ascii="Arial Unicode MS" w:eastAsia="Arial Unicode MS" w:cs="Arial Unicode MS"/>
          <w:i/>
          <w:iCs/>
          <w:sz w:val="18"/>
          <w:szCs w:val="18"/>
        </w:rPr>
        <w:t>ve Bayes; KNN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 xml:space="preserve">k-nearest </w:t>
      </w:r>
      <w:proofErr w:type="spellStart"/>
      <w:r>
        <w:rPr>
          <w:rFonts w:ascii="Arial Unicode MS" w:eastAsia="Arial Unicode MS" w:cs="Arial Unicode MS"/>
          <w:i/>
          <w:iCs/>
          <w:sz w:val="18"/>
          <w:szCs w:val="18"/>
        </w:rPr>
        <w:t>neighbors</w:t>
      </w:r>
      <w:proofErr w:type="spellEnd"/>
      <w:r>
        <w:rPr>
          <w:rFonts w:ascii="Arial Unicode MS" w:eastAsia="Arial Unicode MS" w:cs="Arial Unicode MS"/>
          <w:i/>
          <w:iCs/>
          <w:sz w:val="18"/>
          <w:szCs w:val="18"/>
        </w:rPr>
        <w:t>; Ensemble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combined models (e.g., bagging/boosting/stacking); Other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methods outside the listed families (e.g., generalized linear models beyond LR, Cox/survival models, rule-based systems).</w:t>
      </w:r>
    </w:p>
    <w:p w:rsidR="00DC6047" w:rsidRDefault="00DC6047" w:rsidP="00DC6047">
      <w:pPr>
        <w:keepNext/>
        <w:spacing w:after="200"/>
      </w:pPr>
      <w:r>
        <w:rPr>
          <w:i/>
          <w:iCs/>
          <w:color w:val="44546A" w:themeColor="text2"/>
          <w:kern w:val="2"/>
          <w:sz w:val="18"/>
          <w:szCs w:val="18"/>
          <w:lang w:val="en-US"/>
          <w14:ligatures w14:val="standardContextual"/>
        </w:rPr>
        <w:t>Table S 1Full-text exclusions (n = 4)</w:t>
      </w:r>
    </w:p>
    <w:tbl>
      <w:tblPr>
        <w:tblW w:w="11430" w:type="dxa"/>
        <w:jc w:val="center"/>
        <w:tblLayout w:type="fixed"/>
        <w:tblLook w:val="04A0" w:firstRow="1" w:lastRow="0" w:firstColumn="1" w:lastColumn="0" w:noHBand="0" w:noVBand="1"/>
      </w:tblPr>
      <w:tblGrid>
        <w:gridCol w:w="6120"/>
        <w:gridCol w:w="1260"/>
        <w:gridCol w:w="1980"/>
        <w:gridCol w:w="2070"/>
      </w:tblGrid>
      <w:tr w:rsidR="00DC6047" w:rsidTr="00B246FB">
        <w:trPr>
          <w:jc w:val="center"/>
        </w:trPr>
        <w:tc>
          <w:tcPr>
            <w:tcW w:w="6120" w:type="dxa"/>
            <w:shd w:val="clear" w:color="auto" w:fill="D0CECE" w:themeFill="background2" w:themeFillShade="E6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Citation (full)</w:t>
            </w:r>
          </w:p>
        </w:tc>
        <w:tc>
          <w:tcPr>
            <w:tcW w:w="1260" w:type="dxa"/>
            <w:shd w:val="clear" w:color="auto" w:fill="D0CECE" w:themeFill="background2" w:themeFillShade="E6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Record type</w:t>
            </w:r>
          </w:p>
        </w:tc>
        <w:tc>
          <w:tcPr>
            <w:tcW w:w="1980" w:type="dxa"/>
            <w:shd w:val="clear" w:color="auto" w:fill="D0CECE" w:themeFill="background2" w:themeFillShade="E6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Reason for exclusion</w:t>
            </w:r>
          </w:p>
        </w:tc>
        <w:tc>
          <w:tcPr>
            <w:tcW w:w="2070" w:type="dxa"/>
            <w:shd w:val="clear" w:color="auto" w:fill="D0CECE" w:themeFill="background2" w:themeFillShade="E6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Notes</w:t>
            </w:r>
          </w:p>
        </w:tc>
      </w:tr>
      <w:tr w:rsidR="00DC6047" w:rsidTr="00B246FB">
        <w:trPr>
          <w:jc w:val="center"/>
        </w:trPr>
        <w:tc>
          <w:tcPr>
            <w:tcW w:w="612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  <w:color w:val="000000"/>
              </w:rPr>
            </w:pPr>
            <w:r>
              <w:rPr>
                <w:rFonts w:ascii="Arial Unicode MS" w:eastAsia="Arial Unicode MS" w:hAnsi="Times New Roman" w:cs="Arial Unicode MS"/>
                <w:color w:val="000000"/>
              </w:rPr>
              <w:t xml:space="preserve">ClinicalTrials.gov. Enhancing Precise Perioperative Risk Surveillance: Validation of Submaximal Cardiopulmonary Exercise Testing to Usual Care for Detection of Myocardial Injury After </w:t>
            </w:r>
            <w:proofErr w:type="spellStart"/>
            <w:r>
              <w:rPr>
                <w:rFonts w:ascii="Arial Unicode MS" w:eastAsia="Arial Unicode MS" w:hAnsi="Times New Roman" w:cs="Arial Unicode MS"/>
                <w:color w:val="000000"/>
              </w:rPr>
              <w:t>Noncardiac</w:t>
            </w:r>
            <w:proofErr w:type="spellEnd"/>
            <w:r>
              <w:rPr>
                <w:rFonts w:ascii="Arial Unicode MS" w:eastAsia="Arial Unicode MS" w:hAnsi="Times New Roman" w:cs="Arial Unicode MS"/>
                <w:color w:val="000000"/>
              </w:rPr>
              <w:t xml:space="preserve"> Surgery. NCT06474754. 2025. Available at: https://clinicaltrials.gov/study/NCT06474754</w:t>
            </w:r>
          </w:p>
        </w:tc>
        <w:tc>
          <w:tcPr>
            <w:tcW w:w="126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Trial registration A</w:t>
            </w:r>
          </w:p>
        </w:tc>
        <w:tc>
          <w:tcPr>
            <w:tcW w:w="198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</w:rPr>
              <w:t>ClinicalTrials</w:t>
            </w:r>
            <w:proofErr w:type="spellEnd"/>
            <w:r>
              <w:rPr>
                <w:rFonts w:ascii="Arial Unicode MS" w:eastAsia="Arial Unicode MS" w:hAnsi="Times New Roman" w:cs="Arial Unicode MS"/>
              </w:rPr>
              <w:t xml:space="preserve"> record only; no results / no AI-CDSS data</w:t>
            </w:r>
          </w:p>
        </w:tc>
        <w:tc>
          <w:tcPr>
            <w:tcW w:w="207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Trial registration</w:t>
            </w:r>
          </w:p>
        </w:tc>
      </w:tr>
      <w:tr w:rsidR="00DC6047" w:rsidTr="00B246FB">
        <w:trPr>
          <w:jc w:val="center"/>
        </w:trPr>
        <w:tc>
          <w:tcPr>
            <w:tcW w:w="612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ClinicalTrials.gov. Artificial Intelligence-augmented Perioperative Clinical Decision Support. NCT05284227. 2022. Available at: https://clinicaltrials.gov/study/NCT05284227</w:t>
            </w:r>
          </w:p>
        </w:tc>
        <w:tc>
          <w:tcPr>
            <w:tcW w:w="126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Trial registration B</w:t>
            </w:r>
          </w:p>
        </w:tc>
        <w:tc>
          <w:tcPr>
            <w:tcW w:w="198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</w:rPr>
              <w:t>ClinicalTrials</w:t>
            </w:r>
            <w:proofErr w:type="spellEnd"/>
            <w:r>
              <w:rPr>
                <w:rFonts w:ascii="Arial Unicode MS" w:eastAsia="Arial Unicode MS" w:hAnsi="Times New Roman" w:cs="Arial Unicode MS"/>
              </w:rPr>
              <w:t xml:space="preserve"> record only; no results / no AI-CDSS data</w:t>
            </w:r>
          </w:p>
        </w:tc>
        <w:tc>
          <w:tcPr>
            <w:tcW w:w="207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Trial registration</w:t>
            </w:r>
          </w:p>
        </w:tc>
      </w:tr>
      <w:tr w:rsidR="00DC6047" w:rsidTr="00B246FB">
        <w:trPr>
          <w:jc w:val="center"/>
        </w:trPr>
        <w:tc>
          <w:tcPr>
            <w:tcW w:w="612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 xml:space="preserve">Shen Y, </w:t>
            </w:r>
            <w:proofErr w:type="spellStart"/>
            <w:r>
              <w:rPr>
                <w:rFonts w:ascii="Arial Unicode MS" w:eastAsia="Arial Unicode MS" w:hAnsi="Times New Roman" w:cs="Arial Unicode MS"/>
              </w:rPr>
              <w:t>Xie</w:t>
            </w:r>
            <w:proofErr w:type="spellEnd"/>
            <w:r>
              <w:rPr>
                <w:rFonts w:ascii="Arial Unicode MS" w:eastAsia="Arial Unicode MS" w:hAnsi="Times New Roman" w:cs="Arial Unicode MS"/>
              </w:rPr>
              <w:t xml:space="preserve"> Y, Li L, et al. Risk factors and prediction model of breast cancer-related </w:t>
            </w:r>
            <w:proofErr w:type="spellStart"/>
            <w:r>
              <w:rPr>
                <w:rFonts w:ascii="Arial Unicode MS" w:eastAsia="Arial Unicode MS" w:hAnsi="Times New Roman" w:cs="Arial Unicode MS"/>
              </w:rPr>
              <w:t>lymphoedema</w:t>
            </w:r>
            <w:proofErr w:type="spellEnd"/>
            <w:r>
              <w:rPr>
                <w:rFonts w:ascii="Arial Unicode MS" w:eastAsia="Arial Unicode MS" w:hAnsi="Times New Roman" w:cs="Arial Unicode MS"/>
              </w:rPr>
              <w:t xml:space="preserve"> in a Chinese cancer centre: a prospective cohort study protocol. BMJ Open. 2024</w:t>
            </w:r>
            <w:proofErr w:type="gramStart"/>
            <w:r>
              <w:rPr>
                <w:rFonts w:ascii="Arial Unicode MS" w:eastAsia="Arial Unicode MS" w:hAnsi="Times New Roman" w:cs="Arial Unicode MS"/>
              </w:rPr>
              <w:t>;14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 xml:space="preserve">(12):e089769. </w:t>
            </w:r>
            <w:proofErr w:type="gramStart"/>
            <w:r>
              <w:rPr>
                <w:rFonts w:ascii="Arial Unicode MS" w:eastAsia="Arial Unicode MS" w:hAnsi="Times New Roman" w:cs="Arial Unicode MS"/>
              </w:rPr>
              <w:t>doi: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>10.1136/bmjopen-2024-089769.</w:t>
            </w:r>
          </w:p>
        </w:tc>
        <w:tc>
          <w:tcPr>
            <w:tcW w:w="126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Protocol</w:t>
            </w:r>
          </w:p>
        </w:tc>
        <w:tc>
          <w:tcPr>
            <w:tcW w:w="198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Protocol only; no results</w:t>
            </w:r>
          </w:p>
        </w:tc>
        <w:tc>
          <w:tcPr>
            <w:tcW w:w="207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Protocol</w:t>
            </w:r>
          </w:p>
        </w:tc>
      </w:tr>
      <w:tr w:rsidR="00DC6047" w:rsidTr="00B246FB">
        <w:trPr>
          <w:jc w:val="center"/>
        </w:trPr>
        <w:tc>
          <w:tcPr>
            <w:tcW w:w="612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 xml:space="preserve">Keratoconus: exploring fundamentals and future perspectives </w:t>
            </w:r>
            <w:r>
              <w:rPr>
                <w:rFonts w:ascii="Arial Unicode MS" w:eastAsia="Arial Unicode MS" w:hAnsi="Times New Roman" w:cs="Arial Unicode MS"/>
              </w:rPr>
              <w:t>—</w:t>
            </w:r>
            <w:r>
              <w:rPr>
                <w:rFonts w:ascii="Arial Unicode MS" w:eastAsia="Arial Unicode MS" w:hAnsi="Times New Roman" w:cs="Arial Unicode MS"/>
              </w:rPr>
              <w:t xml:space="preserve"> a comprehensive systematic review. </w:t>
            </w:r>
            <w:r>
              <w:rPr>
                <w:rFonts w:ascii="Arial Unicode MS" w:eastAsia="Arial Unicode MS" w:hAnsi="Times New Roman" w:cs="Arial Unicode MS"/>
                <w:i/>
                <w:iCs/>
              </w:rPr>
              <w:lastRenderedPageBreak/>
              <w:t>Therapeutic Advances in Ophthalmology</w:t>
            </w:r>
            <w:r>
              <w:rPr>
                <w:rFonts w:ascii="Arial Unicode MS" w:eastAsia="Arial Unicode MS" w:hAnsi="Times New Roman" w:cs="Arial Unicode MS"/>
              </w:rPr>
              <w:t>. 2024</w:t>
            </w:r>
            <w:proofErr w:type="gramStart"/>
            <w:r>
              <w:rPr>
                <w:rFonts w:ascii="Arial Unicode MS" w:eastAsia="Arial Unicode MS" w:hAnsi="Times New Roman" w:cs="Arial Unicode MS"/>
              </w:rPr>
              <w:t>;16:1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>–</w:t>
            </w:r>
            <w:r>
              <w:rPr>
                <w:rFonts w:ascii="Arial Unicode MS" w:eastAsia="Arial Unicode MS" w:hAnsi="Times New Roman" w:cs="Arial Unicode MS"/>
              </w:rPr>
              <w:t xml:space="preserve">27. </w:t>
            </w:r>
            <w:proofErr w:type="gramStart"/>
            <w:r>
              <w:rPr>
                <w:rFonts w:ascii="Arial Unicode MS" w:eastAsia="Arial Unicode MS" w:hAnsi="Times New Roman" w:cs="Arial Unicode MS"/>
              </w:rPr>
              <w:t>doi:</w:t>
            </w:r>
            <w:proofErr w:type="gramEnd"/>
            <w:r>
              <w:rPr>
                <w:rFonts w:ascii="Arial Unicode MS" w:eastAsia="Arial Unicode MS" w:hAnsi="Times New Roman" w:cs="Arial Unicode MS"/>
              </w:rPr>
              <w:t>10.1177/25158414241232258.</w:t>
            </w:r>
          </w:p>
        </w:tc>
        <w:tc>
          <w:tcPr>
            <w:tcW w:w="126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lastRenderedPageBreak/>
              <w:t xml:space="preserve">Review lacking </w:t>
            </w:r>
            <w:r>
              <w:rPr>
                <w:rFonts w:ascii="Arial Unicode MS" w:eastAsia="Arial Unicode MS" w:hAnsi="Times New Roman" w:cs="Arial Unicode MS"/>
              </w:rPr>
              <w:lastRenderedPageBreak/>
              <w:t>AI/PAT focus</w:t>
            </w:r>
          </w:p>
        </w:tc>
        <w:tc>
          <w:tcPr>
            <w:tcW w:w="198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lastRenderedPageBreak/>
              <w:t xml:space="preserve">Not AI/PAT-relevant or no </w:t>
            </w:r>
            <w:r>
              <w:rPr>
                <w:rFonts w:ascii="Arial Unicode MS" w:eastAsia="Arial Unicode MS" w:hAnsi="Times New Roman" w:cs="Arial Unicode MS"/>
              </w:rPr>
              <w:lastRenderedPageBreak/>
              <w:t>original AI/ML data</w:t>
            </w:r>
          </w:p>
        </w:tc>
        <w:tc>
          <w:tcPr>
            <w:tcW w:w="2070" w:type="dxa"/>
            <w:shd w:val="clear" w:color="auto" w:fill="E7E6E6" w:themeFill="background2"/>
          </w:tcPr>
          <w:p w:rsidR="00DC6047" w:rsidRDefault="00DC6047" w:rsidP="00B246FB">
            <w:pPr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lastRenderedPageBreak/>
              <w:t xml:space="preserve">Out of scope (ophthalmology/keratoconus review; </w:t>
            </w:r>
            <w:r>
              <w:rPr>
                <w:rFonts w:ascii="Arial Unicode MS" w:eastAsia="Arial Unicode MS" w:hAnsi="Times New Roman" w:cs="Arial Unicode MS"/>
              </w:rPr>
              <w:lastRenderedPageBreak/>
              <w:t>not preadmission testing)</w:t>
            </w:r>
          </w:p>
        </w:tc>
      </w:tr>
    </w:tbl>
    <w:p w:rsidR="00DC6047" w:rsidRDefault="00DC6047" w:rsidP="00DC6047">
      <w:pPr>
        <w:keepNext/>
        <w:rPr>
          <w:rFonts w:ascii="Arial Unicode MS" w:hAnsi="Arial Unicode MS" w:cs="Arial Unicode MS"/>
          <w:i/>
          <w:iCs/>
          <w:sz w:val="18"/>
          <w:szCs w:val="18"/>
        </w:rPr>
      </w:pPr>
      <w:r>
        <w:rPr>
          <w:rFonts w:ascii="Arial Unicode MS" w:eastAsia="Arial Unicode MS" w:cs="Arial Unicode MS"/>
          <w:i/>
          <w:iCs/>
          <w:sz w:val="18"/>
          <w:szCs w:val="18"/>
        </w:rPr>
        <w:lastRenderedPageBreak/>
        <w:t>Full-text reports excluded with reasons (n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4). Categories reflect protocol/registration status or lack of AI/PAT relevance. No exclusions were made for methodological quality.</w:t>
      </w:r>
    </w:p>
    <w:p w:rsidR="00DC6047" w:rsidRDefault="00DC6047" w:rsidP="00DC6047">
      <w:pPr>
        <w:keepNext/>
        <w:spacing w:after="200"/>
      </w:pPr>
      <w:r>
        <w:rPr>
          <w:i/>
          <w:iCs/>
          <w:color w:val="44546A" w:themeColor="text2"/>
          <w:kern w:val="2"/>
          <w:sz w:val="18"/>
          <w:szCs w:val="18"/>
          <w:lang w:val="en-US"/>
          <w14:ligatures w14:val="standardContextual"/>
        </w:rPr>
        <w:t>Table S 2 Title/abstract exclusions (n = 54)</w:t>
      </w:r>
    </w:p>
    <w:tbl>
      <w:tblPr>
        <w:tblW w:w="11466" w:type="dxa"/>
        <w:jc w:val="center"/>
        <w:tblLayout w:type="fixed"/>
        <w:tblLook w:val="04A0" w:firstRow="1" w:lastRow="0" w:firstColumn="1" w:lastColumn="0" w:noHBand="0" w:noVBand="1"/>
      </w:tblPr>
      <w:tblGrid>
        <w:gridCol w:w="4088"/>
        <w:gridCol w:w="914"/>
        <w:gridCol w:w="686"/>
        <w:gridCol w:w="1281"/>
        <w:gridCol w:w="1927"/>
        <w:gridCol w:w="2570"/>
      </w:tblGrid>
      <w:tr w:rsidR="00DC6047" w:rsidTr="00B246FB">
        <w:trPr>
          <w:jc w:val="center"/>
        </w:trPr>
        <w:tc>
          <w:tcPr>
            <w:tcW w:w="408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0CECE" w:themeFill="background2" w:themeFillShade="E6"/>
          </w:tcPr>
          <w:p w:rsidR="00DC6047" w:rsidRDefault="00DC6047" w:rsidP="00B246FB">
            <w:r>
              <w:rPr>
                <w:rFonts w:ascii="Arial Unicode MS" w:eastAsia="Arial Unicode MS" w:cs="Arial Unicode MS"/>
                <w:b/>
                <w:sz w:val="18"/>
              </w:rPr>
              <w:t>Title</w:t>
            </w:r>
          </w:p>
        </w:tc>
        <w:tc>
          <w:tcPr>
            <w:tcW w:w="91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0CECE" w:themeFill="background2" w:themeFillShade="E6"/>
          </w:tcPr>
          <w:p w:rsidR="00DC6047" w:rsidRDefault="00DC6047" w:rsidP="00B246FB">
            <w:r>
              <w:rPr>
                <w:rFonts w:ascii="Arial Unicode MS" w:eastAsia="Arial Unicode MS" w:cs="Arial Unicode MS"/>
                <w:b/>
                <w:sz w:val="18"/>
              </w:rPr>
              <w:t>First author</w:t>
            </w:r>
          </w:p>
        </w:tc>
        <w:tc>
          <w:tcPr>
            <w:tcW w:w="68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0CECE" w:themeFill="background2" w:themeFillShade="E6"/>
          </w:tcPr>
          <w:p w:rsidR="00DC6047" w:rsidRDefault="00DC6047" w:rsidP="00B246FB">
            <w:r>
              <w:rPr>
                <w:rFonts w:ascii="Arial Unicode MS" w:eastAsia="Arial Unicode MS" w:cs="Arial Unicode MS"/>
                <w:b/>
                <w:sz w:val="18"/>
              </w:rPr>
              <w:t>Year</w:t>
            </w:r>
          </w:p>
        </w:tc>
        <w:tc>
          <w:tcPr>
            <w:tcW w:w="128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0CECE" w:themeFill="background2" w:themeFillShade="E6"/>
          </w:tcPr>
          <w:p w:rsidR="00DC6047" w:rsidRDefault="00DC6047" w:rsidP="00B246FB">
            <w:r>
              <w:rPr>
                <w:rFonts w:ascii="Arial Unicode MS" w:eastAsia="Arial Unicode MS" w:cs="Arial Unicode MS"/>
                <w:b/>
                <w:sz w:val="18"/>
              </w:rPr>
              <w:t>Journal</w:t>
            </w:r>
          </w:p>
        </w:tc>
        <w:tc>
          <w:tcPr>
            <w:tcW w:w="192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0CECE" w:themeFill="background2" w:themeFillShade="E6"/>
          </w:tcPr>
          <w:p w:rsidR="00DC6047" w:rsidRDefault="00DC6047" w:rsidP="00B246FB">
            <w:r>
              <w:rPr>
                <w:rFonts w:ascii="Arial Unicode MS" w:eastAsia="Arial Unicode MS" w:cs="Arial Unicode MS"/>
                <w:b/>
                <w:sz w:val="18"/>
              </w:rPr>
              <w:t>Reason for exclusion</w:t>
            </w:r>
          </w:p>
        </w:tc>
        <w:tc>
          <w:tcPr>
            <w:tcW w:w="257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D0CECE" w:themeFill="background2" w:themeFillShade="E6"/>
          </w:tcPr>
          <w:p w:rsidR="00DC6047" w:rsidRDefault="00DC6047" w:rsidP="00B246FB">
            <w:r>
              <w:rPr>
                <w:rFonts w:ascii="Arial Unicode MS" w:eastAsia="Arial Unicode MS" w:cs="Arial Unicode MS"/>
                <w:b/>
                <w:sz w:val="18"/>
              </w:rPr>
              <w:t>DOI</w:t>
            </w:r>
          </w:p>
        </w:tc>
      </w:tr>
      <w:tr w:rsidR="00DC6047" w:rsidTr="00B246FB">
        <w:trPr>
          <w:trHeight w:val="1285"/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Development and validation of a machine learning model for central compartmental lymph node metastasis in solitary papillary thyroid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microcarcinoma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via ultrasound imaging features and clinical parameters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Han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BMC Medical Imaging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10.1186/s12880-025-01757-3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MRI-Based Prediction of Meniscal Tear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Repairability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Demonstrates Limited Accuracy and Reliability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Holland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Journal of Clinical Medicine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(diagnostic/staging;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orthopedics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10.3390/jcm14124160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Prediction of mucinous adenocarcinoma in colorectal cancer with mucinous components detected in preoperative biopsy diagnosis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Ling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Abdominal Radiology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10.1007/s00261-024-04743-5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Swarm learning network for privacy-preserving and collaborative deep learning assisted diagnosis of fracture: a multi-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center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diagnostic study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Xie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Frontiers in Medicine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10.3389/fmed.2025.1534117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AI-driven Characterization of Solid Pulmonary Nodules on CT Imaging for Enhanced Malignancy Prediction in Small-sized Lung Adenocarcinoma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Kudo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Clinical Lung Cancer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10.1016/j.cllc.2024.04.015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An [18F]FDG PET/3D-ultrashort echo time MRI-based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model established by machine learning facilitates preoperative assessment of lymph node status in non-small cell lung cancer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Meng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European Radiology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10.1007/s00330-023-09978-2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lastRenderedPageBreak/>
              <w:t>Preoperative assessment of</w:t>
            </w:r>
            <w:r>
              <w:rPr>
                <w:rFonts w:ascii="Arial Unicode MS" w:eastAsia="Arial Unicode MS" w:cs="Arial Unicode MS"/>
                <w:sz w:val="18"/>
              </w:rPr>
              <w:t> </w:t>
            </w:r>
            <w:r>
              <w:rPr>
                <w:rFonts w:ascii="Arial Unicode MS" w:eastAsia="Arial Unicode MS" w:cs="Arial Unicode MS"/>
                <w:sz w:val="18"/>
              </w:rPr>
              <w:t>lymph nodal metastases with</w:t>
            </w:r>
            <w:r>
              <w:rPr>
                <w:rFonts w:ascii="Arial Unicode MS" w:eastAsia="Arial Unicode MS" w:cs="Arial Unicode MS"/>
                <w:sz w:val="18"/>
              </w:rPr>
              <w:t> </w:t>
            </w:r>
            <w:r>
              <w:rPr>
                <w:rFonts w:ascii="Arial Unicode MS" w:eastAsia="Arial Unicode MS" w:cs="Arial Unicode MS"/>
                <w:sz w:val="18"/>
              </w:rPr>
              <w:t xml:space="preserve">[ 68Ga]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GaDOTATOC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PET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for</w:t>
            </w:r>
            <w:r>
              <w:rPr>
                <w:rFonts w:ascii="Arial Unicode MS" w:eastAsia="Arial Unicode MS" w:cs="Arial Unicode MS"/>
                <w:sz w:val="18"/>
              </w:rPr>
              <w:t> </w:t>
            </w:r>
            <w:r>
              <w:rPr>
                <w:rFonts w:ascii="Arial Unicode MS" w:eastAsia="Arial Unicode MS" w:cs="Arial Unicode MS"/>
                <w:sz w:val="18"/>
              </w:rPr>
              <w:t>improved surgical planning in</w:t>
            </w:r>
            <w:r>
              <w:rPr>
                <w:rFonts w:ascii="Arial Unicode MS" w:eastAsia="Arial Unicode MS" w:cs="Arial Unicode MS"/>
                <w:sz w:val="18"/>
              </w:rPr>
              <w:t> 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welldifferentiated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pancreatic neuroendocrine tumours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Mapelli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European Journal of Nuclear Medicine and Molecular Imaging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10.1007/s00259-024-06730-w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Three-Dimensional Lumbosacral Reconstruction by An Artificial Intelligence-Based Automated MR Image Segmentation for Selecting the Approach of Percutaneous Endoscopic Lumbar Discectomy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Zhu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Pain Physician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PMID: 38324790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“</w:t>
            </w:r>
            <w:r>
              <w:rPr>
                <w:rFonts w:ascii="Arial Unicode MS" w:eastAsia="Arial Unicode MS" w:cs="Arial Unicode MS"/>
                <w:sz w:val="18"/>
              </w:rPr>
              <w:t>Identifying complication risk factors in</w:t>
            </w:r>
            <w:r>
              <w:rPr>
                <w:rFonts w:ascii="Arial Unicode MS" w:eastAsia="Arial Unicode MS" w:cs="Arial Unicode MS"/>
                <w:sz w:val="18"/>
              </w:rPr>
              <w:t> </w:t>
            </w:r>
            <w:r>
              <w:rPr>
                <w:rFonts w:ascii="Arial Unicode MS" w:eastAsia="Arial Unicode MS" w:cs="Arial Unicode MS"/>
                <w:sz w:val="18"/>
              </w:rPr>
              <w:t xml:space="preserve">reduction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mammaplasty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: a</w:t>
            </w:r>
            <w:r>
              <w:rPr>
                <w:rFonts w:ascii="Arial Unicode MS" w:eastAsia="Arial Unicode MS" w:cs="Arial Unicode MS"/>
                <w:sz w:val="18"/>
              </w:rPr>
              <w:t> 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singlecenter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analysis of</w:t>
            </w:r>
            <w:r>
              <w:rPr>
                <w:rFonts w:ascii="Arial Unicode MS" w:eastAsia="Arial Unicode MS" w:cs="Arial Unicode MS"/>
                <w:sz w:val="18"/>
              </w:rPr>
              <w:t> </w:t>
            </w:r>
            <w:r>
              <w:rPr>
                <w:rFonts w:ascii="Arial Unicode MS" w:eastAsia="Arial Unicode MS" w:cs="Arial Unicode MS"/>
                <w:sz w:val="18"/>
              </w:rPr>
              <w:t>1021 patients applying machine learning methods</w:t>
            </w:r>
            <w:r>
              <w:rPr>
                <w:rFonts w:ascii="Arial Unicode MS" w:eastAsia="Arial Unicode MS" w:cs="Arial Unicode MS"/>
                <w:sz w:val="18"/>
              </w:rPr>
              <w:t>”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Mahrhofer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Updates in Surgery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 AI-CDSS (non-AI CDSS or biomarker-only)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10.1007/s13304-024-01980-7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Machine learning model for preoperative assessment of ultrasound diathermy with implants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Hsu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2023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International Journal of Thermal Sciences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Pediatric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non-human </w:t>
            </w:r>
            <w:r>
              <w:rPr>
                <w:rFonts w:ascii="Arial Unicode MS" w:eastAsia="Arial Unicode MS" w:cs="Arial Unicode MS"/>
                <w:sz w:val="18"/>
              </w:rPr>
              <w:t>—</w:t>
            </w:r>
            <w:r>
              <w:rPr>
                <w:rFonts w:ascii="Arial Unicode MS" w:eastAsia="Arial Unicode MS" w:cs="Arial Unicode MS"/>
                <w:sz w:val="18"/>
              </w:rPr>
              <w:t xml:space="preserve"> Non-human / lab-only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10.1016/j.ijthermalsci.2023.108499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Using Machine Learning Methods to Assess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Lymphovascular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Invasion and Survival in Breast Cancer: Performance of Combining Preoperative Clinical and MRI Characteristics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Xu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2023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Journal of Magnetic Resonance Imaging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10.1002/jmri.28647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Predictive model for the preoperative assessment and prognostic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modeling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of lymph node metastasis in endometrial cancer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Asami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2022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Scientific Reports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10.1038/s41598-022-23252-3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Real-time 3D echocardiographic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transilluminated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imaging combined with artificially intelligent left atrial appendage measurement for atrial fibrillation interventional procedures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Sun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2022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Frontiers in Physiology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10.3389/fphys.2022.1043551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Quantification of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Intratumoral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Heterogeneity Based on Habitat Analysis for Preoperative </w:t>
            </w:r>
            <w:r>
              <w:rPr>
                <w:rFonts w:ascii="Arial Unicode MS" w:eastAsia="Arial Unicode MS" w:cs="Arial Unicode MS"/>
                <w:sz w:val="18"/>
              </w:rPr>
              <w:lastRenderedPageBreak/>
              <w:t xml:space="preserve">Assessment of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Lymphovascular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Invasion in Colorectal Cancer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lastRenderedPageBreak/>
              <w:t>Su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Academic Radiology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lastRenderedPageBreak/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lastRenderedPageBreak/>
              <w:t>10.1016/j.acra.2025.03.014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High-risk habitat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model based on ultrasound images for predicting lateral neck lymph node metastasis in differentiated thyroid cancer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Liu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BMC Medical Imaging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10.1186/s12880-025-01551-1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CTBased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Intratumoral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and</w:t>
            </w:r>
            <w:r>
              <w:rPr>
                <w:rFonts w:ascii="Arial Unicode MS" w:eastAsia="Arial Unicode MS" w:cs="Arial Unicode MS"/>
                <w:sz w:val="18"/>
              </w:rPr>
              <w:t> 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Peritumoral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Nomograms for</w:t>
            </w:r>
            <w:r>
              <w:rPr>
                <w:rFonts w:ascii="Arial Unicode MS" w:eastAsia="Arial Unicode MS" w:cs="Arial Unicode MS"/>
                <w:sz w:val="18"/>
              </w:rPr>
              <w:t> </w:t>
            </w:r>
            <w:r>
              <w:rPr>
                <w:rFonts w:ascii="Arial Unicode MS" w:eastAsia="Arial Unicode MS" w:cs="Arial Unicode MS"/>
                <w:sz w:val="18"/>
              </w:rPr>
              <w:t>the</w:t>
            </w:r>
            <w:r>
              <w:rPr>
                <w:rFonts w:ascii="Arial Unicode MS" w:eastAsia="Arial Unicode MS" w:cs="Arial Unicode MS"/>
                <w:sz w:val="18"/>
              </w:rPr>
              <w:t> </w:t>
            </w:r>
            <w:r>
              <w:rPr>
                <w:rFonts w:ascii="Arial Unicode MS" w:eastAsia="Arial Unicode MS" w:cs="Arial Unicode MS"/>
                <w:sz w:val="18"/>
              </w:rPr>
              <w:t>Preoperative Prediction of</w:t>
            </w:r>
            <w:r>
              <w:rPr>
                <w:rFonts w:ascii="Arial Unicode MS" w:eastAsia="Arial Unicode MS" w:cs="Arial Unicode MS"/>
                <w:sz w:val="18"/>
              </w:rPr>
              <w:t> </w:t>
            </w:r>
            <w:r>
              <w:rPr>
                <w:rFonts w:ascii="Arial Unicode MS" w:eastAsia="Arial Unicode MS" w:cs="Arial Unicode MS"/>
                <w:sz w:val="18"/>
              </w:rPr>
              <w:t>Spread Through Air Spaces in</w:t>
            </w:r>
            <w:r>
              <w:rPr>
                <w:rFonts w:ascii="Arial Unicode MS" w:eastAsia="Arial Unicode MS" w:cs="Arial Unicode MS"/>
                <w:sz w:val="18"/>
              </w:rPr>
              <w:t> </w:t>
            </w:r>
            <w:r>
              <w:rPr>
                <w:rFonts w:ascii="Arial Unicode MS" w:eastAsia="Arial Unicode MS" w:cs="Arial Unicode MS"/>
                <w:sz w:val="18"/>
              </w:rPr>
              <w:t xml:space="preserve">Clinical Stage IA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Nonsmall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Cell Lung Cancer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Wang Y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Journal of Imaging Informatics in Medicine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10.1007/s10278-023-00939-1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Machine learning-based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for guiding lymph node dissection in clinical stage I lung adenocarcinoma: a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multicenter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retrospective study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Zhang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Translational Lung Cancer Research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10.21037/tlcr-24-668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Noninvasive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Staging of Lymph Node Status in Breast Cancer Using Machine Learning: External Validation and Further Model Development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Hj</w:t>
            </w:r>
            <w:r>
              <w:rPr>
                <w:rFonts w:ascii="Arial Unicode MS" w:eastAsia="Arial Unicode MS" w:cs="Arial Unicode MS"/>
                <w:sz w:val="18"/>
              </w:rPr>
              <w:t>ä</w:t>
            </w:r>
            <w:r>
              <w:rPr>
                <w:rFonts w:ascii="Arial Unicode MS" w:eastAsia="Arial Unicode MS" w:cs="Arial Unicode MS"/>
                <w:sz w:val="18"/>
              </w:rPr>
              <w:t>rtstr</w:t>
            </w:r>
            <w:r>
              <w:rPr>
                <w:rFonts w:ascii="Arial Unicode MS" w:eastAsia="Arial Unicode MS" w:cs="Arial Unicode MS"/>
                <w:sz w:val="18"/>
              </w:rPr>
              <w:t>ö</w:t>
            </w:r>
            <w:r>
              <w:rPr>
                <w:rFonts w:ascii="Arial Unicode MS" w:eastAsia="Arial Unicode MS" w:cs="Arial Unicode MS"/>
                <w:sz w:val="18"/>
              </w:rPr>
              <w:t>m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2023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JMIR Cancer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10.2196/46474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Prediction of lymph node status in patients with early-stage cervical cancer based on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features of magnetic resonance imaging (MRI) images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Liu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2023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BMC Medical Imaging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(diagnostic/staging;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gynecologic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10.1186/s12880-023-01059-6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Application of the concept of precision obesity metabolic surgery in laparoscopic Roux-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en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-Y gastric bypass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Yang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2022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Zhonghua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wei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chang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wai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ke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za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zhi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 </w:t>
            </w:r>
            <w:r>
              <w:rPr>
                <w:rFonts w:ascii="Arial Unicode MS" w:eastAsia="Arial Unicode MS" w:cs="Arial Unicode MS"/>
                <w:sz w:val="18"/>
              </w:rPr>
              <w:t>=</w:t>
            </w:r>
            <w:r>
              <w:rPr>
                <w:rFonts w:ascii="Arial Unicode MS" w:eastAsia="Arial Unicode MS" w:cs="Arial Unicode MS"/>
                <w:sz w:val="18"/>
              </w:rPr>
              <w:t> </w:t>
            </w:r>
            <w:r>
              <w:rPr>
                <w:rFonts w:ascii="Arial Unicode MS" w:eastAsia="Arial Unicode MS" w:cs="Arial Unicode MS"/>
                <w:sz w:val="18"/>
              </w:rPr>
              <w:t>Chinese journal of gastrointestinal surgery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 AI-CDSS (non-AI CDSS or biomarker-only)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10.3760/cma.j.cn441530-20220717-00317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Assessment of melanoma thickness based on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dermoscopy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images: an open, web-based, international, diagnostic study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Polesie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2022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Journal of the European Academy of Dermatology </w:t>
            </w:r>
            <w:r>
              <w:rPr>
                <w:rFonts w:ascii="Arial Unicode MS" w:eastAsia="Arial Unicode MS" w:cs="Arial Unicode MS"/>
                <w:sz w:val="18"/>
              </w:rPr>
              <w:lastRenderedPageBreak/>
              <w:t>and Venereology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lastRenderedPageBreak/>
              <w:t>Not PAT context (diagnostic/staging; dermatology imaging)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10.1111/jdv.18436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Artificial intelligence-based incisive canal visualization for preventing and detecting post-implant injury, using cone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Jindanil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International Journal of Oral and Maxillofacial Surgery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10.1016/j.ijom.2025.03.002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A Machine Learning-Based Model for Preoperative Assessment and Malignancy Prediction in Patients with Atypia of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Undeterm</w:t>
            </w:r>
            <w:proofErr w:type="spellEnd"/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Moon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Journal of Clinical Medicine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10.3390/jcm13247769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Hyperspectral imaging with machine learning for in vivo skin carcinoma margin assessment: a preliminary study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Parasca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Physical and Engineering Sciences in Medicine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dermatology imaging)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10.1007/s13246-024-01435-8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Prediction of final pathology depending on preoperative myometrial invasion and grade assessment in low-risk endometrial cancer patients: A Korean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Gynecologic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Oncology Group ancillary study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Jang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PLoS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ONE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(diagnostic/staging;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gynecologic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10.1371/journal.pone.0305360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Preoperative assessment of grade, T stage, and lymph node involvement: machine learning-based CT texture analysis in colon cancer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B</w:t>
            </w:r>
            <w:r>
              <w:rPr>
                <w:rFonts w:ascii="Arial Unicode MS" w:eastAsia="Arial Unicode MS" w:cs="Arial Unicode MS"/>
                <w:sz w:val="18"/>
              </w:rPr>
              <w:t>ü</w:t>
            </w:r>
            <w:r>
              <w:rPr>
                <w:rFonts w:ascii="Arial Unicode MS" w:eastAsia="Arial Unicode MS" w:cs="Arial Unicode MS"/>
                <w:sz w:val="18"/>
              </w:rPr>
              <w:t>lb</w:t>
            </w:r>
            <w:r>
              <w:rPr>
                <w:rFonts w:ascii="Arial Unicode MS" w:eastAsia="Arial Unicode MS" w:cs="Arial Unicode MS"/>
                <w:sz w:val="18"/>
              </w:rPr>
              <w:t>ü</w:t>
            </w:r>
            <w:r>
              <w:rPr>
                <w:rFonts w:ascii="Arial Unicode MS" w:eastAsia="Arial Unicode MS" w:cs="Arial Unicode MS"/>
                <w:sz w:val="18"/>
              </w:rPr>
              <w:t>l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Japanese Journal of Radiology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colorectal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10.1007/s11604-023-01502-2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Deep Learning Artificial Intelligence Tool for Automated Radiographic Determination of Posterior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Tibial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Slope in Patients With ACL Injury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Lu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2023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Orthopaedic Journal of Sports Medicine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(diagnostic/staging;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orthopedics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10.1177/23259671231215820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CT-based deep learning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signature for the preoperative prediction of the muscle-invasive status of bladder cancer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Chen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2022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Frontiers in Oncology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urologic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10.3389/fonc.2022.1019749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Outcomes of Artificial Intelligence Volumetric Assessment of Kidneys and Renal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Tumors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for </w:t>
            </w:r>
            <w:r>
              <w:rPr>
                <w:rFonts w:ascii="Arial Unicode MS" w:eastAsia="Arial Unicode MS" w:cs="Arial Unicode MS"/>
                <w:sz w:val="18"/>
              </w:rPr>
              <w:lastRenderedPageBreak/>
              <w:t>Preoperative Assessment of Nephron-Sparing Interventions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lastRenderedPageBreak/>
              <w:t>Houshyar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2021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Journal of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Endourology</w:t>
            </w:r>
            <w:proofErr w:type="spellEnd"/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(diagnostic/staging; </w:t>
            </w:r>
            <w:r>
              <w:rPr>
                <w:rFonts w:ascii="Arial Unicode MS" w:eastAsia="Arial Unicode MS" w:cs="Arial Unicode MS"/>
                <w:sz w:val="18"/>
              </w:rPr>
              <w:lastRenderedPageBreak/>
              <w:t>urologic surgery planning)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lastRenderedPageBreak/>
              <w:t>10.1089/end.2020.1125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Machine learning models for prediction of NPVR</w:t>
            </w:r>
            <w:r>
              <w:rPr>
                <w:rFonts w:ascii="Arial Unicode MS" w:eastAsia="Arial Unicode MS" w:cs="Arial Unicode MS"/>
                <w:sz w:val="18"/>
              </w:rPr>
              <w:t> ≥ </w:t>
            </w:r>
            <w:r>
              <w:rPr>
                <w:rFonts w:ascii="Arial Unicode MS" w:eastAsia="Arial Unicode MS" w:cs="Arial Unicode MS"/>
                <w:sz w:val="18"/>
              </w:rPr>
              <w:t>80% with HIFU ablation for uterine fibroids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Yang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International Journal of Hyperthermia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(diagnostic/therapeutic response;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gynecology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10.1080/02656736.2025.2473754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MRI-Based Machine Learning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for Preoperative Assessment of Human Epidermal Growth Factor Receptor 2 Status in Urothelial Bladder Carcinoma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Yu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Journal of Magnetic Resonance Imaging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urologic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10.1002/jmri.29342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Conventional and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features to predict pathology in the preoperative assessment of anterior mediastinal masses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Mayoral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2023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Lung Cancer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thoracic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10.1016/j.lungcan.2023.02.014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Multimodal MRI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enhances epilepsy prediction in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pediatric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low-grade glioma patients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Tang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Journal of Neuro-Oncology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Pediatric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non-human </w:t>
            </w:r>
            <w:r>
              <w:rPr>
                <w:rFonts w:ascii="Arial Unicode MS" w:eastAsia="Arial Unicode MS" w:cs="Arial Unicode MS"/>
                <w:sz w:val="18"/>
              </w:rPr>
              <w:t>—</w:t>
            </w:r>
            <w:r>
              <w:rPr>
                <w:rFonts w:ascii="Arial Unicode MS" w:eastAsia="Arial Unicode MS" w:cs="Arial Unicode MS"/>
                <w:sz w:val="18"/>
              </w:rPr>
              <w:t xml:space="preserve">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Pediatric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cohort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10.1007/s11060-025-05073-2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Development and validation of a clinic machine-learning nomogram for the prediction of risk stratifications of prostate cancer based on functional subsets of peripheral lymphocyte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Yang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2023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Journal of Translational Medicine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urologic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10.1186/s12967-023-04318-w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AI-based multimodal prediction of lymph node metastasis and capsular invasion in cT1N0M0 papillary thyroid carcinoma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Peng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Front.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Endocrinol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.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thyroid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10.3389/fendo.2025.1580885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Development and Validation of the Relational Tissue Altered (RTA) Index: Applied Artificial Intelligence for the Assessment of Structural Impact from Laser Vision Correction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Machado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Ophthalmology and Therapy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ophthalmology)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10.1007/s40123-025-01206-y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Development and validation of a machine-learning model for preoperative risk of gastric gastrointestinal stromal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tumors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.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Liang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Journal of gastrointestinal surgery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surgical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10.1016/j.gassur.2024.10.019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Expert-guided StyleGAN2 image generation elevates AI diagnostic accuracy for maxillary sinus lesions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Zeng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Communications Medicine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(diagnostic/staging; </w:t>
            </w:r>
            <w:r>
              <w:rPr>
                <w:rFonts w:ascii="Arial Unicode MS" w:eastAsia="Arial Unicode MS" w:cs="Arial Unicode MS"/>
                <w:sz w:val="18"/>
              </w:rPr>
              <w:lastRenderedPageBreak/>
              <w:t>maxillofacial imaging)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lastRenderedPageBreak/>
              <w:t>10.1038/s43856-025-00907-6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Preoperative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hemorrhagic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risk stratification in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pediatric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moyamoya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disease: a multi-institutional propensity score-matched analysis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Guo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Int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J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Surg</w:t>
            </w:r>
            <w:proofErr w:type="spellEnd"/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Pediatric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non-human </w:t>
            </w:r>
            <w:r>
              <w:rPr>
                <w:rFonts w:ascii="Arial Unicode MS" w:eastAsia="Arial Unicode MS" w:cs="Arial Unicode MS"/>
                <w:sz w:val="18"/>
              </w:rPr>
              <w:t>—</w:t>
            </w:r>
            <w:r>
              <w:rPr>
                <w:rFonts w:ascii="Arial Unicode MS" w:eastAsia="Arial Unicode MS" w:cs="Arial Unicode MS"/>
                <w:sz w:val="18"/>
              </w:rPr>
              <w:t xml:space="preserve">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Pediatric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cohort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10.1097/JS9.0000000000002677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A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-based nomogram for preoperative T staging prediction of rectal cancer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Lin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2021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Abdominal Radiology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or non-PAT task)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10.1007/s00261-021-03137-1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Quantification of physiological crystalline Lens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decentration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using swept source OCT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Laubichler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European Journal of Ophthalmology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ophthalmology)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10.1177/11206721251332759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Analysis and Liquid Biopsy in Preoperative CT of NSCLC: An Explorative Experience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Belfiore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Thoracic Cancer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thoracic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10.1111/1759-7714.70115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The Performance of Artificial Intelligence in One Anastomosis Gastric Bypass Surgery: Comparative Efficacy of ChatGPT-4.0,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ChatGPT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-Omni, and Gemini AI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Aksoy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E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2025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Obesity surgery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(non-PAT task; LLM evaluation)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10.1007/s11695-025-07794-9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MR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to predict microvascular invasion status and biological process in combined hepatocellular carcinoma-cholangiocarcinoma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Xiao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Insights Imaging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hepatic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10.1186/s13244-024-01741-5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Magnetic resonance imaging-based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model for preoperative assessment of risk stratification in endometrial cancer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Wei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World J.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Clin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. Cases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(diagnostic/staging;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gynecologic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10.12998/wjcc.v12.i26.5908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Preoperative assessment of tertiary lymphoid structures in stage I lung adenocarcinoma using CT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: a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multicenter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retrospective cohort study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Zhao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Cancer Imaging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Not PAT context (diagnostic/staging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10.1186/s40644-024-00813-5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lastRenderedPageBreak/>
              <w:t xml:space="preserve">Clinical utility of preoperative pan-immune-inflammation value (PIV) for prognostication in patients with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esophageal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squamous cell carcinoma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Feng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2023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Int.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Immunopharmacol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.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 AI/CDSS</w:t>
            </w:r>
            <w:r>
              <w:rPr>
                <w:rFonts w:ascii="Arial Unicode MS" w:eastAsia="Arial Unicode MS" w:cs="Arial Unicode MS"/>
                <w:sz w:val="18"/>
              </w:rPr>
              <w:t>—</w:t>
            </w:r>
            <w:r>
              <w:rPr>
                <w:rFonts w:ascii="Arial Unicode MS" w:eastAsia="Arial Unicode MS" w:cs="Arial Unicode MS"/>
                <w:sz w:val="18"/>
              </w:rPr>
              <w:t>biomarker-based prognostication; no decision-support model.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10.1016/j.intimp.2023.110805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Morphometric analysis of dry atlas vertebrae in a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northeastern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Thai population and possible correlation with sex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Poodendan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2023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Surgical and Radiologic Anatomy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(anatomical/morphometry; non-clinical)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10.1007/s00276-022-03076-6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Multiomics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approach for patient stratification and novel target identification in metastatic clear cell renal carcinoma (Meet-URO 31).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Stellato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2024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Journal of Clinical Oncology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Trial registration / protocol (no results)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10.1200/JCO.2024.42.4_suppl.TPS498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model based on shear-wave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elastography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in the assessment of axillary lymph node status in early-stage breast cancer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Jiang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2022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Eur.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Radiol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.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breast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10.1007/s00330-021-08330-w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Factors predictive of 90-day mortality after surgical resection for oral cavity cancer: Development of a recursive partitioning analysis for risk stratification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Shinde</w:t>
            </w:r>
            <w:proofErr w:type="spellEnd"/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2021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Head Neck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(postoperative outcomes/risk; head &amp; neck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10.1002/hed.26740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Integrating Optimized Multiscale Entropy Model with Machine Learning for the Localization of Epileptogenic Hemisphere in Temporal Lobe Epilepsy Using Resting-State fMRI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Fu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2021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Journal of Healthcare Engineering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(diagnostic/localization; neurology)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10.1155/2021/1834123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Quantitative Prediction of Microsatellite Instability in Colorectal Cancer With Preoperative PET/CT-Based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Li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2021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Front.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Oncol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.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colorectal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10.3389/fonc.2021.702055</w:t>
            </w:r>
          </w:p>
        </w:tc>
      </w:tr>
      <w:tr w:rsidR="00DC6047" w:rsidTr="00B246FB">
        <w:trPr>
          <w:jc w:val="center"/>
        </w:trPr>
        <w:tc>
          <w:tcPr>
            <w:tcW w:w="4088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 xml:space="preserve">Contrast-enhanced CT 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for preoperative evaluation of microvascular invasion in hepatocellular carcinoma: A two-</w:t>
            </w:r>
            <w:proofErr w:type="spellStart"/>
            <w:r>
              <w:rPr>
                <w:rFonts w:ascii="Arial Unicode MS" w:eastAsia="Arial Unicode MS" w:cs="Arial Unicode MS"/>
                <w:sz w:val="18"/>
              </w:rPr>
              <w:t>center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 xml:space="preserve"> study</w:t>
            </w:r>
          </w:p>
        </w:tc>
        <w:tc>
          <w:tcPr>
            <w:tcW w:w="914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Zhang</w:t>
            </w:r>
          </w:p>
        </w:tc>
        <w:tc>
          <w:tcPr>
            <w:tcW w:w="686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2020</w:t>
            </w:r>
          </w:p>
        </w:tc>
        <w:tc>
          <w:tcPr>
            <w:tcW w:w="1281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18"/>
              </w:rPr>
              <w:t>Clin</w:t>
            </w:r>
            <w:proofErr w:type="spellEnd"/>
            <w:r>
              <w:rPr>
                <w:rFonts w:ascii="Arial Unicode MS" w:eastAsia="Arial Unicode MS" w:cs="Arial Unicode MS"/>
                <w:sz w:val="18"/>
              </w:rPr>
              <w:t>. Transl. Med.</w:t>
            </w:r>
          </w:p>
        </w:tc>
        <w:tc>
          <w:tcPr>
            <w:tcW w:w="1927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Not PAT context (diagnostic/staging; hepatic oncology)</w:t>
            </w:r>
          </w:p>
        </w:tc>
        <w:tc>
          <w:tcPr>
            <w:tcW w:w="2570" w:type="dxa"/>
            <w:tcBorders>
              <w:top w:val="single" w:sz="4" w:space="0" w:color="888888"/>
              <w:left w:val="nil"/>
              <w:bottom w:val="single" w:sz="4" w:space="0" w:color="888888"/>
              <w:right w:val="nil"/>
            </w:tcBorders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18"/>
              </w:rPr>
              <w:t>10.1002/ctm2.111</w:t>
            </w:r>
          </w:p>
        </w:tc>
      </w:tr>
    </w:tbl>
    <w:p w:rsidR="00DC6047" w:rsidRDefault="00DC6047" w:rsidP="00DC6047">
      <w:pPr>
        <w:keepNext/>
        <w:rPr>
          <w:rFonts w:ascii="Arial Unicode MS" w:hAnsi="Arial Unicode MS" w:cs="Arial Unicode MS"/>
          <w:i/>
          <w:iCs/>
          <w:sz w:val="18"/>
          <w:szCs w:val="18"/>
        </w:rPr>
      </w:pPr>
      <w:r>
        <w:rPr>
          <w:rFonts w:ascii="Arial Unicode MS" w:eastAsia="Arial Unicode MS" w:cs="Arial Unicode MS"/>
          <w:i/>
          <w:iCs/>
          <w:sz w:val="18"/>
          <w:szCs w:val="18"/>
        </w:rPr>
        <w:lastRenderedPageBreak/>
        <w:t>Title/abstract screening exclusions (total n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 xml:space="preserve">54). Counts derive from </w:t>
      </w:r>
      <w:proofErr w:type="spellStart"/>
      <w:r>
        <w:rPr>
          <w:rFonts w:ascii="Arial Unicode MS" w:eastAsia="Arial Unicode MS" w:cs="Arial Unicode MS"/>
          <w:i/>
          <w:iCs/>
          <w:sz w:val="18"/>
          <w:szCs w:val="18"/>
        </w:rPr>
        <w:t>Rayyan</w:t>
      </w:r>
      <w:proofErr w:type="spellEnd"/>
      <w:r>
        <w:rPr>
          <w:rFonts w:ascii="Arial Unicode MS" w:eastAsia="Arial Unicode MS" w:cs="Arial Unicode MS"/>
          <w:i/>
          <w:iCs/>
          <w:sz w:val="18"/>
          <w:szCs w:val="18"/>
        </w:rPr>
        <w:t xml:space="preserve"> reviewer decisions after deduplication. Category totals sum to 54.</w:t>
      </w:r>
    </w:p>
    <w:p w:rsidR="00DC6047" w:rsidRDefault="00DC6047" w:rsidP="00DC6047">
      <w:pPr>
        <w:keepNext/>
        <w:spacing w:after="200"/>
      </w:pPr>
      <w:r>
        <w:rPr>
          <w:i/>
          <w:iCs/>
          <w:color w:val="44546A" w:themeColor="text2"/>
          <w:kern w:val="2"/>
          <w:sz w:val="18"/>
          <w:szCs w:val="18"/>
          <w:lang w:val="en-US"/>
          <w14:ligatures w14:val="standardContextual"/>
        </w:rPr>
        <w:t>Table S 3 AMSTAR-2 appraisal for reviews</w:t>
      </w:r>
    </w:p>
    <w:tbl>
      <w:tblPr>
        <w:tblW w:w="11268" w:type="dxa"/>
        <w:jc w:val="center"/>
        <w:tblLayout w:type="fixed"/>
        <w:tblLook w:val="04A0" w:firstRow="1" w:lastRow="0" w:firstColumn="1" w:lastColumn="0" w:noHBand="0" w:noVBand="1"/>
      </w:tblPr>
      <w:tblGrid>
        <w:gridCol w:w="516"/>
        <w:gridCol w:w="950"/>
        <w:gridCol w:w="1181"/>
        <w:gridCol w:w="1072"/>
        <w:gridCol w:w="1039"/>
        <w:gridCol w:w="1550"/>
        <w:gridCol w:w="939"/>
        <w:gridCol w:w="939"/>
        <w:gridCol w:w="1264"/>
        <w:gridCol w:w="1818"/>
      </w:tblGrid>
      <w:tr w:rsidR="00DC6047" w:rsidTr="00B246FB">
        <w:trPr>
          <w:trHeight w:val="638"/>
          <w:jc w:val="center"/>
        </w:trPr>
        <w:tc>
          <w:tcPr>
            <w:tcW w:w="516" w:type="dxa"/>
            <w:tcBorders>
              <w:top w:val="single" w:sz="12" w:space="0" w:color="auto"/>
            </w:tcBorders>
            <w:shd w:val="clear" w:color="auto" w:fill="D0CECE" w:themeFill="background2" w:themeFillShade="E6"/>
          </w:tcPr>
          <w:p w:rsidR="00DC6047" w:rsidRDefault="00DC6047" w:rsidP="00B246FB">
            <w:pPr>
              <w:spacing w:after="200" w:line="276" w:lineRule="auto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b/>
                <w:sz w:val="20"/>
              </w:rPr>
              <w:t>Ref #</w:t>
            </w:r>
          </w:p>
        </w:tc>
        <w:tc>
          <w:tcPr>
            <w:tcW w:w="950" w:type="dxa"/>
            <w:tcBorders>
              <w:top w:val="single" w:sz="12" w:space="0" w:color="auto"/>
            </w:tcBorders>
            <w:shd w:val="clear" w:color="auto" w:fill="D0CECE" w:themeFill="background2" w:themeFillShade="E6"/>
          </w:tcPr>
          <w:p w:rsidR="00DC6047" w:rsidRDefault="00DC6047" w:rsidP="00B246FB">
            <w:pPr>
              <w:spacing w:after="200" w:line="276" w:lineRule="auto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b/>
                <w:sz w:val="20"/>
              </w:rPr>
              <w:t>First author (Year)</w:t>
            </w:r>
          </w:p>
        </w:tc>
        <w:tc>
          <w:tcPr>
            <w:tcW w:w="1181" w:type="dxa"/>
            <w:tcBorders>
              <w:top w:val="single" w:sz="12" w:space="0" w:color="auto"/>
            </w:tcBorders>
            <w:shd w:val="clear" w:color="auto" w:fill="D0CECE" w:themeFill="background2" w:themeFillShade="E6"/>
          </w:tcPr>
          <w:p w:rsidR="00DC6047" w:rsidRDefault="00DC6047" w:rsidP="00B246FB">
            <w:pPr>
              <w:spacing w:after="200" w:line="276" w:lineRule="auto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b/>
                <w:sz w:val="20"/>
              </w:rPr>
              <w:t>AMSTAR-2 overall</w:t>
            </w:r>
          </w:p>
        </w:tc>
        <w:tc>
          <w:tcPr>
            <w:tcW w:w="1072" w:type="dxa"/>
            <w:tcBorders>
              <w:top w:val="single" w:sz="12" w:space="0" w:color="auto"/>
            </w:tcBorders>
            <w:shd w:val="clear" w:color="auto" w:fill="D0CECE" w:themeFill="background2" w:themeFillShade="E6"/>
          </w:tcPr>
          <w:p w:rsidR="00DC6047" w:rsidRDefault="00DC6047" w:rsidP="00B246FB">
            <w:pPr>
              <w:spacing w:after="200" w:line="276" w:lineRule="auto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b/>
                <w:sz w:val="20"/>
              </w:rPr>
              <w:t>Protocol registered</w:t>
            </w:r>
          </w:p>
        </w:tc>
        <w:tc>
          <w:tcPr>
            <w:tcW w:w="1039" w:type="dxa"/>
            <w:tcBorders>
              <w:top w:val="single" w:sz="12" w:space="0" w:color="auto"/>
            </w:tcBorders>
            <w:shd w:val="clear" w:color="auto" w:fill="D0CECE" w:themeFill="background2" w:themeFillShade="E6"/>
          </w:tcPr>
          <w:p w:rsidR="00DC6047" w:rsidRDefault="00DC6047" w:rsidP="00B246FB">
            <w:pPr>
              <w:spacing w:after="200" w:line="276" w:lineRule="auto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b/>
                <w:sz w:val="20"/>
              </w:rPr>
              <w:t>Duplicate selection</w:t>
            </w:r>
          </w:p>
        </w:tc>
        <w:tc>
          <w:tcPr>
            <w:tcW w:w="1550" w:type="dxa"/>
            <w:tcBorders>
              <w:top w:val="single" w:sz="12" w:space="0" w:color="auto"/>
            </w:tcBorders>
            <w:shd w:val="clear" w:color="auto" w:fill="D0CECE" w:themeFill="background2" w:themeFillShade="E6"/>
          </w:tcPr>
          <w:p w:rsidR="00DC6047" w:rsidRDefault="00DC6047" w:rsidP="00B246FB">
            <w:pPr>
              <w:spacing w:after="200" w:line="276" w:lineRule="auto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b/>
                <w:sz w:val="20"/>
              </w:rPr>
              <w:t>Comprehensive search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shd w:val="clear" w:color="auto" w:fill="D0CECE" w:themeFill="background2" w:themeFillShade="E6"/>
          </w:tcPr>
          <w:p w:rsidR="00DC6047" w:rsidRDefault="00DC6047" w:rsidP="00B246FB">
            <w:pPr>
              <w:spacing w:after="200" w:line="276" w:lineRule="auto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b/>
                <w:sz w:val="20"/>
              </w:rPr>
              <w:t>ROB methods</w:t>
            </w:r>
          </w:p>
        </w:tc>
        <w:tc>
          <w:tcPr>
            <w:tcW w:w="939" w:type="dxa"/>
            <w:tcBorders>
              <w:top w:val="single" w:sz="12" w:space="0" w:color="auto"/>
            </w:tcBorders>
            <w:shd w:val="clear" w:color="auto" w:fill="D0CECE" w:themeFill="background2" w:themeFillShade="E6"/>
          </w:tcPr>
          <w:p w:rsidR="00DC6047" w:rsidRDefault="00DC6047" w:rsidP="00B246FB">
            <w:pPr>
              <w:spacing w:after="200" w:line="276" w:lineRule="auto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b/>
                <w:sz w:val="20"/>
              </w:rPr>
              <w:t>Meta-analysis methods</w:t>
            </w:r>
          </w:p>
        </w:tc>
        <w:tc>
          <w:tcPr>
            <w:tcW w:w="1264" w:type="dxa"/>
            <w:tcBorders>
              <w:top w:val="single" w:sz="12" w:space="0" w:color="auto"/>
            </w:tcBorders>
            <w:shd w:val="clear" w:color="auto" w:fill="D0CECE" w:themeFill="background2" w:themeFillShade="E6"/>
          </w:tcPr>
          <w:p w:rsidR="00DC6047" w:rsidRDefault="00DC6047" w:rsidP="00B246FB">
            <w:pPr>
              <w:spacing w:after="200" w:line="276" w:lineRule="auto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b/>
                <w:sz w:val="20"/>
              </w:rPr>
              <w:t>Publication bias</w:t>
            </w:r>
          </w:p>
        </w:tc>
        <w:tc>
          <w:tcPr>
            <w:tcW w:w="1818" w:type="dxa"/>
            <w:tcBorders>
              <w:top w:val="single" w:sz="12" w:space="0" w:color="auto"/>
            </w:tcBorders>
            <w:shd w:val="clear" w:color="auto" w:fill="D0CECE" w:themeFill="background2" w:themeFillShade="E6"/>
          </w:tcPr>
          <w:p w:rsidR="00DC6047" w:rsidRDefault="00DC6047" w:rsidP="00B246FB">
            <w:pPr>
              <w:spacing w:after="200" w:line="276" w:lineRule="auto"/>
              <w:jc w:val="center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b/>
                <w:sz w:val="20"/>
              </w:rPr>
              <w:t>Notes</w:t>
            </w:r>
          </w:p>
        </w:tc>
      </w:tr>
      <w:tr w:rsidR="00DC6047" w:rsidTr="00B246FB">
        <w:trPr>
          <w:jc w:val="center"/>
        </w:trPr>
        <w:tc>
          <w:tcPr>
            <w:tcW w:w="516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10</w:t>
            </w:r>
          </w:p>
        </w:tc>
        <w:tc>
          <w:tcPr>
            <w:tcW w:w="950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sz w:val="20"/>
              </w:rPr>
              <w:t>Buchlak</w:t>
            </w:r>
            <w:proofErr w:type="spellEnd"/>
            <w:r>
              <w:rPr>
                <w:rFonts w:ascii="Arial Unicode MS" w:eastAsia="Arial Unicode MS" w:hAnsi="Times New Roman" w:cs="Arial Unicode MS"/>
                <w:sz w:val="20"/>
              </w:rPr>
              <w:t xml:space="preserve"> (2020)</w:t>
            </w:r>
          </w:p>
        </w:tc>
        <w:tc>
          <w:tcPr>
            <w:tcW w:w="1181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Critically low confidence</w:t>
            </w: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yes</w:t>
            </w:r>
          </w:p>
        </w:tc>
        <w:tc>
          <w:tcPr>
            <w:tcW w:w="10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1550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yes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NA</w:t>
            </w:r>
          </w:p>
        </w:tc>
        <w:tc>
          <w:tcPr>
            <w:tcW w:w="1264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NA</w:t>
            </w:r>
          </w:p>
        </w:tc>
        <w:tc>
          <w:tcPr>
            <w:tcW w:w="1818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 registered protocol; study selection not done independently in duplicate; data extraction in duplicate not reported (</w:t>
            </w:r>
            <w:r>
              <w:rPr>
                <w:rFonts w:ascii="Arial Unicode MS" w:eastAsia="Arial Unicode MS" w:hAnsi="Times New Roman" w:cs="Arial Unicode MS"/>
                <w:sz w:val="20"/>
              </w:rPr>
              <w:t>≥ </w:t>
            </w:r>
            <w:r>
              <w:rPr>
                <w:rFonts w:ascii="Arial Unicode MS" w:eastAsia="Arial Unicode MS" w:hAnsi="Times New Roman" w:cs="Arial Unicode MS"/>
                <w:sz w:val="20"/>
              </w:rPr>
              <w:t>2 critical flaws)</w:t>
            </w:r>
          </w:p>
        </w:tc>
      </w:tr>
      <w:tr w:rsidR="00DC6047" w:rsidTr="00B246FB">
        <w:trPr>
          <w:jc w:val="center"/>
        </w:trPr>
        <w:tc>
          <w:tcPr>
            <w:tcW w:w="516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9</w:t>
            </w:r>
          </w:p>
        </w:tc>
        <w:tc>
          <w:tcPr>
            <w:tcW w:w="950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sz w:val="20"/>
              </w:rPr>
              <w:t>Syversen</w:t>
            </w:r>
            <w:proofErr w:type="spellEnd"/>
            <w:r>
              <w:rPr>
                <w:rFonts w:ascii="Arial Unicode MS" w:eastAsia="Arial Unicode MS" w:hAnsi="Times New Roman" w:cs="Arial Unicode MS"/>
                <w:sz w:val="20"/>
              </w:rPr>
              <w:t xml:space="preserve"> (2024)</w:t>
            </w:r>
          </w:p>
        </w:tc>
        <w:tc>
          <w:tcPr>
            <w:tcW w:w="1181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NR</w:t>
            </w: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10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1550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NA</w:t>
            </w:r>
          </w:p>
        </w:tc>
        <w:tc>
          <w:tcPr>
            <w:tcW w:w="1264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NA</w:t>
            </w:r>
          </w:p>
        </w:tc>
        <w:tc>
          <w:tcPr>
            <w:tcW w:w="1818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Narrative review</w:t>
            </w:r>
          </w:p>
        </w:tc>
      </w:tr>
      <w:tr w:rsidR="00DC6047" w:rsidTr="00B246FB">
        <w:trPr>
          <w:jc w:val="center"/>
        </w:trPr>
        <w:tc>
          <w:tcPr>
            <w:tcW w:w="516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11</w:t>
            </w:r>
          </w:p>
        </w:tc>
        <w:tc>
          <w:tcPr>
            <w:tcW w:w="950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sz w:val="20"/>
              </w:rPr>
              <w:t>Vasileva</w:t>
            </w:r>
            <w:proofErr w:type="spellEnd"/>
            <w:r>
              <w:rPr>
                <w:rFonts w:ascii="Arial Unicode MS" w:eastAsia="Arial Unicode MS" w:hAnsi="Times New Roman" w:cs="Arial Unicode MS"/>
                <w:sz w:val="20"/>
              </w:rPr>
              <w:t xml:space="preserve"> (2024)</w:t>
            </w:r>
          </w:p>
        </w:tc>
        <w:tc>
          <w:tcPr>
            <w:tcW w:w="1181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NR</w:t>
            </w: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10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1550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NA</w:t>
            </w:r>
          </w:p>
        </w:tc>
        <w:tc>
          <w:tcPr>
            <w:tcW w:w="1264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NA</w:t>
            </w:r>
          </w:p>
        </w:tc>
        <w:tc>
          <w:tcPr>
            <w:tcW w:w="1818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Mini-review</w:t>
            </w:r>
          </w:p>
        </w:tc>
      </w:tr>
      <w:tr w:rsidR="00DC6047" w:rsidTr="00B246FB">
        <w:trPr>
          <w:jc w:val="center"/>
        </w:trPr>
        <w:tc>
          <w:tcPr>
            <w:tcW w:w="516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27</w:t>
            </w:r>
          </w:p>
        </w:tc>
        <w:tc>
          <w:tcPr>
            <w:tcW w:w="950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sz w:val="20"/>
              </w:rPr>
              <w:t>Yajima</w:t>
            </w:r>
            <w:proofErr w:type="spellEnd"/>
            <w:r>
              <w:rPr>
                <w:rFonts w:ascii="Arial Unicode MS" w:eastAsia="Arial Unicode MS" w:hAnsi="Times New Roman" w:cs="Arial Unicode MS"/>
                <w:sz w:val="20"/>
              </w:rPr>
              <w:t xml:space="preserve"> (2025)</w:t>
            </w:r>
          </w:p>
        </w:tc>
        <w:tc>
          <w:tcPr>
            <w:tcW w:w="1181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</w:rPr>
              <w:t>Moderate confidence</w:t>
            </w: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yes</w:t>
            </w:r>
          </w:p>
        </w:tc>
        <w:tc>
          <w:tcPr>
            <w:tcW w:w="10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1550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yes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yes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yes</w:t>
            </w:r>
          </w:p>
        </w:tc>
        <w:tc>
          <w:tcPr>
            <w:tcW w:w="1264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yes</w:t>
            </w:r>
          </w:p>
        </w:tc>
        <w:tc>
          <w:tcPr>
            <w:tcW w:w="1818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 xml:space="preserve">All critical domains met (PROSPERO, duplicate screening/extraction, </w:t>
            </w:r>
            <w:r>
              <w:rPr>
                <w:rFonts w:ascii="Arial Unicode MS" w:eastAsia="Arial Unicode MS" w:hAnsi="Times New Roman" w:cs="Arial Unicode MS"/>
                <w:sz w:val="20"/>
              </w:rPr>
              <w:lastRenderedPageBreak/>
              <w:t>comprehensive search, QUADAS-2, appropriate meta-analysis &amp; publication bias); two non-critical weaknesses (no itemized list of excluded studies; funding of included studies not systematically reported).</w:t>
            </w:r>
          </w:p>
        </w:tc>
      </w:tr>
      <w:tr w:rsidR="00DC6047" w:rsidTr="00B246FB">
        <w:trPr>
          <w:jc w:val="center"/>
        </w:trPr>
        <w:tc>
          <w:tcPr>
            <w:tcW w:w="516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lastRenderedPageBreak/>
              <w:t>8</w:t>
            </w:r>
          </w:p>
        </w:tc>
        <w:tc>
          <w:tcPr>
            <w:tcW w:w="950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proofErr w:type="spellStart"/>
            <w:r>
              <w:rPr>
                <w:rFonts w:ascii="Arial Unicode MS" w:eastAsia="Arial Unicode MS" w:hAnsi="Times New Roman" w:cs="Arial Unicode MS"/>
                <w:sz w:val="20"/>
              </w:rPr>
              <w:t>Romito</w:t>
            </w:r>
            <w:proofErr w:type="spellEnd"/>
            <w:r>
              <w:rPr>
                <w:rFonts w:ascii="Arial Unicode MS" w:eastAsia="Arial Unicode MS" w:hAnsi="Times New Roman" w:cs="Arial Unicode MS"/>
                <w:sz w:val="20"/>
              </w:rPr>
              <w:t xml:space="preserve"> (2025)</w:t>
            </w:r>
          </w:p>
        </w:tc>
        <w:tc>
          <w:tcPr>
            <w:tcW w:w="1181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NR</w:t>
            </w:r>
          </w:p>
        </w:tc>
        <w:tc>
          <w:tcPr>
            <w:tcW w:w="1072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10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1550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no</w:t>
            </w:r>
          </w:p>
        </w:tc>
        <w:tc>
          <w:tcPr>
            <w:tcW w:w="939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NA</w:t>
            </w:r>
          </w:p>
        </w:tc>
        <w:tc>
          <w:tcPr>
            <w:tcW w:w="1264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NA</w:t>
            </w:r>
          </w:p>
        </w:tc>
        <w:tc>
          <w:tcPr>
            <w:tcW w:w="1818" w:type="dxa"/>
            <w:shd w:val="clear" w:color="auto" w:fill="E7E6E6" w:themeFill="background2"/>
            <w:vAlign w:val="center"/>
          </w:tcPr>
          <w:p w:rsidR="00DC6047" w:rsidRDefault="00DC6047" w:rsidP="00B246FB">
            <w:pPr>
              <w:spacing w:after="200" w:line="276" w:lineRule="auto"/>
              <w:rPr>
                <w:rFonts w:ascii="Arial Unicode MS" w:hAnsi="Arial Unicode MS" w:cs="Arial Unicode MS"/>
              </w:rPr>
            </w:pPr>
            <w:r>
              <w:rPr>
                <w:rFonts w:ascii="Arial Unicode MS" w:eastAsia="Arial Unicode MS" w:hAnsi="Times New Roman" w:cs="Arial Unicode MS"/>
                <w:sz w:val="20"/>
              </w:rPr>
              <w:t>Narrative review</w:t>
            </w:r>
          </w:p>
        </w:tc>
      </w:tr>
    </w:tbl>
    <w:p w:rsidR="00DC6047" w:rsidRDefault="00DC6047" w:rsidP="00DC6047">
      <w:pPr>
        <w:keepNext/>
        <w:suppressLineNumbers/>
        <w:rPr>
          <w:rFonts w:ascii="Arial Unicode MS" w:hAnsi="Arial Unicode MS" w:cs="Arial Unicode MS"/>
          <w:i/>
          <w:iCs/>
          <w:sz w:val="18"/>
          <w:szCs w:val="18"/>
        </w:rPr>
      </w:pP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Descriptive AMSTAR-2 appraisal for included reviews (</w:t>
      </w:r>
      <w:proofErr w:type="spellStart"/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Buchlak</w:t>
      </w:r>
      <w:proofErr w:type="spellEnd"/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 xml:space="preserve"> 2020; </w:t>
      </w:r>
      <w:proofErr w:type="spellStart"/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Syversen</w:t>
      </w:r>
      <w:proofErr w:type="spellEnd"/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 xml:space="preserve"> 2024; </w:t>
      </w:r>
      <w:proofErr w:type="spellStart"/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Vasileva</w:t>
      </w:r>
      <w:proofErr w:type="spellEnd"/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 xml:space="preserve"> 2024; </w:t>
      </w:r>
      <w:proofErr w:type="spellStart"/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Yajima</w:t>
      </w:r>
      <w:proofErr w:type="spellEnd"/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 xml:space="preserve"> 2025; </w:t>
      </w:r>
      <w:proofErr w:type="spellStart"/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Romito</w:t>
      </w:r>
      <w:proofErr w:type="spellEnd"/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 xml:space="preserve"> 2025). NR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not reported; NA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 xml:space="preserve">not applicable (e.g., narrative reviews without meta-analysis). AMSTAR-2 overall confidence: High (no critical flaws, 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≤ 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1 non-critical); Moderate (no critical flaws, &gt;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 xml:space="preserve">1 non-critical); Low (1 critical flaw); </w:t>
      </w:r>
      <w:proofErr w:type="gramStart"/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Critically</w:t>
      </w:r>
      <w:proofErr w:type="gramEnd"/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 xml:space="preserve"> low (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≥ 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2 critical flaws). Meta-analysis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–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 xml:space="preserve">specific items are 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‘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NA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>’</w:t>
      </w:r>
      <w:r>
        <w:rPr>
          <w:rFonts w:ascii="Arial Unicode MS" w:eastAsia="Arial Unicode MS" w:hAnsi="Times New Roman" w:cs="Arial Unicode MS"/>
          <w:i/>
          <w:iCs/>
          <w:sz w:val="18"/>
          <w:szCs w:val="18"/>
        </w:rPr>
        <w:t xml:space="preserve"> when no meta-analysis was performed. Appraisals are reported for transparency in a scoping-review context; no reviews were excluded on this basis.</w:t>
      </w:r>
    </w:p>
    <w:p w:rsidR="00DC6047" w:rsidRDefault="00DC6047" w:rsidP="00DC6047">
      <w:pPr>
        <w:keepNext/>
        <w:spacing w:after="200"/>
      </w:pPr>
      <w:r>
        <w:rPr>
          <w:i/>
          <w:iCs/>
          <w:color w:val="44546A" w:themeColor="text2"/>
          <w:kern w:val="2"/>
          <w:sz w:val="18"/>
          <w:szCs w:val="18"/>
          <w:lang w:val="en-US"/>
          <w14:ligatures w14:val="standardContextual"/>
        </w:rPr>
        <w:t>Table S 4 PRISMA-</w:t>
      </w:r>
      <w:proofErr w:type="spellStart"/>
      <w:r>
        <w:rPr>
          <w:i/>
          <w:iCs/>
          <w:color w:val="44546A" w:themeColor="text2"/>
          <w:kern w:val="2"/>
          <w:sz w:val="18"/>
          <w:szCs w:val="18"/>
          <w:lang w:val="en-US"/>
          <w14:ligatures w14:val="standardContextual"/>
        </w:rPr>
        <w:t>ScR</w:t>
      </w:r>
      <w:proofErr w:type="spellEnd"/>
      <w:r>
        <w:rPr>
          <w:i/>
          <w:iCs/>
          <w:color w:val="44546A" w:themeColor="text2"/>
          <w:kern w:val="2"/>
          <w:sz w:val="18"/>
          <w:szCs w:val="18"/>
          <w:lang w:val="en-US"/>
          <w14:ligatures w14:val="standardContextual"/>
        </w:rPr>
        <w:t xml:space="preserve"> checklist with reporting locations</w:t>
      </w:r>
    </w:p>
    <w:tbl>
      <w:tblPr>
        <w:tblW w:w="10615" w:type="dxa"/>
        <w:jc w:val="center"/>
        <w:tblLook w:val="04A0" w:firstRow="1" w:lastRow="0" w:firstColumn="1" w:lastColumn="0" w:noHBand="0" w:noVBand="1"/>
      </w:tblPr>
      <w:tblGrid>
        <w:gridCol w:w="2785"/>
        <w:gridCol w:w="4230"/>
        <w:gridCol w:w="3600"/>
      </w:tblGrid>
      <w:tr w:rsidR="00DC6047" w:rsidTr="00B246FB">
        <w:trPr>
          <w:jc w:val="center"/>
        </w:trPr>
        <w:tc>
          <w:tcPr>
            <w:tcW w:w="2785" w:type="dxa"/>
            <w:shd w:val="clear" w:color="auto" w:fill="D0CECE" w:themeFill="background2" w:themeFillShade="E6"/>
          </w:tcPr>
          <w:p w:rsidR="00DC6047" w:rsidRDefault="00DC6047" w:rsidP="00B246FB">
            <w:pPr>
              <w:jc w:val="center"/>
            </w:pPr>
            <w:r>
              <w:rPr>
                <w:rFonts w:ascii="Arial Unicode MS" w:eastAsia="Arial Unicode MS" w:cs="Arial Unicode MS"/>
                <w:b/>
              </w:rPr>
              <w:t>Item</w:t>
            </w:r>
          </w:p>
        </w:tc>
        <w:tc>
          <w:tcPr>
            <w:tcW w:w="4230" w:type="dxa"/>
            <w:shd w:val="clear" w:color="auto" w:fill="D0CECE" w:themeFill="background2" w:themeFillShade="E6"/>
          </w:tcPr>
          <w:p w:rsidR="00DC6047" w:rsidRDefault="00DC6047" w:rsidP="00B246FB">
            <w:pPr>
              <w:jc w:val="center"/>
            </w:pPr>
            <w:r>
              <w:rPr>
                <w:rFonts w:ascii="Arial Unicode MS" w:eastAsia="Arial Unicode MS" w:cs="Arial Unicode MS"/>
                <w:b/>
              </w:rPr>
              <w:t>Checklist description</w:t>
            </w:r>
          </w:p>
        </w:tc>
        <w:tc>
          <w:tcPr>
            <w:tcW w:w="3600" w:type="dxa"/>
            <w:shd w:val="clear" w:color="auto" w:fill="D0CECE" w:themeFill="background2" w:themeFillShade="E6"/>
          </w:tcPr>
          <w:p w:rsidR="00DC6047" w:rsidRDefault="00DC6047" w:rsidP="00B246FB">
            <w:pPr>
              <w:jc w:val="center"/>
            </w:pPr>
            <w:r>
              <w:rPr>
                <w:rFonts w:ascii="Arial Unicode MS" w:eastAsia="Arial Unicode MS" w:cs="Arial Unicode MS"/>
                <w:b/>
              </w:rPr>
              <w:t>Where reported (section / locator)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Title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Identify the report as a scoping review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Title / Abstract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Abstract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Structured summary: objectives, eligibility, sources, charting, results, conclusions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Abstract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Rationale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Describe rationale for scoping approach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Intro </w:t>
            </w:r>
            <w:r>
              <w:rPr>
                <w:rFonts w:ascii="Arial Unicode MS" w:eastAsia="Arial Unicode MS" w:cs="Arial Unicode MS"/>
                <w:sz w:val="20"/>
              </w:rPr>
              <w:t>¶</w:t>
            </w:r>
            <w:r>
              <w:rPr>
                <w:rFonts w:ascii="Arial Unicode MS" w:eastAsia="Arial Unicode MS" w:cs="Arial Unicode MS"/>
                <w:sz w:val="20"/>
              </w:rPr>
              <w:t>1</w:t>
            </w:r>
            <w:r>
              <w:rPr>
                <w:rFonts w:ascii="Arial Unicode MS" w:eastAsia="Arial Unicode MS" w:cs="Arial Unicode MS"/>
                <w:sz w:val="20"/>
              </w:rPr>
              <w:t>–</w:t>
            </w:r>
            <w:r>
              <w:rPr>
                <w:rFonts w:ascii="Arial Unicode MS" w:eastAsia="Arial Unicode MS" w:cs="Arial Unicode MS"/>
                <w:sz w:val="20"/>
              </w:rPr>
              <w:t>2 'AI-enabled CDSS</w:t>
            </w:r>
            <w:r>
              <w:rPr>
                <w:rFonts w:ascii="Arial Unicode MS" w:eastAsia="Arial Unicode MS" w:cs="Arial Unicode MS"/>
                <w:sz w:val="20"/>
              </w:rPr>
              <w:t>…</w:t>
            </w:r>
            <w:r>
              <w:rPr>
                <w:rFonts w:ascii="Arial Unicode MS" w:eastAsia="Arial Unicode MS" w:cs="Arial Unicode MS"/>
                <w:sz w:val="20"/>
              </w:rPr>
              <w:t xml:space="preserve"> relevance for PAT</w:t>
            </w:r>
            <w:r>
              <w:rPr>
                <w:rFonts w:ascii="Arial Unicode MS" w:eastAsia="Arial Unicode MS" w:cs="Arial Unicode MS"/>
                <w:sz w:val="20"/>
              </w:rPr>
              <w:t>’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Objectives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Explicit statement of objectives/questions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Intro final </w:t>
            </w:r>
            <w:r>
              <w:rPr>
                <w:rFonts w:ascii="Arial Unicode MS" w:eastAsia="Arial Unicode MS" w:cs="Arial Unicode MS"/>
                <w:sz w:val="20"/>
              </w:rPr>
              <w:t>¶</w:t>
            </w:r>
            <w:r>
              <w:rPr>
                <w:rFonts w:ascii="Arial Unicode MS" w:eastAsia="Arial Unicode MS" w:cs="Arial Unicode MS"/>
                <w:sz w:val="20"/>
              </w:rPr>
              <w:t xml:space="preserve"> 'This review aimed to</w:t>
            </w:r>
            <w:r>
              <w:rPr>
                <w:rFonts w:ascii="Arial Unicode MS" w:eastAsia="Arial Unicode MS" w:cs="Arial Unicode MS"/>
                <w:sz w:val="20"/>
              </w:rPr>
              <w:t>…</w:t>
            </w:r>
            <w:r>
              <w:rPr>
                <w:rFonts w:ascii="Arial Unicode MS" w:eastAsia="Arial Unicode MS" w:cs="Arial Unicode MS"/>
                <w:sz w:val="20"/>
              </w:rPr>
              <w:t>'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lastRenderedPageBreak/>
              <w:t>Eligibility criteria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Characteristics of sources (participants, concepts, context) and rationale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Meth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Eligibility Criteria (starts: 'We included studies published between January 1, 2020</w:t>
            </w:r>
            <w:r>
              <w:rPr>
                <w:rFonts w:ascii="Arial Unicode MS" w:eastAsia="Arial Unicode MS" w:cs="Arial Unicode MS"/>
                <w:sz w:val="20"/>
              </w:rPr>
              <w:t>…</w:t>
            </w:r>
            <w:r>
              <w:rPr>
                <w:rFonts w:ascii="Arial Unicode MS" w:eastAsia="Arial Unicode MS" w:cs="Arial Unicode MS"/>
                <w:sz w:val="20"/>
              </w:rPr>
              <w:t>')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Information sources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All information sources with dates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Meth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Information Sources &amp; Search Strategy (starts: 'A comprehensive search was conducted</w:t>
            </w:r>
            <w:r>
              <w:rPr>
                <w:rFonts w:ascii="Arial Unicode MS" w:eastAsia="Arial Unicode MS" w:cs="Arial Unicode MS"/>
                <w:sz w:val="20"/>
              </w:rPr>
              <w:t>…</w:t>
            </w:r>
            <w:r>
              <w:rPr>
                <w:rFonts w:ascii="Arial Unicode MS" w:eastAsia="Arial Unicode MS" w:cs="Arial Unicode MS"/>
                <w:sz w:val="20"/>
              </w:rPr>
              <w:t>')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Search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Full electronic search strategy for </w:t>
            </w:r>
            <w:r>
              <w:rPr>
                <w:rFonts w:ascii="Arial Unicode MS" w:eastAsia="Arial Unicode MS" w:cs="Arial Unicode MS"/>
                <w:sz w:val="20"/>
              </w:rPr>
              <w:t>≥ </w:t>
            </w:r>
            <w:r>
              <w:rPr>
                <w:rFonts w:ascii="Arial Unicode MS" w:eastAsia="Arial Unicode MS" w:cs="Arial Unicode MS"/>
                <w:sz w:val="20"/>
              </w:rPr>
              <w:t>1 database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Supplementary Appendix 1 (database-specific strings)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Selection of sources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Process for selecting sources (screening/eligibility)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Meth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Selection Process (starts: 'All identified references were imported into </w:t>
            </w:r>
            <w:proofErr w:type="spellStart"/>
            <w:r>
              <w:rPr>
                <w:rFonts w:ascii="Arial Unicode MS" w:eastAsia="Arial Unicode MS" w:cs="Arial Unicode MS"/>
                <w:sz w:val="20"/>
              </w:rPr>
              <w:t>Rayyan</w:t>
            </w:r>
            <w:proofErr w:type="spellEnd"/>
            <w:r>
              <w:rPr>
                <w:rFonts w:ascii="Arial Unicode MS" w:eastAsia="Arial Unicode MS" w:cs="Arial Unicode MS"/>
                <w:sz w:val="20"/>
              </w:rPr>
              <w:t>…</w:t>
            </w:r>
            <w:r>
              <w:rPr>
                <w:rFonts w:ascii="Arial Unicode MS" w:eastAsia="Arial Unicode MS" w:cs="Arial Unicode MS"/>
                <w:sz w:val="20"/>
              </w:rPr>
              <w:t>')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Data charting process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Methods for charting data and calibration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Meth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Data Charting and Variables (starts: 'We used a predefined extraction schema</w:t>
            </w:r>
            <w:r>
              <w:rPr>
                <w:rFonts w:ascii="Arial Unicode MS" w:eastAsia="Arial Unicode MS" w:cs="Arial Unicode MS"/>
                <w:sz w:val="20"/>
              </w:rPr>
              <w:t>…</w:t>
            </w:r>
            <w:r>
              <w:rPr>
                <w:rFonts w:ascii="Arial Unicode MS" w:eastAsia="Arial Unicode MS" w:cs="Arial Unicode MS"/>
                <w:sz w:val="20"/>
              </w:rPr>
              <w:t>')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Data items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List and define all variables for which data were sought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Supplementary Table S0; Meth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Data Charting and Variables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Critical appraisal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If done, approach for critical appraisal of sources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Methods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Critical Appraisal and Handling of Conference Abstracts (starts: 'Consistent with PRISMA-</w:t>
            </w:r>
            <w:proofErr w:type="spellStart"/>
            <w:r>
              <w:rPr>
                <w:rFonts w:ascii="Arial Unicode MS" w:eastAsia="Arial Unicode MS" w:cs="Arial Unicode MS"/>
                <w:sz w:val="20"/>
              </w:rPr>
              <w:t>ScR</w:t>
            </w:r>
            <w:proofErr w:type="spellEnd"/>
            <w:r>
              <w:rPr>
                <w:rFonts w:ascii="Arial Unicode MS" w:eastAsia="Arial Unicode MS" w:cs="Arial Unicode MS"/>
                <w:sz w:val="20"/>
              </w:rPr>
              <w:t xml:space="preserve"> guidance</w:t>
            </w:r>
            <w:r>
              <w:rPr>
                <w:rFonts w:ascii="Arial Unicode MS" w:eastAsia="Arial Unicode MS" w:cs="Arial Unicode MS"/>
                <w:sz w:val="20"/>
              </w:rPr>
              <w:t>…</w:t>
            </w:r>
            <w:r>
              <w:rPr>
                <w:rFonts w:ascii="Arial Unicode MS" w:eastAsia="Arial Unicode MS" w:cs="Arial Unicode MS"/>
                <w:sz w:val="20"/>
              </w:rPr>
              <w:t>')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Synthesis of results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Methods of handling and summarizing charted data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Methods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Synthesis of Results (starts: 'We used a narrative synthesis</w:t>
            </w:r>
            <w:r>
              <w:rPr>
                <w:rFonts w:ascii="Arial Unicode MS" w:eastAsia="Arial Unicode MS" w:cs="Arial Unicode MS"/>
                <w:sz w:val="20"/>
              </w:rPr>
              <w:t>…</w:t>
            </w:r>
            <w:r>
              <w:rPr>
                <w:rFonts w:ascii="Arial Unicode MS" w:eastAsia="Arial Unicode MS" w:cs="Arial Unicode MS"/>
                <w:sz w:val="20"/>
              </w:rPr>
              <w:t>')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Results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Selection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Numbers screened/assessed/included with reasons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Results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Search Results and Study Characteristics; Fig.</w:t>
            </w:r>
            <w:r>
              <w:rPr>
                <w:rFonts w:ascii="Arial Unicode MS" w:eastAsia="Arial Unicode MS" w:cs="Arial Unicode MS"/>
                <w:sz w:val="20"/>
              </w:rPr>
              <w:t> </w:t>
            </w:r>
            <w:r>
              <w:rPr>
                <w:rFonts w:ascii="Arial Unicode MS" w:eastAsia="Arial Unicode MS" w:cs="Arial Unicode MS"/>
                <w:sz w:val="20"/>
              </w:rPr>
              <w:t>1 (114</w:t>
            </w:r>
            <w:r>
              <w:rPr>
                <w:rFonts w:ascii="Arial Unicode MS" w:eastAsia="Arial Unicode MS" w:cs="Arial Unicode MS"/>
                <w:sz w:val="20"/>
              </w:rPr>
              <w:t>→</w:t>
            </w:r>
            <w:r>
              <w:rPr>
                <w:rFonts w:ascii="Arial Unicode MS" w:eastAsia="Arial Unicode MS" w:cs="Arial Unicode MS"/>
                <w:sz w:val="20"/>
              </w:rPr>
              <w:t>54</w:t>
            </w:r>
            <w:r>
              <w:rPr>
                <w:rFonts w:ascii="Arial Unicode MS" w:eastAsia="Arial Unicode MS" w:cs="Arial Unicode MS"/>
                <w:sz w:val="20"/>
              </w:rPr>
              <w:t>→</w:t>
            </w:r>
            <w:r>
              <w:rPr>
                <w:rFonts w:ascii="Arial Unicode MS" w:eastAsia="Arial Unicode MS" w:cs="Arial Unicode MS"/>
                <w:sz w:val="20"/>
              </w:rPr>
              <w:t>60</w:t>
            </w:r>
            <w:r>
              <w:rPr>
                <w:rFonts w:ascii="Arial Unicode MS" w:eastAsia="Arial Unicode MS" w:cs="Arial Unicode MS"/>
                <w:sz w:val="20"/>
              </w:rPr>
              <w:t>→</w:t>
            </w:r>
            <w:r>
              <w:rPr>
                <w:rFonts w:ascii="Arial Unicode MS" w:eastAsia="Arial Unicode MS" w:cs="Arial Unicode MS"/>
                <w:sz w:val="20"/>
              </w:rPr>
              <w:t>56)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Results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Characteristics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Characteristics for each included source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Results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General Study Characteristics; Table</w:t>
            </w:r>
            <w:r>
              <w:rPr>
                <w:rFonts w:ascii="Arial Unicode MS" w:eastAsia="Arial Unicode MS" w:cs="Arial Unicode MS"/>
                <w:sz w:val="20"/>
              </w:rPr>
              <w:t> </w:t>
            </w:r>
            <w:r>
              <w:rPr>
                <w:rFonts w:ascii="Arial Unicode MS" w:eastAsia="Arial Unicode MS" w:cs="Arial Unicode MS"/>
                <w:sz w:val="20"/>
              </w:rPr>
              <w:t>1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lastRenderedPageBreak/>
              <w:t xml:space="preserve">Results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Critical appraisal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If done, present appraisal of included sources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Supplementary Table S3 (AMSTAR-2)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Results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Individual sources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Results of individual sources of evidence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Table</w:t>
            </w:r>
            <w:r>
              <w:rPr>
                <w:rFonts w:ascii="Arial Unicode MS" w:eastAsia="Arial Unicode MS" w:cs="Arial Unicode MS"/>
                <w:sz w:val="20"/>
              </w:rPr>
              <w:t> </w:t>
            </w:r>
            <w:r>
              <w:rPr>
                <w:rFonts w:ascii="Arial Unicode MS" w:eastAsia="Arial Unicode MS" w:cs="Arial Unicode MS"/>
                <w:sz w:val="20"/>
              </w:rPr>
              <w:t>1; domain-specific Results paragraphs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Results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Synthesis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Synthesis of findings from charted data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Results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domain synthesis paragraphs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Conclusions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Interpretation of results and implications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Discussion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Funding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Sources of funding and role of funders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Funding / Acknowledgments</w:t>
            </w:r>
          </w:p>
        </w:tc>
      </w:tr>
      <w:tr w:rsidR="00DC6047" w:rsidTr="00B246FB">
        <w:trPr>
          <w:jc w:val="center"/>
        </w:trPr>
        <w:tc>
          <w:tcPr>
            <w:tcW w:w="2785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Protocol &amp; registration</w:t>
            </w:r>
          </w:p>
        </w:tc>
        <w:tc>
          <w:tcPr>
            <w:tcW w:w="423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Availability of protocol/registration</w:t>
            </w:r>
          </w:p>
        </w:tc>
        <w:tc>
          <w:tcPr>
            <w:tcW w:w="3600" w:type="dxa"/>
            <w:shd w:val="clear" w:color="auto" w:fill="E7E6E6" w:themeFill="background2"/>
            <w:vAlign w:val="center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Methods </w:t>
            </w:r>
            <w:r>
              <w:rPr>
                <w:rFonts w:ascii="Arial Unicode MS" w:eastAsia="Arial Unicode MS" w:cs="Arial Unicode MS"/>
                <w:sz w:val="20"/>
              </w:rPr>
              <w:t>—</w:t>
            </w:r>
            <w:r>
              <w:rPr>
                <w:rFonts w:ascii="Arial Unicode MS" w:eastAsia="Arial Unicode MS" w:cs="Arial Unicode MS"/>
                <w:sz w:val="20"/>
              </w:rPr>
              <w:t xml:space="preserve"> Registration (OSF DOI 10.17605/OSF.IO/JKCRH; scope amendment dated Aug 23, 2025)</w:t>
            </w:r>
          </w:p>
        </w:tc>
      </w:tr>
    </w:tbl>
    <w:p w:rsidR="00DC6047" w:rsidRDefault="00DC6047" w:rsidP="00DC6047">
      <w:pPr>
        <w:keepNext/>
        <w:suppressLineNumbers/>
        <w:rPr>
          <w:rFonts w:ascii="Arial Unicode MS" w:hAnsi="Arial Unicode MS" w:cs="Arial Unicode MS"/>
          <w:i/>
          <w:iCs/>
          <w:sz w:val="18"/>
          <w:szCs w:val="18"/>
        </w:rPr>
      </w:pPr>
      <w:r>
        <w:rPr>
          <w:rFonts w:ascii="Arial Unicode MS" w:eastAsia="Arial Unicode MS" w:cs="Arial Unicode MS"/>
          <w:i/>
          <w:iCs/>
          <w:sz w:val="18"/>
          <w:szCs w:val="18"/>
        </w:rPr>
        <w:t>PRISMA-</w:t>
      </w:r>
      <w:proofErr w:type="spellStart"/>
      <w:r>
        <w:rPr>
          <w:rFonts w:ascii="Arial Unicode MS" w:eastAsia="Arial Unicode MS" w:cs="Arial Unicode MS"/>
          <w:i/>
          <w:iCs/>
          <w:sz w:val="18"/>
          <w:szCs w:val="18"/>
        </w:rPr>
        <w:t>ScR</w:t>
      </w:r>
      <w:proofErr w:type="spellEnd"/>
      <w:r>
        <w:rPr>
          <w:rFonts w:ascii="Arial Unicode MS" w:eastAsia="Arial Unicode MS" w:cs="Arial Unicode MS"/>
          <w:i/>
          <w:iCs/>
          <w:sz w:val="18"/>
          <w:szCs w:val="18"/>
        </w:rPr>
        <w:t xml:space="preserve"> items mapped to the reporting locations in this manuscript. Abbreviations:</w:t>
      </w:r>
      <w:r>
        <w:t xml:space="preserve"> </w:t>
      </w:r>
      <w:r>
        <w:rPr>
          <w:rFonts w:ascii="Arial Unicode MS" w:eastAsia="Arial Unicode MS" w:cs="Arial Unicode MS"/>
          <w:i/>
          <w:iCs/>
          <w:sz w:val="18"/>
          <w:szCs w:val="18"/>
        </w:rPr>
        <w:t>PRISMA-</w:t>
      </w:r>
      <w:proofErr w:type="spellStart"/>
      <w:r>
        <w:rPr>
          <w:rFonts w:ascii="Arial Unicode MS" w:eastAsia="Arial Unicode MS" w:cs="Arial Unicode MS"/>
          <w:i/>
          <w:iCs/>
          <w:sz w:val="18"/>
          <w:szCs w:val="18"/>
        </w:rPr>
        <w:t>ScR</w:t>
      </w:r>
      <w:proofErr w:type="spellEnd"/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Preferred Reporting Items for Systematic Reviews and Meta-Analyses extension for Scoping Reviews; Intro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Introduction; Meth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Methods; Res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=</w:t>
      </w:r>
      <w:r>
        <w:rPr>
          <w:rFonts w:ascii="Arial Unicode MS" w:eastAsia="Arial Unicode MS" w:cs="Arial Unicode MS"/>
          <w:i/>
          <w:iCs/>
          <w:sz w:val="18"/>
          <w:szCs w:val="18"/>
        </w:rPr>
        <w:t> </w:t>
      </w:r>
      <w:r>
        <w:rPr>
          <w:rFonts w:ascii="Arial Unicode MS" w:eastAsia="Arial Unicode MS" w:cs="Arial Unicode MS"/>
          <w:i/>
          <w:iCs/>
          <w:sz w:val="18"/>
          <w:szCs w:val="18"/>
        </w:rPr>
        <w:t>Results.</w:t>
      </w:r>
    </w:p>
    <w:p w:rsidR="00DC6047" w:rsidRDefault="00DC6047" w:rsidP="00DC6047">
      <w:pPr>
        <w:keepNext/>
        <w:spacing w:after="200"/>
      </w:pPr>
      <w:r>
        <w:rPr>
          <w:i/>
          <w:iCs/>
          <w:color w:val="44546A" w:themeColor="text2"/>
          <w:kern w:val="2"/>
          <w:sz w:val="18"/>
          <w:szCs w:val="18"/>
          <w:lang w:val="en-US"/>
          <w14:ligatures w14:val="standardContextual"/>
        </w:rPr>
        <w:t>Table S 5 Decision-support function codebook used for synthesis and counting</w:t>
      </w:r>
    </w:p>
    <w:tbl>
      <w:tblPr>
        <w:tblW w:w="11160" w:type="dxa"/>
        <w:tblInd w:w="-810" w:type="dxa"/>
        <w:tblLook w:val="04A0" w:firstRow="1" w:lastRow="0" w:firstColumn="1" w:lastColumn="0" w:noHBand="0" w:noVBand="1"/>
      </w:tblPr>
      <w:tblGrid>
        <w:gridCol w:w="1292"/>
        <w:gridCol w:w="1406"/>
        <w:gridCol w:w="2596"/>
        <w:gridCol w:w="1517"/>
        <w:gridCol w:w="2373"/>
        <w:gridCol w:w="1976"/>
      </w:tblGrid>
      <w:tr w:rsidR="00DC6047" w:rsidTr="00B246FB">
        <w:tc>
          <w:tcPr>
            <w:tcW w:w="1294" w:type="dxa"/>
            <w:shd w:val="clear" w:color="auto" w:fill="D0CECE" w:themeFill="background2" w:themeFillShade="E6"/>
          </w:tcPr>
          <w:p w:rsidR="00DC6047" w:rsidRDefault="00DC6047" w:rsidP="00B246FB">
            <w:pPr>
              <w:jc w:val="center"/>
            </w:pPr>
            <w:r>
              <w:rPr>
                <w:rFonts w:ascii="Arial Unicode MS" w:eastAsia="Arial Unicode MS" w:cs="Arial Unicode MS"/>
                <w:b/>
                <w:sz w:val="20"/>
              </w:rPr>
              <w:t>Function</w:t>
            </w:r>
          </w:p>
        </w:tc>
        <w:tc>
          <w:tcPr>
            <w:tcW w:w="1394" w:type="dxa"/>
            <w:shd w:val="clear" w:color="auto" w:fill="D0CECE" w:themeFill="background2" w:themeFillShade="E6"/>
          </w:tcPr>
          <w:p w:rsidR="00DC6047" w:rsidRDefault="00DC6047" w:rsidP="00B246FB">
            <w:pPr>
              <w:jc w:val="center"/>
            </w:pPr>
            <w:r>
              <w:rPr>
                <w:rFonts w:ascii="Arial Unicode MS" w:eastAsia="Arial Unicode MS" w:cs="Arial Unicode MS"/>
                <w:b/>
                <w:sz w:val="20"/>
              </w:rPr>
              <w:t>Definition</w:t>
            </w:r>
          </w:p>
        </w:tc>
        <w:tc>
          <w:tcPr>
            <w:tcW w:w="2586" w:type="dxa"/>
            <w:shd w:val="clear" w:color="auto" w:fill="D0CECE" w:themeFill="background2" w:themeFillShade="E6"/>
          </w:tcPr>
          <w:p w:rsidR="00DC6047" w:rsidRDefault="00DC6047" w:rsidP="00B246FB">
            <w:pPr>
              <w:jc w:val="center"/>
            </w:pPr>
            <w:r>
              <w:rPr>
                <w:rFonts w:ascii="Arial Unicode MS" w:eastAsia="Arial Unicode MS" w:cs="Arial Unicode MS"/>
                <w:b/>
                <w:sz w:val="20"/>
              </w:rPr>
              <w:t>Primary endpoint trigger</w:t>
            </w:r>
          </w:p>
        </w:tc>
        <w:tc>
          <w:tcPr>
            <w:tcW w:w="1473" w:type="dxa"/>
            <w:shd w:val="clear" w:color="auto" w:fill="D0CECE" w:themeFill="background2" w:themeFillShade="E6"/>
          </w:tcPr>
          <w:p w:rsidR="00DC6047" w:rsidRDefault="00DC6047" w:rsidP="00B246FB">
            <w:pPr>
              <w:jc w:val="center"/>
            </w:pPr>
            <w:r>
              <w:rPr>
                <w:rFonts w:ascii="Arial Unicode MS" w:eastAsia="Arial Unicode MS" w:cs="Arial Unicode MS"/>
                <w:b/>
                <w:sz w:val="20"/>
              </w:rPr>
              <w:t>Examples (from corpus)</w:t>
            </w:r>
          </w:p>
        </w:tc>
        <w:tc>
          <w:tcPr>
            <w:tcW w:w="2340" w:type="dxa"/>
            <w:shd w:val="clear" w:color="auto" w:fill="D0CECE" w:themeFill="background2" w:themeFillShade="E6"/>
          </w:tcPr>
          <w:p w:rsidR="00DC6047" w:rsidRDefault="00DC6047" w:rsidP="00B246FB">
            <w:pPr>
              <w:jc w:val="center"/>
            </w:pPr>
            <w:r>
              <w:rPr>
                <w:rFonts w:ascii="Arial Unicode MS" w:eastAsia="Arial Unicode MS" w:cs="Arial Unicode MS"/>
                <w:b/>
                <w:sz w:val="20"/>
              </w:rPr>
              <w:t>Edge-case rule</w:t>
            </w:r>
          </w:p>
        </w:tc>
        <w:tc>
          <w:tcPr>
            <w:tcW w:w="2073" w:type="dxa"/>
            <w:shd w:val="clear" w:color="auto" w:fill="D0CECE" w:themeFill="background2" w:themeFillShade="E6"/>
          </w:tcPr>
          <w:p w:rsidR="00DC6047" w:rsidRDefault="00DC6047" w:rsidP="00B246FB">
            <w:pPr>
              <w:jc w:val="center"/>
            </w:pPr>
            <w:r>
              <w:rPr>
                <w:rFonts w:ascii="Arial Unicode MS" w:eastAsia="Arial Unicode MS" w:cs="Arial Unicode MS"/>
                <w:b/>
                <w:sz w:val="20"/>
              </w:rPr>
              <w:t>Priority rule</w:t>
            </w:r>
          </w:p>
        </w:tc>
      </w:tr>
      <w:tr w:rsidR="00DC6047" w:rsidTr="00B246FB">
        <w:tc>
          <w:tcPr>
            <w:tcW w:w="1294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Risk prediction</w:t>
            </w:r>
          </w:p>
        </w:tc>
        <w:tc>
          <w:tcPr>
            <w:tcW w:w="1394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Models estimating probability or risk of an adverse outcome or event prior to surgery.</w:t>
            </w:r>
          </w:p>
        </w:tc>
        <w:tc>
          <w:tcPr>
            <w:tcW w:w="2586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Primary outcome is an event probability or discriminative metric for an outcome (e.g., AUC for PJI, </w:t>
            </w:r>
            <w:proofErr w:type="spellStart"/>
            <w:r>
              <w:rPr>
                <w:rFonts w:ascii="Arial Unicode MS" w:eastAsia="Arial Unicode MS" w:cs="Arial Unicode MS"/>
                <w:sz w:val="20"/>
              </w:rPr>
              <w:t>hemorrhage</w:t>
            </w:r>
            <w:proofErr w:type="spellEnd"/>
            <w:r>
              <w:rPr>
                <w:rFonts w:ascii="Arial Unicode MS" w:eastAsia="Arial Unicode MS" w:cs="Arial Unicode MS"/>
                <w:sz w:val="20"/>
              </w:rPr>
              <w:t>, mortality, delirium).</w:t>
            </w:r>
          </w:p>
        </w:tc>
        <w:tc>
          <w:tcPr>
            <w:tcW w:w="1473" w:type="dxa"/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20"/>
              </w:rPr>
              <w:t>Maradit</w:t>
            </w:r>
            <w:proofErr w:type="spellEnd"/>
            <w:r>
              <w:rPr>
                <w:rFonts w:ascii="Arial Unicode MS" w:eastAsia="Arial Unicode MS" w:cs="Arial Unicode MS"/>
                <w:sz w:val="20"/>
              </w:rPr>
              <w:t xml:space="preserve"> </w:t>
            </w:r>
            <w:proofErr w:type="spellStart"/>
            <w:r>
              <w:rPr>
                <w:rFonts w:ascii="Arial Unicode MS" w:eastAsia="Arial Unicode MS" w:cs="Arial Unicode MS"/>
                <w:sz w:val="20"/>
              </w:rPr>
              <w:t>Kremers</w:t>
            </w:r>
            <w:proofErr w:type="spellEnd"/>
            <w:r>
              <w:rPr>
                <w:rFonts w:ascii="Arial Unicode MS" w:eastAsia="Arial Unicode MS" w:cs="Arial Unicode MS"/>
                <w:sz w:val="20"/>
              </w:rPr>
              <w:t xml:space="preserve"> 2025; Chen H 2023; Yu Q 2024.</w:t>
            </w:r>
          </w:p>
        </w:tc>
        <w:tc>
          <w:tcPr>
            <w:tcW w:w="2340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If later used to route patients but the evaluated endpoint is an outcome probability, classify as risk prediction.</w:t>
            </w:r>
          </w:p>
        </w:tc>
        <w:tc>
          <w:tcPr>
            <w:tcW w:w="2073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If both risk prediction and triage are plausible, risk prediction takes precedence unless the measured endpoint is operational routing.</w:t>
            </w:r>
          </w:p>
        </w:tc>
      </w:tr>
      <w:tr w:rsidR="00DC6047" w:rsidTr="00B246FB">
        <w:tc>
          <w:tcPr>
            <w:tcW w:w="1294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Triage / test stewardship</w:t>
            </w:r>
          </w:p>
        </w:tc>
        <w:tc>
          <w:tcPr>
            <w:tcW w:w="1394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Tools designed to route patients, </w:t>
            </w:r>
            <w:r>
              <w:rPr>
                <w:rFonts w:ascii="Arial Unicode MS" w:eastAsia="Arial Unicode MS" w:cs="Arial Unicode MS"/>
                <w:sz w:val="20"/>
              </w:rPr>
              <w:lastRenderedPageBreak/>
              <w:t>determine test necessity, or allocate venue of care.</w:t>
            </w:r>
          </w:p>
        </w:tc>
        <w:tc>
          <w:tcPr>
            <w:tcW w:w="2586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lastRenderedPageBreak/>
              <w:t xml:space="preserve">Primary endpoint is a triage/test decision or downstream utilization/appropriateness; </w:t>
            </w:r>
            <w:r>
              <w:rPr>
                <w:rFonts w:ascii="Arial Unicode MS" w:eastAsia="Arial Unicode MS" w:cs="Arial Unicode MS"/>
                <w:sz w:val="20"/>
              </w:rPr>
              <w:lastRenderedPageBreak/>
              <w:t>or the study objective explicitly states routing/appropriateness.</w:t>
            </w:r>
          </w:p>
        </w:tc>
        <w:tc>
          <w:tcPr>
            <w:tcW w:w="1473" w:type="dxa"/>
            <w:shd w:val="clear" w:color="auto" w:fill="E7E6E6" w:themeFill="background2"/>
          </w:tcPr>
          <w:p w:rsidR="00DC6047" w:rsidRDefault="00DC6047" w:rsidP="00B246FB">
            <w:proofErr w:type="spellStart"/>
            <w:r>
              <w:rPr>
                <w:rFonts w:ascii="Arial Unicode MS" w:eastAsia="Arial Unicode MS" w:cs="Arial Unicode MS"/>
                <w:sz w:val="20"/>
              </w:rPr>
              <w:lastRenderedPageBreak/>
              <w:t>Wongtangman</w:t>
            </w:r>
            <w:proofErr w:type="spellEnd"/>
            <w:r>
              <w:rPr>
                <w:rFonts w:ascii="Arial Unicode MS" w:eastAsia="Arial Unicode MS" w:cs="Arial Unicode MS"/>
                <w:sz w:val="20"/>
              </w:rPr>
              <w:t xml:space="preserve"> 2023; Woodward 2025.</w:t>
            </w:r>
          </w:p>
        </w:tc>
        <w:tc>
          <w:tcPr>
            <w:tcW w:w="2340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If the evaluated endpoint is clinical outcome probability rather than </w:t>
            </w:r>
            <w:r>
              <w:rPr>
                <w:rFonts w:ascii="Arial Unicode MS" w:eastAsia="Arial Unicode MS" w:cs="Arial Unicode MS"/>
                <w:sz w:val="20"/>
              </w:rPr>
              <w:lastRenderedPageBreak/>
              <w:t>routing/appropriateness, classify as risk prediction.</w:t>
            </w:r>
          </w:p>
        </w:tc>
        <w:tc>
          <w:tcPr>
            <w:tcW w:w="2073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lastRenderedPageBreak/>
              <w:t xml:space="preserve">If both apply, classify as triage only when the evaluated endpoint </w:t>
            </w:r>
            <w:r>
              <w:rPr>
                <w:rFonts w:ascii="Arial Unicode MS" w:eastAsia="Arial Unicode MS" w:cs="Arial Unicode MS"/>
                <w:sz w:val="20"/>
              </w:rPr>
              <w:lastRenderedPageBreak/>
              <w:t>is a triage/test decision or utilization outcome.</w:t>
            </w:r>
          </w:p>
        </w:tc>
      </w:tr>
      <w:tr w:rsidR="00DC6047" w:rsidTr="00B246FB">
        <w:tc>
          <w:tcPr>
            <w:tcW w:w="1294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lastRenderedPageBreak/>
              <w:t>Workflow optimization</w:t>
            </w:r>
          </w:p>
        </w:tc>
        <w:tc>
          <w:tcPr>
            <w:tcW w:w="1394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Systems measuring operational efficiency or automation within preadmission processes.</w:t>
            </w:r>
          </w:p>
        </w:tc>
        <w:tc>
          <w:tcPr>
            <w:tcW w:w="2586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Primary endpoint is time, throughput, automation accuracy, or user preference/usability tied to workflow.</w:t>
            </w:r>
          </w:p>
        </w:tc>
        <w:tc>
          <w:tcPr>
            <w:tcW w:w="1473" w:type="dxa"/>
            <w:shd w:val="clear" w:color="auto" w:fill="E7E6E6" w:themeFill="background2"/>
          </w:tcPr>
          <w:p w:rsidR="00DC6047" w:rsidRDefault="00DC6047" w:rsidP="00B246FB">
            <w:proofErr w:type="gramStart"/>
            <w:r>
              <w:rPr>
                <w:rFonts w:ascii="Arial Unicode MS" w:eastAsia="Arial Unicode MS" w:cs="Arial Unicode MS"/>
                <w:sz w:val="20"/>
              </w:rPr>
              <w:t>van</w:t>
            </w:r>
            <w:proofErr w:type="gramEnd"/>
            <w:r>
              <w:rPr>
                <w:rFonts w:ascii="Arial Unicode MS" w:eastAsia="Arial Unicode MS" w:cs="Arial Unicode MS"/>
                <w:sz w:val="20"/>
              </w:rPr>
              <w:t xml:space="preserve"> </w:t>
            </w:r>
            <w:proofErr w:type="spellStart"/>
            <w:r>
              <w:rPr>
                <w:rFonts w:ascii="Arial Unicode MS" w:eastAsia="Arial Unicode MS" w:cs="Arial Unicode MS"/>
                <w:sz w:val="20"/>
              </w:rPr>
              <w:t>Giersbergen</w:t>
            </w:r>
            <w:proofErr w:type="spellEnd"/>
            <w:r>
              <w:rPr>
                <w:rFonts w:ascii="Arial Unicode MS" w:eastAsia="Arial Unicode MS" w:cs="Arial Unicode MS"/>
                <w:sz w:val="20"/>
              </w:rPr>
              <w:t xml:space="preserve"> 2022; </w:t>
            </w:r>
            <w:proofErr w:type="spellStart"/>
            <w:r>
              <w:rPr>
                <w:rFonts w:ascii="Arial Unicode MS" w:eastAsia="Arial Unicode MS" w:cs="Arial Unicode MS"/>
                <w:sz w:val="20"/>
              </w:rPr>
              <w:t>Ke</w:t>
            </w:r>
            <w:proofErr w:type="spellEnd"/>
            <w:r>
              <w:rPr>
                <w:rFonts w:ascii="Arial Unicode MS" w:eastAsia="Arial Unicode MS" w:cs="Arial Unicode MS"/>
                <w:sz w:val="20"/>
              </w:rPr>
              <w:t xml:space="preserve"> 2025.</w:t>
            </w:r>
          </w:p>
        </w:tc>
        <w:tc>
          <w:tcPr>
            <w:tcW w:w="2340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If only outcome AUCs are reported without operational endpoints, do not assign workflow optimization.</w:t>
            </w:r>
          </w:p>
        </w:tc>
        <w:tc>
          <w:tcPr>
            <w:tcW w:w="2073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If both workflow and risk are present, assign based on the primary measured endpoint; workflow only if time/efficiency is a reported endpoint.</w:t>
            </w:r>
          </w:p>
        </w:tc>
      </w:tr>
      <w:tr w:rsidR="00DC6047" w:rsidTr="00B246FB">
        <w:tc>
          <w:tcPr>
            <w:tcW w:w="1294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Planning / imaging-driven support</w:t>
            </w:r>
          </w:p>
        </w:tc>
        <w:tc>
          <w:tcPr>
            <w:tcW w:w="1394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Imaging or </w:t>
            </w:r>
            <w:proofErr w:type="spellStart"/>
            <w:r>
              <w:rPr>
                <w:rFonts w:ascii="Arial Unicode MS" w:eastAsia="Arial Unicode MS" w:cs="Arial Unicode MS"/>
                <w:sz w:val="20"/>
              </w:rPr>
              <w:t>radiomics</w:t>
            </w:r>
            <w:proofErr w:type="spellEnd"/>
            <w:r>
              <w:rPr>
                <w:rFonts w:ascii="Arial Unicode MS" w:eastAsia="Arial Unicode MS" w:cs="Arial Unicode MS"/>
                <w:sz w:val="20"/>
              </w:rPr>
              <w:t xml:space="preserve"> models aimed at staging, planning, or anatomic assessment that inform preoperative decisions.</w:t>
            </w:r>
          </w:p>
        </w:tc>
        <w:tc>
          <w:tcPr>
            <w:tcW w:w="2586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Primary endpoint is stage/grade, invasion status, anatomic feasibility, or planning metric.</w:t>
            </w:r>
          </w:p>
        </w:tc>
        <w:tc>
          <w:tcPr>
            <w:tcW w:w="1473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 xml:space="preserve">Jiang 2022; Wu Y 2023; </w:t>
            </w:r>
            <w:proofErr w:type="spellStart"/>
            <w:r>
              <w:rPr>
                <w:rFonts w:ascii="Arial Unicode MS" w:eastAsia="Arial Unicode MS" w:cs="Arial Unicode MS"/>
                <w:sz w:val="20"/>
              </w:rPr>
              <w:t>Lombaers</w:t>
            </w:r>
            <w:proofErr w:type="spellEnd"/>
            <w:r>
              <w:rPr>
                <w:rFonts w:ascii="Arial Unicode MS" w:eastAsia="Arial Unicode MS" w:cs="Arial Unicode MS"/>
                <w:sz w:val="20"/>
              </w:rPr>
              <w:t xml:space="preserve"> 2025.</w:t>
            </w:r>
          </w:p>
        </w:tc>
        <w:tc>
          <w:tcPr>
            <w:tcW w:w="2340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If the endpoint is an outcome probability (e.g., mortality), classify as risk prediction even if imaging is used.</w:t>
            </w:r>
          </w:p>
        </w:tc>
        <w:tc>
          <w:tcPr>
            <w:tcW w:w="2073" w:type="dxa"/>
            <w:shd w:val="clear" w:color="auto" w:fill="E7E6E6" w:themeFill="background2"/>
          </w:tcPr>
          <w:p w:rsidR="00DC6047" w:rsidRDefault="00DC6047" w:rsidP="00B246FB">
            <w:r>
              <w:rPr>
                <w:rFonts w:ascii="Arial Unicode MS" w:eastAsia="Arial Unicode MS" w:cs="Arial Unicode MS"/>
                <w:sz w:val="20"/>
              </w:rPr>
              <w:t>If both staging and outcome are reported, prioritize by the main study objective and abstract language.</w:t>
            </w:r>
          </w:p>
        </w:tc>
      </w:tr>
    </w:tbl>
    <w:p w:rsidR="00DC6047" w:rsidRDefault="00DC6047" w:rsidP="00DC6047">
      <w:pPr>
        <w:spacing w:before="120"/>
        <w:rPr>
          <w:i/>
          <w:iCs/>
          <w:sz w:val="18"/>
          <w:szCs w:val="18"/>
        </w:rPr>
      </w:pPr>
      <w:r>
        <w:rPr>
          <w:rFonts w:ascii="Arial Unicode MS" w:eastAsia="Arial Unicode MS" w:cs="Arial Unicode MS"/>
          <w:i/>
          <w:iCs/>
          <w:sz w:val="18"/>
          <w:szCs w:val="18"/>
        </w:rPr>
        <w:t>This codebook defines decision-support functions, the primary endpoint triggers used to assign a study, edge-case rules, and the priority rule applied when a study could plausibly fit more than one function. One primary function was assigned per study for all counts; secondary functions were recorded but not double-counted. Assignment procedure: two reviewers applied this codebook independently with consensus resolution; one primary function per study was used for tallies. Hybrids were flagged in Table</w:t>
      </w:r>
      <w:r>
        <w:rPr>
          <w:rFonts w:ascii="Arial Unicode MS" w:eastAsia="Arial Unicode MS" w:cs="Arial Unicode MS"/>
          <w:i/>
          <w:iCs/>
          <w:sz w:val="18"/>
          <w:szCs w:val="18"/>
        </w:rPr>
        <w:t> </w:t>
      </w:r>
      <w:r>
        <w:rPr>
          <w:rFonts w:ascii="Arial Unicode MS" w:eastAsia="Arial Unicode MS" w:cs="Arial Unicode MS"/>
          <w:i/>
          <w:iCs/>
          <w:sz w:val="18"/>
          <w:szCs w:val="18"/>
        </w:rPr>
        <w:t>1 but counted once; conference abstracts were synthesized qualitatively only.</w:t>
      </w:r>
    </w:p>
    <w:p w:rsidR="00367A12" w:rsidRDefault="00367A12">
      <w:bookmarkStart w:id="0" w:name="_GoBack"/>
      <w:bookmarkEnd w:id="0"/>
    </w:p>
    <w:sectPr w:rsidR="00367A1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D06742"/>
    <w:multiLevelType w:val="hybridMultilevel"/>
    <w:tmpl w:val="5BFC399A"/>
    <w:lvl w:ilvl="0" w:tplc="8B220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BECB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F8A2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E27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382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0E4B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9278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5EAE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403A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047"/>
    <w:rsid w:val="00367A12"/>
    <w:rsid w:val="006F74A3"/>
    <w:rsid w:val="00DC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FCE620-8462-4075-8C8B-D540F645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4097</Words>
  <Characters>23359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Bharath  Baskar</dc:creator>
  <cp:keywords/>
  <dc:description/>
  <cp:lastModifiedBy>Bharath  Baskar</cp:lastModifiedBy>
  <cp:revision>1</cp:revision>
  <dcterms:created xsi:type="dcterms:W3CDTF">2025-12-19T08:36:00Z</dcterms:created>
  <dcterms:modified xsi:type="dcterms:W3CDTF">2025-12-19T08:37:00Z</dcterms:modified>
</cp:coreProperties>
</file>