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10D63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Application of SPI-Guided Analgesia in Laparoscopic Gynecologic Surgery: a Randomized Controlled Trial Evaluating Remifentanil-Sparing Effect and Predictive Value of Time-Weighted SPI</w:t>
      </w:r>
    </w:p>
    <w:p w14:paraId="348298D8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left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</w:p>
    <w:p w14:paraId="44EC2E4C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Wei Liu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>,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Ying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Li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,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Ran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Lin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,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KE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Min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,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Qin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Lin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 xml:space="preserve">, 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Wei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Lin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, Shu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Zheng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, Xiangfeng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Wang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  <w:t>1</w:t>
      </w:r>
    </w:p>
    <w:p w14:paraId="5EE86685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vertAlign w:val="superscript"/>
          <w:lang w:val="en-US" w:eastAsia="zh-CN"/>
        </w:rPr>
      </w:pPr>
    </w:p>
    <w:p w14:paraId="041B6919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>Department of Anesthesiology, The Affiliated People's Hospital of Fujian University of Traditional Chinese Medicine, Fuzhou,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Fujian 350004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</w:rPr>
        <w:t>, China</w:t>
      </w:r>
    </w:p>
    <w:p w14:paraId="1FBE23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84" w:beforeAutospacing="0" w:after="384" w:afterAutospacing="0"/>
        <w:ind w:left="0" w:right="0" w:firstLine="0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t>Corresponding author: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Xiangfeng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Wang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t>,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fldChar w:fldCharType="begin"/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instrText xml:space="preserve"> HYPERLINK "mailto:yy2022002@fjtcm.edu.cn" </w:instrTex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t>yy2022002@fjtcm.edu.cn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0"/>
          <w:szCs w:val="20"/>
          <w:shd w:val="clear" w:fill="FFFFFF"/>
          <w:lang w:val="en-US" w:eastAsia="zh-CN" w:bidi="ar-SA"/>
        </w:rPr>
        <w:t xml:space="preserve"> ORCID: 0000-0001-8994-9228</w:t>
      </w:r>
    </w:p>
    <w:p w14:paraId="0D0A280A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Style w:val="8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</w:p>
    <w:p w14:paraId="576A1F18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Style w:val="8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</w:p>
    <w:p w14:paraId="4D95D71F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jc w:val="center"/>
        <w:rPr>
          <w:rStyle w:val="8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</w:pPr>
      <w:r>
        <w:rPr>
          <w:rStyle w:val="8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Detailed Calculation Method for Tb-TW-SPI</w:t>
      </w:r>
    </w:p>
    <w:p w14:paraId="7D7C56F4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S1. Detailed Calculation Method for Tb-TW-SPI</w:t>
      </w:r>
    </w:p>
    <w:p w14:paraId="06D4D141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S1.1 Data Preparation</w:t>
      </w:r>
    </w:p>
    <w:p w14:paraId="56122F4C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Extract the SPI value sequence (e.g., every 5 minutes) from the anesthesia record system for each patient, from anesthesia induction (T₀) to the end of surgery (T_end): SPI(t₁), SPI(t₂), ..., SPI(t_n).</w:t>
      </w:r>
    </w:p>
    <w:p w14:paraId="5D89AF27">
      <w:pPr>
        <w:jc w:val="left"/>
        <w:rPr>
          <w:rFonts w:hint="eastAsia" w:ascii="Segoe UI" w:hAnsi="Segoe UI" w:eastAsia="宋体" w:cs="Segoe UI"/>
          <w:i w:val="0"/>
          <w:iCs w:val="0"/>
          <w:caps w:val="0"/>
          <w:color w:val="FF0000"/>
          <w:spacing w:val="0"/>
          <w:kern w:val="2"/>
          <w:sz w:val="19"/>
          <w:szCs w:val="19"/>
          <w:u w:val="none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FF0000"/>
          <w:spacing w:val="0"/>
          <w:kern w:val="2"/>
          <w:sz w:val="19"/>
          <w:szCs w:val="19"/>
          <w:u w:val="none"/>
          <w:shd w:val="clear" w:fill="FFFFFF"/>
          <w:lang w:val="en-US" w:eastAsia="zh-CN" w:bidi="ar-SA"/>
        </w:rPr>
        <w:t>Data Acquisition and Recording SPI values were continuousl</w:t>
      </w:r>
      <w:bookmarkStart w:id="0" w:name="_GoBack"/>
      <w:bookmarkEnd w:id="0"/>
      <w:r>
        <w:rPr>
          <w:rFonts w:hint="eastAsia" w:ascii="Segoe UI" w:hAnsi="Segoe UI" w:eastAsia="宋体" w:cs="Segoe UI"/>
          <w:i w:val="0"/>
          <w:iCs w:val="0"/>
          <w:caps w:val="0"/>
          <w:color w:val="FF0000"/>
          <w:spacing w:val="0"/>
          <w:kern w:val="2"/>
          <w:sz w:val="19"/>
          <w:szCs w:val="19"/>
          <w:u w:val="none"/>
          <w:shd w:val="clear" w:fill="FFFFFF"/>
          <w:lang w:val="en-US" w:eastAsia="zh-CN" w:bidi="ar-SA"/>
        </w:rPr>
        <w:t xml:space="preserve">y monitored using a GE Datex-Ohmeda S/5™ Anesthesia Workstation (GE Healthcare, Helsinki, Finland). A finger-cuff photoplethysmographic probe was placed on the index finger of the non-blood-pressure-monitoring arm. SPI data were automatically logged at 5-minute intervals by the GE S/5 Collect software and exported as comma-separated values (.csv) files for post-hoc analysis. </w:t>
      </w:r>
    </w:p>
    <w:p w14:paraId="5B7011DF">
      <w:pPr>
        <w:jc w:val="left"/>
        <w:rPr>
          <w:rFonts w:hint="eastAsia" w:ascii="Segoe UI" w:hAnsi="Segoe UI" w:eastAsia="宋体" w:cs="Segoe UI"/>
          <w:i w:val="0"/>
          <w:iCs w:val="0"/>
          <w:caps w:val="0"/>
          <w:color w:val="FF0000"/>
          <w:spacing w:val="0"/>
          <w:kern w:val="2"/>
          <w:sz w:val="19"/>
          <w:szCs w:val="19"/>
          <w:u w:val="none"/>
          <w:shd w:val="clear" w:fill="FFFFFF"/>
          <w:lang w:val="en-US" w:eastAsia="zh-CN" w:bidi="ar-SA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FF0000"/>
          <w:spacing w:val="0"/>
          <w:kern w:val="2"/>
          <w:sz w:val="19"/>
          <w:szCs w:val="19"/>
          <w:u w:val="none"/>
          <w:shd w:val="clear" w:fill="FFFFFF"/>
          <w:lang w:val="en-US" w:eastAsia="zh-CN" w:bidi="ar-SA"/>
        </w:rPr>
        <w:t>Computational Software All calculations were performed using R Statistical Software (Version 4.3.0). The following R packages were used: tidyverse (Version 2.0.0): Data import and manipulation pracma (Version 2.4.4): Trapezoidal numerical integration</w:t>
      </w:r>
    </w:p>
    <w:p w14:paraId="727B7234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</w:p>
    <w:p w14:paraId="4DEBC45C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S1.2 Generation of Excess Sequence</w:t>
      </w:r>
    </w:p>
    <w:p w14:paraId="702B4D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/>
        <w:ind w:left="0" w:right="0" w:firstLine="0"/>
        <w:rPr>
          <w:rFonts w:hint="eastAsia" w:hAnsi="var(--ds-font-family-code)" w:eastAsia="宋体" w:cs="var(--ds-font-family-code)"/>
          <w:i w:val="0"/>
          <w:iCs w:val="0"/>
          <w:caps w:val="0"/>
          <w:color w:val="0F1115"/>
          <w:spacing w:val="0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Calculate the value exceeding the threshold (43) at each time p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oint:</w:t>
      </w:r>
      <m:oMath>
        <m:r>
          <m:rPr/>
          <w:rPr>
            <w:rFonts w:hint="default" w:ascii="Cambria Math" w:hAnsi="Cambria Math" w:eastAsia="var(--ds-font-family-code)"/>
            <w:sz w:val="18"/>
            <w:szCs w:val="18"/>
          </w:rPr>
          <m:t>SPI_excess(</m:t>
        </m:r>
        <m:sSub>
          <m:sSubPr>
            <m:ctrlPr>
              <w:rPr>
                <w:rFonts w:hint="default" w:ascii="Cambria Math" w:hAnsi="Cambria Math" w:eastAsia="var(--ds-font-family-code)"/>
                <w:sz w:val="18"/>
                <w:szCs w:val="18"/>
              </w:rPr>
            </m:ctrlPr>
          </m:sSubPr>
          <m:e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t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e>
          <m:sub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i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sub>
        </m:sSub>
        <m:r>
          <m:rPr/>
          <w:rPr>
            <w:rFonts w:hint="default" w:ascii="Cambria Math" w:hAnsi="Cambria Math" w:eastAsia="var(--ds-font-family-code)"/>
            <w:sz w:val="18"/>
            <w:szCs w:val="18"/>
          </w:rPr>
          <m:t>)=</m:t>
        </m:r>
        <m:func>
          <m:funcPr>
            <m:ctrlPr>
              <w:rPr>
                <w:rFonts w:hint="default" w:ascii="Cambria Math" w:hAnsi="Cambria Math" w:eastAsia="var(--ds-font-family-code)"/>
                <w:sz w:val="18"/>
                <w:szCs w:val="18"/>
              </w:rPr>
            </m:ctrlPr>
          </m:funcPr>
          <m:fName>
            <m:r>
              <m:rPr>
                <m:sty m:val="p"/>
              </m:rPr>
              <w:rPr>
                <w:rFonts w:hint="default" w:ascii="Cambria Math" w:hAnsi="Cambria Math" w:eastAsia="var(--ds-font-family-code)"/>
                <w:sz w:val="18"/>
                <w:szCs w:val="18"/>
              </w:rPr>
              <m:t>max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fName>
          <m:e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{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e>
        </m:func>
        <m:r>
          <m:rPr/>
          <w:rPr>
            <w:rFonts w:hint="default" w:ascii="Cambria Math" w:hAnsi="Cambria Math" w:eastAsia="var(--ds-font-family-code)"/>
            <w:sz w:val="18"/>
            <w:szCs w:val="18"/>
          </w:rPr>
          <m:t>SPI(</m:t>
        </m:r>
        <m:sSub>
          <m:sSubPr>
            <m:ctrlPr>
              <w:rPr>
                <w:rFonts w:hint="default" w:ascii="Cambria Math" w:hAnsi="Cambria Math" w:eastAsia="var(--ds-font-family-code)"/>
                <w:sz w:val="18"/>
                <w:szCs w:val="18"/>
              </w:rPr>
            </m:ctrlPr>
          </m:sSubPr>
          <m:e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t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e>
          <m:sub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i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sub>
        </m:sSub>
        <m:r>
          <m:rPr/>
          <w:rPr>
            <w:rFonts w:hint="default" w:ascii="Cambria Math" w:hAnsi="Cambria Math" w:eastAsia="var(--ds-font-family-code)"/>
            <w:sz w:val="18"/>
            <w:szCs w:val="18"/>
          </w:rPr>
          <m:t>)−43,0}</m:t>
        </m:r>
      </m:oMath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 xml:space="preserve">. When SPI(t_i) ≤ 43, </w:t>
      </w:r>
      <m:oMath>
        <m:r>
          <m:rPr/>
          <w:rPr>
            <w:rFonts w:hint="default" w:ascii="Cambria Math" w:hAnsi="Cambria Math" w:eastAsia="var(--ds-font-family-code)"/>
            <w:sz w:val="18"/>
            <w:szCs w:val="18"/>
          </w:rPr>
          <m:t>SPI_excess(</m:t>
        </m:r>
        <m:sSub>
          <m:sSubPr>
            <m:ctrlPr>
              <w:rPr>
                <w:rFonts w:hint="default" w:ascii="Cambria Math" w:hAnsi="Cambria Math" w:eastAsia="var(--ds-font-family-code)"/>
                <w:sz w:val="18"/>
                <w:szCs w:val="18"/>
              </w:rPr>
            </m:ctrlPr>
          </m:sSubPr>
          <m:e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t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e>
          <m:sub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i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sub>
        </m:sSub>
        <m:r>
          <m:rPr/>
          <w:rPr>
            <w:rFonts w:hint="default" w:ascii="Cambria Math" w:hAnsi="Cambria Math" w:eastAsia="var(--ds-font-family-code)"/>
            <w:sz w:val="18"/>
            <w:szCs w:val="18"/>
          </w:rPr>
          <m:t>)=0</m:t>
        </m:r>
      </m:oMath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; When SPI(t_i) &gt; 43,</w:t>
      </w:r>
      <m:oMath>
        <m:r>
          <m:rPr/>
          <w:rPr>
            <w:rFonts w:hint="default" w:ascii="Cambria Math" w:hAnsi="Cambria Math" w:eastAsia="var(--ds-font-family-code)"/>
            <w:sz w:val="18"/>
            <w:szCs w:val="18"/>
          </w:rPr>
          <m:t>SPI_excess(</m:t>
        </m:r>
        <m:sSub>
          <m:sSubPr>
            <m:ctrlPr>
              <w:rPr>
                <w:rFonts w:hint="default" w:ascii="Cambria Math" w:hAnsi="Cambria Math" w:eastAsia="var(--ds-font-family-code)"/>
                <w:sz w:val="18"/>
                <w:szCs w:val="18"/>
              </w:rPr>
            </m:ctrlPr>
          </m:sSubPr>
          <m:e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t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e>
          <m:sub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i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sub>
        </m:sSub>
        <m:r>
          <m:rPr/>
          <w:rPr>
            <w:rFonts w:hint="default" w:ascii="Cambria Math" w:hAnsi="Cambria Math" w:eastAsia="var(--ds-font-family-code)"/>
            <w:sz w:val="18"/>
            <w:szCs w:val="18"/>
          </w:rPr>
          <m:t>)=SPI(</m:t>
        </m:r>
        <m:sSub>
          <m:sSubPr>
            <m:ctrlPr>
              <w:rPr>
                <w:rFonts w:hint="default" w:ascii="Cambria Math" w:hAnsi="Cambria Math" w:eastAsia="var(--ds-font-family-code)"/>
                <w:sz w:val="18"/>
                <w:szCs w:val="18"/>
              </w:rPr>
            </m:ctrlPr>
          </m:sSubPr>
          <m:e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t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e>
          <m:sub>
            <m:r>
              <m:rPr/>
              <w:rPr>
                <w:rFonts w:hint="default" w:ascii="Cambria Math" w:hAnsi="Cambria Math" w:eastAsia="var(--ds-font-family-code)"/>
                <w:sz w:val="18"/>
                <w:szCs w:val="18"/>
              </w:rPr>
              <m:t>i</m:t>
            </m:r>
            <m:ctrlPr>
              <w:rPr>
                <w:rFonts w:ascii="Cambria Math" w:hAnsi="Cambria Math" w:eastAsia="var(--ds-font-family-code)"/>
                <w:sz w:val="18"/>
                <w:szCs w:val="18"/>
              </w:rPr>
            </m:ctrlPr>
          </m:sub>
        </m:sSub>
        <m:r>
          <m:rPr/>
          <w:rPr>
            <w:rFonts w:hint="default" w:ascii="Cambria Math" w:hAnsi="Cambria Math" w:eastAsia="var(--ds-font-family-code)"/>
            <w:sz w:val="18"/>
            <w:szCs w:val="18"/>
          </w:rPr>
          <m:t>)−43</m:t>
        </m:r>
      </m:oMath>
      <w:r>
        <w:rPr>
          <w:rFonts w:hint="eastAsia" w:hAnsi="Cambria Math"/>
          <w:i w:val="0"/>
          <w:sz w:val="18"/>
          <w:szCs w:val="18"/>
          <w:lang w:val="en-US" w:eastAsia="zh-CN"/>
        </w:rPr>
        <w:t>.</w:t>
      </w:r>
    </w:p>
    <w:p w14:paraId="7D7C580D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S1.3 Tb-TW-SPI Calculation Formula</w:t>
      </w:r>
    </w:p>
    <w:p w14:paraId="444825BF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Integrate the SPI_excess sequence using trapezoidal numerical integration to compute the area under the excess threshold curve:</w:t>
      </w:r>
    </w:p>
    <w:p w14:paraId="74DD33A5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m:oMath>
        <m:r>
          <m:rPr/>
          <w:rPr>
            <w:rFonts w:hint="default" w:ascii="Cambria Math" w:hAnsi="Cambria Math" w:eastAsia="宋体"/>
            <w:sz w:val="20"/>
          </w:rPr>
          <m:t>Tb−TW−SPI=</m:t>
        </m:r>
        <m:nary>
          <m:naryPr>
            <m:chr m:val="∑"/>
            <m:limLoc m:val="undOvr"/>
            <m:ctrlPr>
              <w:rPr>
                <w:rFonts w:hint="default" w:ascii="Cambria Math" w:hAnsi="Cambria Math" w:eastAsia="宋体"/>
                <w:i/>
                <w:sz w:val="20"/>
              </w:rPr>
            </m:ctrlPr>
          </m:naryPr>
          <m:sub>
            <m:r>
              <m:rPr/>
              <w:rPr>
                <w:rFonts w:hint="default" w:ascii="Cambria Math" w:hAnsi="Cambria Math" w:eastAsia="宋体"/>
                <w:sz w:val="20"/>
              </w:rPr>
              <m:t>i=1</m:t>
            </m:r>
            <m:ctrlPr>
              <w:rPr>
                <w:rFonts w:ascii="Cambria Math" w:hAnsi="Cambria Math" w:eastAsia="宋体"/>
                <w:sz w:val="20"/>
              </w:rPr>
            </m:ctrlPr>
          </m:sub>
          <m:sup>
            <m:r>
              <m:rPr/>
              <w:rPr>
                <w:rFonts w:hint="default" w:ascii="Cambria Math" w:hAnsi="Cambria Math" w:eastAsia="宋体"/>
                <w:sz w:val="20"/>
              </w:rPr>
              <m:t>n−1</m:t>
            </m:r>
            <m:ctrlPr>
              <w:rPr>
                <w:rFonts w:ascii="Cambria Math" w:hAnsi="Cambria Math" w:eastAsia="宋体"/>
                <w:sz w:val="20"/>
              </w:rPr>
            </m:ctrlPr>
          </m:sup>
          <m:e>
            <m:f>
              <m:fPr>
                <m:ctrlPr>
                  <w:rPr>
                    <w:rFonts w:hint="default" w:ascii="Cambria Math" w:hAnsi="Cambria Math" w:eastAsia="宋体"/>
                    <w:i/>
                    <w:sz w:val="20"/>
                  </w:rPr>
                </m:ctrlPr>
              </m:fPr>
              <m:num>
                <m:r>
                  <m:rPr/>
                  <w:rPr>
                    <w:rFonts w:hint="default" w:ascii="Cambria Math" w:hAnsi="Cambria Math" w:eastAsia="宋体"/>
                    <w:sz w:val="20"/>
                  </w:rPr>
                  <m:t>[SP</m:t>
                </m:r>
                <m:sSub>
                  <m:sSubPr>
                    <m:ctrlPr>
                      <w:rPr>
                        <w:rFonts w:hint="default" w:ascii="Cambria Math" w:hAnsi="Cambria Math" w:eastAsia="宋体"/>
                        <w:sz w:val="20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I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excess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eastAsia="宋体"/>
                    <w:sz w:val="20"/>
                  </w:rPr>
                  <m:t>(</m:t>
                </m:r>
                <m:sSub>
                  <m:sSubPr>
                    <m:ctrlPr>
                      <w:rPr>
                        <w:rFonts w:hint="default" w:ascii="Cambria Math" w:hAnsi="Cambria Math" w:eastAsia="宋体"/>
                        <w:sz w:val="20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t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i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eastAsia="宋体"/>
                    <w:sz w:val="20"/>
                  </w:rPr>
                  <m:t>)+SP</m:t>
                </m:r>
                <m:sSub>
                  <m:sSubPr>
                    <m:ctrlPr>
                      <w:rPr>
                        <w:rFonts w:hint="default" w:ascii="Cambria Math" w:hAnsi="Cambria Math" w:eastAsia="宋体"/>
                        <w:sz w:val="20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I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excess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eastAsia="宋体"/>
                    <w:sz w:val="20"/>
                  </w:rPr>
                  <m:t>(</m:t>
                </m:r>
                <m:sSub>
                  <m:sSubPr>
                    <m:ctrlPr>
                      <w:rPr>
                        <w:rFonts w:hint="default" w:ascii="Cambria Math" w:hAnsi="Cambria Math" w:eastAsia="宋体"/>
                        <w:sz w:val="20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t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宋体"/>
                        <w:sz w:val="20"/>
                      </w:rPr>
                      <m:t>i+1</m:t>
                    </m:r>
                    <m:ctrlPr>
                      <w:rPr>
                        <w:rFonts w:ascii="Cambria Math" w:hAnsi="Cambria Math" w:eastAsia="宋体"/>
                        <w:sz w:val="20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eastAsia="宋体"/>
                    <w:sz w:val="20"/>
                  </w:rPr>
                  <m:t>)]</m:t>
                </m:r>
                <m:ctrlPr>
                  <w:rPr>
                    <w:rFonts w:hint="default" w:ascii="Cambria Math" w:hAnsi="Cambria Math" w:eastAsia="宋体"/>
                    <w:sz w:val="20"/>
                  </w:rPr>
                </m:ctrlPr>
              </m:num>
              <m:den>
                <m:r>
                  <m:rPr/>
                  <w:rPr>
                    <w:rFonts w:hint="default" w:ascii="Cambria Math" w:hAnsi="Cambria Math" w:eastAsia="宋体"/>
                    <w:sz w:val="20"/>
                  </w:rPr>
                  <m:t>2</m:t>
                </m:r>
                <m:ctrlPr>
                  <w:rPr>
                    <w:rFonts w:hint="default" w:ascii="Cambria Math" w:hAnsi="Cambria Math" w:eastAsia="宋体"/>
                    <w:sz w:val="20"/>
                  </w:rPr>
                </m:ctrlPr>
              </m:den>
            </m:f>
            <m:ctrlPr>
              <w:rPr>
                <w:rFonts w:hint="default" w:ascii="Cambria Math" w:hAnsi="Cambria Math" w:eastAsia="宋体"/>
                <w:i/>
                <w:sz w:val="20"/>
              </w:rPr>
            </m:ctrlPr>
          </m:e>
        </m:nary>
        <m:r>
          <m:rPr>
            <m:sty m:val="p"/>
          </m:rPr>
          <w:rPr>
            <w:rFonts w:hint="default" w:ascii="Cambria Math" w:hAnsi="Cambria Math" w:eastAsia="宋体"/>
            <w:sz w:val="20"/>
          </w:rPr>
          <m:t>×</m:t>
        </m:r>
        <m:r>
          <m:rPr/>
          <w:rPr>
            <w:rFonts w:hint="default" w:ascii="Cambria Math" w:hAnsi="Cambria Math" w:eastAsia="宋体"/>
            <w:sz w:val="20"/>
          </w:rPr>
          <m:t>(</m:t>
        </m:r>
        <m:sSub>
          <m:sSubPr>
            <m:ctrlPr>
              <w:rPr>
                <w:rFonts w:hint="default" w:ascii="Cambria Math" w:hAnsi="Cambria Math" w:eastAsia="宋体"/>
                <w:sz w:val="20"/>
              </w:rPr>
            </m:ctrlPr>
          </m:sSubPr>
          <m:e>
            <m:r>
              <m:rPr/>
              <w:rPr>
                <w:rFonts w:hint="default" w:ascii="Cambria Math" w:hAnsi="Cambria Math" w:eastAsia="宋体"/>
                <w:sz w:val="20"/>
              </w:rPr>
              <m:t>t</m:t>
            </m:r>
            <m:ctrlPr>
              <w:rPr>
                <w:rFonts w:hint="default" w:ascii="Cambria Math" w:hAnsi="Cambria Math" w:eastAsia="宋体"/>
                <w:i/>
                <w:sz w:val="20"/>
              </w:rPr>
            </m:ctrlPr>
          </m:e>
          <m:sub>
            <m:r>
              <m:rPr/>
              <w:rPr>
                <w:rFonts w:hint="default" w:ascii="Cambria Math" w:hAnsi="Cambria Math" w:eastAsia="宋体"/>
                <w:sz w:val="20"/>
              </w:rPr>
              <m:t>i+1</m:t>
            </m:r>
            <m:ctrlPr>
              <w:rPr>
                <w:rFonts w:hint="default" w:ascii="Cambria Math" w:hAnsi="Cambria Math" w:eastAsia="宋体"/>
                <w:i/>
                <w:sz w:val="20"/>
              </w:rPr>
            </m:ctrlPr>
          </m:sub>
        </m:sSub>
        <m:r>
          <m:rPr/>
          <w:rPr>
            <w:rFonts w:hint="default" w:ascii="Cambria Math" w:hAnsi="Cambria Math" w:eastAsia="宋体"/>
            <w:sz w:val="20"/>
          </w:rPr>
          <m:t>−</m:t>
        </m:r>
        <m:sSub>
          <m:sSubPr>
            <m:ctrlPr>
              <w:rPr>
                <w:rFonts w:hint="default" w:ascii="Cambria Math" w:hAnsi="Cambria Math" w:eastAsia="宋体"/>
                <w:sz w:val="20"/>
              </w:rPr>
            </m:ctrlPr>
          </m:sSubPr>
          <m:e>
            <m:r>
              <m:rPr/>
              <w:rPr>
                <w:rFonts w:hint="default" w:ascii="Cambria Math" w:hAnsi="Cambria Math" w:eastAsia="宋体"/>
                <w:sz w:val="20"/>
              </w:rPr>
              <m:t>t</m:t>
            </m:r>
            <m:ctrlPr>
              <w:rPr>
                <w:rFonts w:hint="default" w:ascii="Cambria Math" w:hAnsi="Cambria Math" w:eastAsia="宋体"/>
                <w:i/>
                <w:sz w:val="20"/>
              </w:rPr>
            </m:ctrlPr>
          </m:e>
          <m:sub>
            <m:r>
              <m:rPr/>
              <w:rPr>
                <w:rFonts w:hint="default" w:ascii="Cambria Math" w:hAnsi="Cambria Math" w:eastAsia="宋体"/>
                <w:sz w:val="20"/>
              </w:rPr>
              <m:t>i</m:t>
            </m:r>
            <m:ctrlPr>
              <w:rPr>
                <w:rFonts w:hint="default" w:ascii="Cambria Math" w:hAnsi="Cambria Math" w:eastAsia="宋体"/>
                <w:i/>
                <w:sz w:val="20"/>
              </w:rPr>
            </m:ctrlPr>
          </m:sub>
        </m:sSub>
        <m:r>
          <m:rPr/>
          <w:rPr>
            <w:rFonts w:hint="default" w:ascii="Cambria Math" w:hAnsi="Cambria Math" w:eastAsia="宋体"/>
            <w:sz w:val="20"/>
          </w:rPr>
          <m:t>)</m:t>
        </m:r>
      </m:oMath>
      <w:r>
        <w:rPr>
          <w:rFonts w:hint="eastAsia" w:hAnsi="Cambria Math"/>
          <w:i w:val="0"/>
          <w:sz w:val="20"/>
          <w:lang w:val="en-US" w:eastAsia="zh-CN"/>
        </w:rPr>
        <w:t>.</w:t>
      </w:r>
    </w:p>
    <w:p w14:paraId="7AAFCF91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Style w:val="9"/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>The result is expressed in </w:t>
      </w:r>
      <w:r>
        <w:rPr>
          <w:rStyle w:val="8"/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>SPI units × minutes</w:t>
      </w:r>
      <w:r>
        <w:rPr>
          <w:rStyle w:val="9"/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>, where SPI is a dimensionless index ranging from 0 to 100</w:t>
      </w:r>
      <w:r>
        <w:rPr>
          <w:rStyle w:val="9"/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  <w:lang w:val="en-US" w:eastAsia="zh-CN"/>
        </w:rPr>
        <w:t>,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representing the total cumulative load of noxious stimuli exceeding the set threshold throughout the entire surgical period.</w:t>
      </w:r>
    </w:p>
    <w:p w14:paraId="211A41A4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S1.4 Calculation Example</w:t>
      </w:r>
    </w:p>
    <w:p w14:paraId="00093C17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Assume a patient's intraoperative SPI recordings are: SPI = 40 at t₁ = 0 min; SPI = 60 at t₂ = 5 min; SPI = 55 at t₃ = 10 min.</w:t>
      </w:r>
    </w:p>
    <w:p w14:paraId="716DDA15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The excess-threshold sequence SPI_excess is: 0, 17, 12.</w:t>
      </w:r>
    </w:p>
    <w:p w14:paraId="7E4603CF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Tb-TW-SPI = (0+17)/2 × 5 + (17+12)/2 × 5 = 42.5 + 72.5 = 115.0 (SPI units·min)</w:t>
      </w:r>
    </w:p>
    <w:p w14:paraId="070717E9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</w:pPr>
    </w:p>
    <w:p w14:paraId="1FC862FA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Style w:val="8"/>
          <w:rFonts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</w:pPr>
      <w:r>
        <w:rPr>
          <w:rStyle w:val="8"/>
          <w:rFonts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>S1.</w:t>
      </w:r>
      <w:r>
        <w:rPr>
          <w:rStyle w:val="8"/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  <w:lang w:val="en-US" w:eastAsia="zh-CN"/>
        </w:rPr>
        <w:t>5</w:t>
      </w:r>
      <w:r>
        <w:rPr>
          <w:rStyle w:val="8"/>
          <w:rFonts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 xml:space="preserve"> Graphical Illustration</w:t>
      </w:r>
    </w:p>
    <w:p w14:paraId="7C19A4B5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Style w:val="8"/>
          <w:rFonts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</w:pPr>
    </w:p>
    <w:p w14:paraId="3E47798A">
      <w:pPr>
        <w:pStyle w:val="5"/>
        <w:keepNext w:val="0"/>
        <w:keepLines w:val="0"/>
        <w:widowControl/>
        <w:suppressLineNumbers w:val="0"/>
        <w:shd w:val="clear" w:fill="FFFFFF"/>
        <w:spacing w:before="192" w:beforeAutospacing="0" w:after="192" w:afterAutospacing="0"/>
        <w:ind w:left="0" w:right="0" w:firstLine="0"/>
        <w:rPr>
          <w:rStyle w:val="8"/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  <w:lang w:val="en-US" w:eastAsia="zh-CN"/>
        </w:rPr>
      </w:pPr>
      <w:r>
        <w:rPr>
          <w:rStyle w:val="8"/>
          <w:rFonts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>Figure S1.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FF0000"/>
          <w:spacing w:val="0"/>
          <w:sz w:val="19"/>
          <w:szCs w:val="19"/>
          <w:u w:val="none"/>
          <w:shd w:val="clear" w:fill="FFFFFF"/>
        </w:rPr>
        <w:t> Schematic representation of Tb-TW-SPI calculation. The shaded area above the SPI threshold of 43 represents the cumulative nociceptive load, integrated using the trapezoidal rule.</w:t>
      </w:r>
    </w:p>
    <w:p w14:paraId="51F4FECE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ar(--ds-font-family-cod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56808">
    <w:pPr>
      <w:pStyle w:val="3"/>
    </w:pPr>
    <w:r>
      <w:rPr>
        <w:rStyle w:val="8"/>
        <w:rFonts w:ascii="Segoe UI" w:hAnsi="Segoe UI" w:eastAsia="Segoe UI" w:cs="Segoe UI"/>
        <w:b/>
        <w:bCs/>
        <w:i w:val="0"/>
        <w:iCs w:val="0"/>
        <w:caps w:val="0"/>
        <w:color w:val="0F1115"/>
        <w:spacing w:val="0"/>
        <w:sz w:val="19"/>
        <w:szCs w:val="19"/>
        <w:shd w:val="clear" w:fill="FFFFFF"/>
      </w:rPr>
      <w:t>Journal of Clinical Monitoring and Computing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95851"/>
    <w:rsid w:val="19F22261"/>
    <w:rsid w:val="1B593EEC"/>
    <w:rsid w:val="1DF10A82"/>
    <w:rsid w:val="1E2C79CA"/>
    <w:rsid w:val="22CD3F5B"/>
    <w:rsid w:val="24FF7847"/>
    <w:rsid w:val="2DB23AFF"/>
    <w:rsid w:val="389E51DD"/>
    <w:rsid w:val="431B6805"/>
    <w:rsid w:val="49F31EAD"/>
    <w:rsid w:val="4BBA3465"/>
    <w:rsid w:val="4C6F43AF"/>
    <w:rsid w:val="73D465F8"/>
    <w:rsid w:val="75680C5F"/>
    <w:rsid w:val="7CC135D3"/>
    <w:rsid w:val="7E48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531</Words>
  <Characters>2623</Characters>
  <Lines>0</Lines>
  <Paragraphs>0</Paragraphs>
  <TotalTime>2</TotalTime>
  <ScaleCrop>false</ScaleCrop>
  <LinksUpToDate>false</LinksUpToDate>
  <CharactersWithSpaces>3017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2026-02-07T03:45:00Z</dcterms:created>
  <dc:creator>asus</dc:creator>
  <cp:lastModifiedBy>liuwei</cp:lastModifiedBy>
  <dcterms:modified xsi:type="dcterms:W3CDTF">2026-04-27T14:58:08Z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eyJoZGlkIjoiNDEyMDJkYzE3MzY3YWRlYjBlNjcwYTAyZjJmMDhhY2QiLCJ1c2VySWQiOiIxMTIyNjU0MDYzIn0=</vt:lpwstr>
  </property>
  <property fmtid="{D5CDD505-2E9C-101B-9397-08002B2CF9AE}" pid="4" name="ICV">
    <vt:lpwstr>E9633C1EBACC49DC82AF5DFE1661F5A7_12</vt:lpwstr>
  </property>
</Properties>
</file>