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85FE2">
      <w:pPr>
        <w:pStyle w:val="2"/>
        <w:keepNext w:val="0"/>
        <w:keepLines w:val="0"/>
        <w:widowControl/>
        <w:suppressLineNumbers w:val="0"/>
        <w:shd w:val="clear" w:fill="FFFFFF"/>
        <w:spacing w:before="384" w:beforeAutospacing="0" w:after="192" w:afterAutospacing="0"/>
        <w:ind w:left="0" w:right="0" w:firstLine="0"/>
        <w:jc w:val="center"/>
        <w:rPr>
          <w:rFonts w:hint="eastAsia" w:ascii="Segoe UI" w:hAnsi="Segoe UI" w:eastAsia="宋体" w:cs="Segoe UI"/>
          <w:i w:val="0"/>
          <w:iCs w:val="0"/>
          <w:caps w:val="0"/>
          <w:color w:val="0F1115"/>
          <w:spacing w:val="0"/>
          <w:lang w:eastAsia="zh-CN"/>
        </w:rPr>
      </w:pPr>
      <w:bookmarkStart w:id="0" w:name="_GoBack"/>
      <w:r>
        <w:rPr>
          <w:rFonts w:hint="default" w:ascii="Segoe UI" w:hAnsi="Segoe UI" w:eastAsia="Segoe UI" w:cs="Segoe UI"/>
          <w:i w:val="0"/>
          <w:iCs w:val="0"/>
          <w:caps w:val="0"/>
          <w:color w:val="0F1115"/>
          <w:spacing w:val="0"/>
          <w:shd w:val="clear" w:fill="FFFFFF"/>
        </w:rPr>
        <w:t>Supplementary Material S</w:t>
      </w:r>
      <w:r>
        <w:rPr>
          <w:rFonts w:hint="eastAsia" w:ascii="Segoe UI" w:hAnsi="Segoe UI" w:cs="Segoe UI"/>
          <w:i w:val="0"/>
          <w:iCs w:val="0"/>
          <w:caps w:val="0"/>
          <w:color w:val="0F1115"/>
          <w:spacing w:val="0"/>
          <w:shd w:val="clear" w:fill="FFFFFF"/>
          <w:lang w:val="en-US" w:eastAsia="zh-CN"/>
        </w:rPr>
        <w:t>3</w:t>
      </w:r>
    </w:p>
    <w:bookmarkEnd w:id="0"/>
    <w:p w14:paraId="70F8529F">
      <w:pPr>
        <w:rPr>
          <w:rFonts w:hint="eastAsia"/>
        </w:rPr>
      </w:pPr>
      <w:r>
        <w:rPr>
          <w:rFonts w:hint="eastAsia"/>
        </w:rPr>
        <w:t>Sensitivity analysis: predictive performance of Tb-TW-SPI using the intervention‑consistent threshold (SPI &gt; 50)</w:t>
      </w:r>
    </w:p>
    <w:p w14:paraId="64019891">
      <w:pPr>
        <w:rPr>
          <w:rFonts w:hint="eastAsia"/>
        </w:rPr>
      </w:pPr>
    </w:p>
    <w:p w14:paraId="3CF6590C">
      <w:pPr>
        <w:rPr>
          <w:rFonts w:hint="eastAsia"/>
        </w:rPr>
      </w:pPr>
      <w:r>
        <w:rPr>
          <w:rFonts w:hint="eastAsia"/>
        </w:rPr>
        <w:t>To address the conceptual inconsistency between the primary analytical threshold (SPI &gt; 43) and the therapeutic intervention threshold (SPI &gt; 50), we re‑calculated Tb‑TW‑SPI using SPI &gt; 50 as the threshold for cumulative area calculation. The analysis was performed on the conventional analgesia group (n = 30). Moderate‑to‑severe postoperative pain was defined as NRS ≥ 4 in the PACU.</w:t>
      </w:r>
    </w:p>
    <w:p w14:paraId="30EBB529">
      <w:pPr>
        <w:rPr>
          <w:rFonts w:hint="eastAsia"/>
        </w:rPr>
      </w:pPr>
    </w:p>
    <w:p w14:paraId="43744C23">
      <w:pPr>
        <w:rPr>
          <w:rFonts w:hint="eastAsia"/>
        </w:rPr>
      </w:pPr>
      <w:r>
        <w:rPr>
          <w:rFonts w:hint="eastAsia"/>
        </w:rPr>
        <w:t>Results:</w:t>
      </w:r>
    </w:p>
    <w:p w14:paraId="6E2AB595">
      <w:pPr>
        <w:rPr>
          <w:rFonts w:hint="eastAsia"/>
        </w:rPr>
      </w:pPr>
    </w:p>
    <w:p w14:paraId="4C304D03">
      <w:pPr>
        <w:rPr>
          <w:rFonts w:hint="eastAsia"/>
        </w:rPr>
      </w:pPr>
      <w:r>
        <w:rPr>
          <w:rFonts w:hint="eastAsia"/>
        </w:rPr>
        <w:t>AUC = 0.744 (95% CI: 0.505–0.983)</w:t>
      </w:r>
    </w:p>
    <w:p w14:paraId="7D31A5E4">
      <w:pPr>
        <w:rPr>
          <w:rFonts w:hint="eastAsia"/>
        </w:rPr>
      </w:pPr>
    </w:p>
    <w:p w14:paraId="7ACEAE08">
      <w:pPr>
        <w:rPr>
          <w:rFonts w:hint="eastAsia"/>
        </w:rPr>
      </w:pPr>
      <w:r>
        <w:rPr>
          <w:rFonts w:hint="eastAsia"/>
        </w:rPr>
        <w:t>Optimal cut‑off value (Youden index) = 275.25</w:t>
      </w:r>
    </w:p>
    <w:p w14:paraId="1FAA7DF4">
      <w:pPr>
        <w:rPr>
          <w:rFonts w:hint="eastAsia"/>
        </w:rPr>
      </w:pPr>
    </w:p>
    <w:p w14:paraId="31F1E454">
      <w:pPr>
        <w:rPr>
          <w:rFonts w:hint="eastAsia"/>
        </w:rPr>
      </w:pPr>
      <w:r>
        <w:rPr>
          <w:rFonts w:hint="eastAsia"/>
        </w:rPr>
        <w:t>Sensitivity = 100%</w:t>
      </w:r>
    </w:p>
    <w:p w14:paraId="5FA8FD7F">
      <w:pPr>
        <w:rPr>
          <w:rFonts w:hint="eastAsia"/>
        </w:rPr>
      </w:pPr>
    </w:p>
    <w:p w14:paraId="697F8770">
      <w:pPr>
        <w:rPr>
          <w:rFonts w:hint="eastAsia"/>
        </w:rPr>
      </w:pPr>
      <w:r>
        <w:rPr>
          <w:rFonts w:hint="eastAsia"/>
        </w:rPr>
        <w:t>Specificity = 50%</w:t>
      </w:r>
    </w:p>
    <w:p w14:paraId="3B9E1B73">
      <w:pPr>
        <w:rPr>
          <w:rFonts w:hint="eastAsia"/>
        </w:rPr>
      </w:pPr>
    </w:p>
    <w:p w14:paraId="7E2600FA">
      <w:r>
        <w:rPr>
          <w:rFonts w:hint="eastAsia"/>
        </w:rPr>
        <w:t xml:space="preserve">Interpretation: Even when the calculation threshold is raised to match the intervention threshold, the time‑weighted metric retains moderate predictive utility. The high sensitivity (100%) suggests that this version of Tb‑TW‑SPI may be useful for ruling out patients at low risk of moderate‑to‑severe pain. These findings support the robustness of the time‑weighted concept beyond the specific choice of threshold.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var(--ds-font-family-co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A4BFB"/>
    <w:rsid w:val="0F887363"/>
    <w:rsid w:val="1D0F1F4D"/>
    <w:rsid w:val="264A6026"/>
    <w:rsid w:val="2BED7625"/>
    <w:rsid w:val="3D0575D8"/>
    <w:rsid w:val="472279C9"/>
    <w:rsid w:val="4DDA7B15"/>
    <w:rsid w:val="6F6A75EB"/>
    <w:rsid w:val="76061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TML Code"/>
    <w:basedOn w:val="5"/>
    <w:qFormat/>
    <w:uiPriority w:val="0"/>
    <w:rPr>
      <w:rFonts w:ascii="Courier New" w:hAnsi="Courier New"/>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405</Words>
  <Characters>2580</Characters>
  <Lines>0</Lines>
  <Paragraphs>0</Paragraphs>
  <TotalTime>1</TotalTime>
  <ScaleCrop>false</ScaleCrop>
  <LinksUpToDate>false</LinksUpToDate>
  <CharactersWithSpaces>2963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2026-04-22T10:31:00Z</dcterms:created>
  <dc:creator>asus</dc:creator>
  <cp:lastModifiedBy>liuwei</cp:lastModifiedBy>
  <dcterms:modified xsi:type="dcterms:W3CDTF">2026-05-27T14:56:28Z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eyJoZGlkIjoiNDEyMDJkYzE3MzY3YWRlYjBlNjcwYTAyZjJmMDhhY2QiLCJ1c2VySWQiOiIxMTIyNjU0MDYzIn0=</vt:lpwstr>
  </property>
  <property fmtid="{D5CDD505-2E9C-101B-9397-08002B2CF9AE}" pid="4" name="ICV">
    <vt:lpwstr>B4F545F8C0CF4B17A473FE0F153D35A4_12</vt:lpwstr>
  </property>
</Properties>
</file>