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B0F5B" w14:textId="77777777" w:rsidR="00BC4110" w:rsidRDefault="00BC4110" w:rsidP="00EA6A1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METHODS FOR FUNGAL CULTURE, HEADSPACE COLLECTION AND VOLATILE ANALYSIS</w:t>
      </w:r>
    </w:p>
    <w:p w14:paraId="28B908C7" w14:textId="36C991CC" w:rsidR="00BC4110" w:rsidRDefault="00BC4110" w:rsidP="00A549F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Fungal </w:t>
      </w:r>
      <w:r w:rsidR="00F4326B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ulture</w:t>
      </w:r>
    </w:p>
    <w:p w14:paraId="5D92714A" w14:textId="6DEB1DE4" w:rsidR="00BC4110" w:rsidRDefault="00BC4110" w:rsidP="00A549F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Fungal species were obtained from</w:t>
      </w:r>
      <w:r w:rsidR="00EA6A15">
        <w:rPr>
          <w:rFonts w:ascii="Times New Roman" w:hAnsi="Times New Roman" w:cs="Times New Roman"/>
          <w:sz w:val="24"/>
          <w:szCs w:val="24"/>
        </w:rPr>
        <w:t xml:space="preserve"> the culture collection</w:t>
      </w:r>
      <w:r w:rsidR="0056319C">
        <w:rPr>
          <w:rFonts w:ascii="Times New Roman" w:hAnsi="Times New Roman" w:cs="Times New Roman"/>
          <w:sz w:val="24"/>
          <w:szCs w:val="24"/>
        </w:rPr>
        <w:t>s</w:t>
      </w:r>
      <w:r w:rsidR="00EA6A15">
        <w:rPr>
          <w:rFonts w:ascii="Times New Roman" w:hAnsi="Times New Roman" w:cs="Times New Roman"/>
          <w:sz w:val="24"/>
          <w:szCs w:val="24"/>
        </w:rPr>
        <w:t xml:space="preserve"> of the Forestry and Agricultural Biotechnology Institute (University of Pretoria, South Africa), the Norwegian Landscape Institute (</w:t>
      </w:r>
      <w:r w:rsidR="00EA6A15">
        <w:rPr>
          <w:rFonts w:ascii="Calibri" w:hAnsi="Calibri" w:cs="Times New Roman"/>
          <w:sz w:val="24"/>
          <w:szCs w:val="24"/>
        </w:rPr>
        <w:t>Å</w:t>
      </w:r>
      <w:r w:rsidR="00EA6A15">
        <w:rPr>
          <w:rFonts w:ascii="Times New Roman" w:hAnsi="Times New Roman" w:cs="Times New Roman"/>
          <w:sz w:val="24"/>
          <w:szCs w:val="24"/>
        </w:rPr>
        <w:t>s, Norway) and the Plant-Pathogen Interactions Group</w:t>
      </w:r>
      <w:r w:rsidR="0056319C">
        <w:rPr>
          <w:rFonts w:ascii="Times New Roman" w:hAnsi="Times New Roman" w:cs="Times New Roman"/>
          <w:sz w:val="24"/>
          <w:szCs w:val="24"/>
        </w:rPr>
        <w:t>, Department of Biochemistry,</w:t>
      </w:r>
      <w:r w:rsidR="00EA6A15">
        <w:rPr>
          <w:rFonts w:ascii="Times New Roman" w:hAnsi="Times New Roman" w:cs="Times New Roman"/>
          <w:sz w:val="24"/>
          <w:szCs w:val="24"/>
        </w:rPr>
        <w:t xml:space="preserve"> at the Max Planck Institute for Chemical Ecology (Jena, Germany).</w:t>
      </w:r>
      <w:r>
        <w:rPr>
          <w:rFonts w:ascii="Times New Roman" w:hAnsi="Times New Roman" w:cs="Times New Roman"/>
          <w:sz w:val="24"/>
          <w:szCs w:val="24"/>
        </w:rPr>
        <w:t xml:space="preserve"> Each species was grown on agar plates for 3-5 d. Using a 4 mm </w:t>
      </w:r>
      <w:r w:rsidRPr="00A549FF">
        <w:rPr>
          <w:rFonts w:ascii="Times New Roman" w:hAnsi="Times New Roman" w:cs="Times New Roman"/>
          <w:sz w:val="24"/>
          <w:szCs w:val="24"/>
        </w:rPr>
        <w:t xml:space="preserve">sterile cork borer, three to four agar plugs from </w:t>
      </w:r>
      <w:r>
        <w:rPr>
          <w:rFonts w:ascii="Times New Roman" w:hAnsi="Times New Roman" w:cs="Times New Roman"/>
          <w:sz w:val="24"/>
          <w:szCs w:val="24"/>
        </w:rPr>
        <w:t xml:space="preserve">each plate </w:t>
      </w:r>
      <w:r w:rsidRPr="00A549FF">
        <w:rPr>
          <w:rFonts w:ascii="Times New Roman" w:hAnsi="Times New Roman" w:cs="Times New Roman"/>
          <w:sz w:val="24"/>
          <w:szCs w:val="24"/>
        </w:rPr>
        <w:t>were inoculated in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A549FF">
        <w:rPr>
          <w:rFonts w:ascii="Times New Roman" w:hAnsi="Times New Roman" w:cs="Times New Roman"/>
          <w:sz w:val="24"/>
          <w:szCs w:val="24"/>
        </w:rPr>
        <w:t xml:space="preserve"> 50 ml Erlenmeyer flask containing 20 ml of potato dextrose broth and incubated at room temperature without shaking. </w:t>
      </w:r>
    </w:p>
    <w:p w14:paraId="56110A29" w14:textId="07250BA2" w:rsidR="00A549FF" w:rsidRPr="00A549FF" w:rsidRDefault="00A549FF" w:rsidP="00A549F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9FF">
        <w:rPr>
          <w:rFonts w:ascii="Times New Roman" w:hAnsi="Times New Roman" w:cs="Times New Roman"/>
          <w:b/>
          <w:sz w:val="24"/>
          <w:szCs w:val="24"/>
        </w:rPr>
        <w:t xml:space="preserve">Sampling of </w:t>
      </w:r>
      <w:r w:rsidR="00F4326B">
        <w:rPr>
          <w:rFonts w:ascii="Times New Roman" w:hAnsi="Times New Roman" w:cs="Times New Roman"/>
          <w:b/>
          <w:sz w:val="24"/>
          <w:szCs w:val="24"/>
        </w:rPr>
        <w:t>H</w:t>
      </w:r>
      <w:r w:rsidRPr="00A549FF">
        <w:rPr>
          <w:rFonts w:ascii="Times New Roman" w:hAnsi="Times New Roman" w:cs="Times New Roman"/>
          <w:b/>
          <w:sz w:val="24"/>
          <w:szCs w:val="24"/>
        </w:rPr>
        <w:t xml:space="preserve">ead </w:t>
      </w:r>
      <w:r w:rsidR="00F4326B">
        <w:rPr>
          <w:rFonts w:ascii="Times New Roman" w:hAnsi="Times New Roman" w:cs="Times New Roman"/>
          <w:b/>
          <w:sz w:val="24"/>
          <w:szCs w:val="24"/>
        </w:rPr>
        <w:t>S</w:t>
      </w:r>
      <w:r w:rsidRPr="00A549FF">
        <w:rPr>
          <w:rFonts w:ascii="Times New Roman" w:hAnsi="Times New Roman" w:cs="Times New Roman"/>
          <w:b/>
          <w:sz w:val="24"/>
          <w:szCs w:val="24"/>
        </w:rPr>
        <w:t xml:space="preserve">pace </w:t>
      </w:r>
      <w:r w:rsidR="00F4326B">
        <w:rPr>
          <w:rFonts w:ascii="Times New Roman" w:hAnsi="Times New Roman" w:cs="Times New Roman"/>
          <w:b/>
          <w:sz w:val="24"/>
          <w:szCs w:val="24"/>
        </w:rPr>
        <w:t>F</w:t>
      </w:r>
      <w:r w:rsidRPr="00A549FF">
        <w:rPr>
          <w:rFonts w:ascii="Times New Roman" w:hAnsi="Times New Roman" w:cs="Times New Roman"/>
          <w:b/>
          <w:sz w:val="24"/>
          <w:szCs w:val="24"/>
        </w:rPr>
        <w:t xml:space="preserve">ungal </w:t>
      </w:r>
      <w:r w:rsidR="00F4326B">
        <w:rPr>
          <w:rFonts w:ascii="Times New Roman" w:hAnsi="Times New Roman" w:cs="Times New Roman"/>
          <w:b/>
          <w:sz w:val="24"/>
          <w:szCs w:val="24"/>
        </w:rPr>
        <w:t>V</w:t>
      </w:r>
      <w:r w:rsidRPr="00A549FF">
        <w:rPr>
          <w:rFonts w:ascii="Times New Roman" w:hAnsi="Times New Roman" w:cs="Times New Roman"/>
          <w:b/>
          <w:sz w:val="24"/>
          <w:szCs w:val="24"/>
        </w:rPr>
        <w:t xml:space="preserve">olatile </w:t>
      </w:r>
      <w:r w:rsidR="00F4326B">
        <w:rPr>
          <w:rFonts w:ascii="Times New Roman" w:hAnsi="Times New Roman" w:cs="Times New Roman"/>
          <w:b/>
          <w:sz w:val="24"/>
          <w:szCs w:val="24"/>
        </w:rPr>
        <w:t>C</w:t>
      </w:r>
      <w:r w:rsidRPr="00A549FF">
        <w:rPr>
          <w:rFonts w:ascii="Times New Roman" w:hAnsi="Times New Roman" w:cs="Times New Roman"/>
          <w:b/>
          <w:sz w:val="24"/>
          <w:szCs w:val="24"/>
        </w:rPr>
        <w:t xml:space="preserve">ompounds </w:t>
      </w:r>
      <w:r w:rsidRPr="00A549FF">
        <w:rPr>
          <w:rFonts w:ascii="Times New Roman" w:hAnsi="Times New Roman" w:cs="Times New Roman"/>
          <w:b/>
          <w:i/>
          <w:sz w:val="24"/>
          <w:szCs w:val="24"/>
        </w:rPr>
        <w:t>in vitro</w:t>
      </w:r>
    </w:p>
    <w:p w14:paraId="66BF9E69" w14:textId="7BC05B05" w:rsidR="00A549FF" w:rsidRPr="00A549FF" w:rsidRDefault="00A549FF" w:rsidP="00A549F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FF">
        <w:rPr>
          <w:rFonts w:ascii="Times New Roman" w:hAnsi="Times New Roman" w:cs="Times New Roman"/>
          <w:sz w:val="24"/>
          <w:szCs w:val="24"/>
        </w:rPr>
        <w:t xml:space="preserve">Aliquots of 200 µl </w:t>
      </w:r>
      <w:r w:rsidR="00BC4110">
        <w:rPr>
          <w:rFonts w:ascii="Times New Roman" w:hAnsi="Times New Roman" w:cs="Times New Roman"/>
          <w:sz w:val="24"/>
          <w:szCs w:val="24"/>
        </w:rPr>
        <w:t xml:space="preserve">of fungal broth </w:t>
      </w:r>
      <w:r w:rsidRPr="00A549FF">
        <w:rPr>
          <w:rFonts w:ascii="Times New Roman" w:hAnsi="Times New Roman" w:cs="Times New Roman"/>
          <w:sz w:val="24"/>
          <w:szCs w:val="24"/>
        </w:rPr>
        <w:t xml:space="preserve">were removed periodically from </w:t>
      </w:r>
      <w:r w:rsidR="00BC4110">
        <w:rPr>
          <w:rFonts w:ascii="Times New Roman" w:hAnsi="Times New Roman" w:cs="Times New Roman"/>
          <w:sz w:val="24"/>
          <w:szCs w:val="24"/>
        </w:rPr>
        <w:t xml:space="preserve">culture </w:t>
      </w:r>
      <w:r w:rsidRPr="00A549FF">
        <w:rPr>
          <w:rFonts w:ascii="Times New Roman" w:hAnsi="Times New Roman" w:cs="Times New Roman"/>
          <w:sz w:val="24"/>
          <w:szCs w:val="24"/>
        </w:rPr>
        <w:t xml:space="preserve">flasks and </w:t>
      </w:r>
      <w:r w:rsidR="00BC4110">
        <w:rPr>
          <w:rFonts w:ascii="Times New Roman" w:hAnsi="Times New Roman" w:cs="Times New Roman"/>
          <w:sz w:val="24"/>
          <w:szCs w:val="24"/>
        </w:rPr>
        <w:t xml:space="preserve">transferred to </w:t>
      </w:r>
      <w:r w:rsidRPr="00A549FF">
        <w:rPr>
          <w:rFonts w:ascii="Times New Roman" w:hAnsi="Times New Roman" w:cs="Times New Roman"/>
          <w:sz w:val="24"/>
          <w:szCs w:val="24"/>
        </w:rPr>
        <w:t>1.5</w:t>
      </w:r>
      <w:r w:rsidR="00BC4110">
        <w:rPr>
          <w:rFonts w:ascii="Times New Roman" w:hAnsi="Times New Roman" w:cs="Times New Roman"/>
          <w:sz w:val="24"/>
          <w:szCs w:val="24"/>
        </w:rPr>
        <w:t xml:space="preserve"> </w:t>
      </w:r>
      <w:r w:rsidRPr="00A549FF">
        <w:rPr>
          <w:rFonts w:ascii="Times New Roman" w:hAnsi="Times New Roman" w:cs="Times New Roman"/>
          <w:sz w:val="24"/>
          <w:szCs w:val="24"/>
        </w:rPr>
        <w:t>ml screw cap glass vials. For headspace analysis, polydimethylsiloxane (PDMS) sorbent, commercially available as silicone tubes (STs) (5</w:t>
      </w:r>
      <w:r w:rsidR="00BC4110">
        <w:rPr>
          <w:rFonts w:ascii="Times New Roman" w:hAnsi="Times New Roman" w:cs="Times New Roman"/>
          <w:sz w:val="24"/>
          <w:szCs w:val="24"/>
        </w:rPr>
        <w:t xml:space="preserve"> </w:t>
      </w:r>
      <w:r w:rsidRPr="00A549FF">
        <w:rPr>
          <w:rFonts w:ascii="Times New Roman" w:hAnsi="Times New Roman" w:cs="Times New Roman"/>
          <w:sz w:val="24"/>
          <w:szCs w:val="24"/>
        </w:rPr>
        <w:t xml:space="preserve">mm) </w:t>
      </w:r>
      <w:r w:rsidR="00BC4110">
        <w:rPr>
          <w:rFonts w:ascii="Times New Roman" w:hAnsi="Times New Roman" w:cs="Times New Roman"/>
          <w:sz w:val="24"/>
          <w:szCs w:val="24"/>
        </w:rPr>
        <w:t>was</w:t>
      </w:r>
      <w:r w:rsidR="00BC4110" w:rsidRPr="00A549FF">
        <w:rPr>
          <w:rFonts w:ascii="Times New Roman" w:hAnsi="Times New Roman" w:cs="Times New Roman"/>
          <w:sz w:val="24"/>
          <w:szCs w:val="24"/>
        </w:rPr>
        <w:t xml:space="preserve"> </w:t>
      </w:r>
      <w:r w:rsidRPr="00A549FF">
        <w:rPr>
          <w:rFonts w:ascii="Times New Roman" w:hAnsi="Times New Roman" w:cs="Times New Roman"/>
          <w:sz w:val="24"/>
          <w:szCs w:val="24"/>
        </w:rPr>
        <w:t xml:space="preserve">prepared </w:t>
      </w:r>
      <w:r w:rsidRPr="00A549FF">
        <w:rPr>
          <w:rFonts w:ascii="Times New Roman" w:hAnsi="Times New Roman" w:cs="Times New Roman"/>
          <w:noProof/>
          <w:sz w:val="24"/>
          <w:szCs w:val="24"/>
        </w:rPr>
        <w:t xml:space="preserve">(Kallenbach </w:t>
      </w:r>
      <w:r>
        <w:rPr>
          <w:rFonts w:ascii="Times New Roman" w:hAnsi="Times New Roman" w:cs="Times New Roman"/>
          <w:noProof/>
          <w:sz w:val="24"/>
          <w:szCs w:val="24"/>
        </w:rPr>
        <w:t>et al.</w:t>
      </w:r>
      <w:r w:rsidRPr="00A549FF">
        <w:rPr>
          <w:rFonts w:ascii="Times New Roman" w:hAnsi="Times New Roman" w:cs="Times New Roman"/>
          <w:noProof/>
          <w:sz w:val="24"/>
          <w:szCs w:val="24"/>
        </w:rPr>
        <w:t xml:space="preserve"> 2014)</w:t>
      </w:r>
      <w:r w:rsidRPr="00A549FF">
        <w:rPr>
          <w:rFonts w:ascii="Times New Roman" w:hAnsi="Times New Roman" w:cs="Times New Roman"/>
          <w:sz w:val="24"/>
          <w:szCs w:val="24"/>
        </w:rPr>
        <w:t xml:space="preserve">. A single ST was hung in each glass vial containing fungal volatiles with the help of manually crafted metal hook attached to bottom of the screw cap. After two hours of </w:t>
      </w:r>
      <w:r w:rsidR="00BC4110">
        <w:rPr>
          <w:rFonts w:ascii="Times New Roman" w:hAnsi="Times New Roman" w:cs="Times New Roman"/>
          <w:sz w:val="24"/>
          <w:szCs w:val="24"/>
        </w:rPr>
        <w:t>ad</w:t>
      </w:r>
      <w:r w:rsidRPr="00A549FF">
        <w:rPr>
          <w:rFonts w:ascii="Times New Roman" w:hAnsi="Times New Roman" w:cs="Times New Roman"/>
          <w:sz w:val="24"/>
          <w:szCs w:val="24"/>
        </w:rPr>
        <w:t>sorption, STs were transferred into clean 1.5</w:t>
      </w:r>
      <w:r w:rsidR="00BC4110">
        <w:rPr>
          <w:rFonts w:ascii="Times New Roman" w:hAnsi="Times New Roman" w:cs="Times New Roman"/>
          <w:sz w:val="24"/>
          <w:szCs w:val="24"/>
        </w:rPr>
        <w:t xml:space="preserve"> </w:t>
      </w:r>
      <w:r w:rsidRPr="00A549FF">
        <w:rPr>
          <w:rFonts w:ascii="Times New Roman" w:hAnsi="Times New Roman" w:cs="Times New Roman"/>
          <w:sz w:val="24"/>
          <w:szCs w:val="24"/>
        </w:rPr>
        <w:t xml:space="preserve">ml brown glass vials and stored at -20°C </w:t>
      </w:r>
      <w:r w:rsidR="00BC4110">
        <w:rPr>
          <w:rFonts w:ascii="Times New Roman" w:hAnsi="Times New Roman" w:cs="Times New Roman"/>
          <w:sz w:val="24"/>
          <w:szCs w:val="24"/>
        </w:rPr>
        <w:t xml:space="preserve">before </w:t>
      </w:r>
      <w:r w:rsidRPr="00A549FF">
        <w:rPr>
          <w:rFonts w:ascii="Times New Roman" w:hAnsi="Times New Roman" w:cs="Times New Roman"/>
          <w:sz w:val="24"/>
          <w:szCs w:val="24"/>
        </w:rPr>
        <w:t xml:space="preserve">analysis. </w:t>
      </w:r>
    </w:p>
    <w:p w14:paraId="602D01FA" w14:textId="0D3F0839" w:rsidR="00A549FF" w:rsidRPr="00A549FF" w:rsidRDefault="00BC4110" w:rsidP="00A549F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Thermal </w:t>
      </w:r>
      <w:r w:rsidR="00F4326B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esorption-</w:t>
      </w:r>
      <w:r w:rsidR="00F4326B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 xml:space="preserve">as </w:t>
      </w:r>
      <w:r w:rsidR="00F4326B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hromatography-</w:t>
      </w:r>
      <w:r w:rsidR="00F4326B">
        <w:rPr>
          <w:rFonts w:ascii="Times New Roman" w:hAnsi="Times New Roman" w:cs="Times New Roman"/>
          <w:b/>
          <w:sz w:val="24"/>
          <w:szCs w:val="24"/>
        </w:rPr>
        <w:t>Q</w:t>
      </w:r>
      <w:r>
        <w:rPr>
          <w:rFonts w:ascii="Times New Roman" w:hAnsi="Times New Roman" w:cs="Times New Roman"/>
          <w:b/>
          <w:sz w:val="24"/>
          <w:szCs w:val="24"/>
        </w:rPr>
        <w:t xml:space="preserve">uadrupole </w:t>
      </w:r>
      <w:r w:rsidR="00F4326B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 xml:space="preserve">ass </w:t>
      </w:r>
      <w:r w:rsidR="00F4326B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pectrometry (</w:t>
      </w:r>
      <w:r w:rsidR="00A549FF" w:rsidRPr="00A549FF">
        <w:rPr>
          <w:rFonts w:ascii="Times New Roman" w:hAnsi="Times New Roman" w:cs="Times New Roman"/>
          <w:b/>
          <w:sz w:val="24"/>
          <w:szCs w:val="24"/>
        </w:rPr>
        <w:t>TD-GC-QMS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A549FF" w:rsidRPr="00A549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26B">
        <w:rPr>
          <w:rFonts w:ascii="Times New Roman" w:hAnsi="Times New Roman" w:cs="Times New Roman"/>
          <w:b/>
          <w:sz w:val="24"/>
          <w:szCs w:val="24"/>
        </w:rPr>
        <w:t>A</w:t>
      </w:r>
      <w:r w:rsidR="00A549FF" w:rsidRPr="00A549FF">
        <w:rPr>
          <w:rFonts w:ascii="Times New Roman" w:hAnsi="Times New Roman" w:cs="Times New Roman"/>
          <w:b/>
          <w:sz w:val="24"/>
          <w:szCs w:val="24"/>
        </w:rPr>
        <w:t>nalysis</w:t>
      </w:r>
    </w:p>
    <w:p w14:paraId="723488FC" w14:textId="462B18FF" w:rsidR="00A549FF" w:rsidRPr="00A549FF" w:rsidRDefault="00A549FF" w:rsidP="00A549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549FF">
        <w:rPr>
          <w:rFonts w:ascii="Times New Roman" w:hAnsi="Times New Roman" w:cs="Times New Roman"/>
          <w:sz w:val="24"/>
          <w:szCs w:val="24"/>
        </w:rPr>
        <w:t xml:space="preserve">Volatile samples were analyzed in </w:t>
      </w:r>
      <w:r w:rsidR="00BC4110">
        <w:rPr>
          <w:rFonts w:ascii="Times New Roman" w:hAnsi="Times New Roman" w:cs="Times New Roman"/>
          <w:sz w:val="24"/>
          <w:szCs w:val="24"/>
        </w:rPr>
        <w:t xml:space="preserve">a </w:t>
      </w:r>
      <w:r w:rsidRPr="00A549FF">
        <w:rPr>
          <w:rFonts w:ascii="Times New Roman" w:hAnsi="Times New Roman" w:cs="Times New Roman"/>
          <w:sz w:val="24"/>
          <w:szCs w:val="24"/>
        </w:rPr>
        <w:t>TD-GC-QMS system equipped with a TD-20 thermal desorption unit (Shimadzu), a GC Cryo-Trap (</w:t>
      </w:r>
      <w:r w:rsidRPr="00A549FF">
        <w:rPr>
          <w:rFonts w:ascii="Times New Roman" w:eastAsia="Times New Roman" w:hAnsi="Times New Roman" w:cs="Times New Roman"/>
          <w:sz w:val="24"/>
          <w:szCs w:val="24"/>
        </w:rPr>
        <w:t>Tenax®</w:t>
      </w:r>
      <w:r w:rsidRPr="00A549FF">
        <w:rPr>
          <w:rFonts w:ascii="Times New Roman" w:hAnsi="Times New Roman" w:cs="Times New Roman"/>
          <w:sz w:val="24"/>
          <w:szCs w:val="24"/>
        </w:rPr>
        <w:t xml:space="preserve">), and a GC-2010 plus system connected </w:t>
      </w:r>
      <w:r w:rsidRPr="00A549FF">
        <w:rPr>
          <w:rFonts w:ascii="Times New Roman" w:hAnsi="Times New Roman" w:cs="Times New Roman"/>
          <w:sz w:val="24"/>
          <w:szCs w:val="24"/>
        </w:rPr>
        <w:lastRenderedPageBreak/>
        <w:t>to</w:t>
      </w:r>
      <w:r w:rsidRPr="00A549FF">
        <w:rPr>
          <w:rFonts w:ascii="Times New Roman" w:eastAsia="Times New Roman" w:hAnsi="Times New Roman" w:cs="Times New Roman"/>
          <w:sz w:val="24"/>
          <w:szCs w:val="24"/>
        </w:rPr>
        <w:t xml:space="preserve"> a quadrupole GC-MS-QP2010 Ultra (Shimadzu). A single ST was placed inside </w:t>
      </w:r>
      <w:r w:rsidR="00BC4110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Pr="00A549FF">
        <w:rPr>
          <w:rFonts w:ascii="Times New Roman" w:eastAsia="Times New Roman" w:hAnsi="Times New Roman" w:cs="Times New Roman"/>
          <w:sz w:val="24"/>
          <w:szCs w:val="24"/>
        </w:rPr>
        <w:t>8</w:t>
      </w:r>
      <w:r w:rsidR="00BC4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49FF">
        <w:rPr>
          <w:rFonts w:ascii="Times New Roman" w:eastAsia="Times New Roman" w:hAnsi="Times New Roman" w:cs="Times New Roman"/>
          <w:sz w:val="24"/>
          <w:szCs w:val="24"/>
        </w:rPr>
        <w:t>mm glass TD tube and desorbed at the rate of 60 ml min</w:t>
      </w:r>
      <w:r w:rsidRPr="00A549F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A549FF">
        <w:rPr>
          <w:rFonts w:ascii="Times New Roman" w:eastAsia="Times New Roman" w:hAnsi="Times New Roman" w:cs="Times New Roman"/>
          <w:sz w:val="24"/>
          <w:szCs w:val="24"/>
        </w:rPr>
        <w:t xml:space="preserve"> for 8 min at 200°C under </w:t>
      </w:r>
      <w:r w:rsidR="00BC4110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A549FF">
        <w:rPr>
          <w:rFonts w:ascii="Times New Roman" w:eastAsia="Times New Roman" w:hAnsi="Times New Roman" w:cs="Times New Roman"/>
          <w:sz w:val="24"/>
          <w:szCs w:val="24"/>
        </w:rPr>
        <w:t>stream of N</w:t>
      </w:r>
      <w:r w:rsidRPr="00A549FF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549FF">
        <w:rPr>
          <w:rFonts w:ascii="Times New Roman" w:eastAsia="Times New Roman" w:hAnsi="Times New Roman" w:cs="Times New Roman"/>
          <w:sz w:val="24"/>
          <w:szCs w:val="24"/>
        </w:rPr>
        <w:t xml:space="preserve"> gas. The desorbed substances were cryo-focused at -60°C. After that </w:t>
      </w:r>
      <w:r w:rsidR="00BC4110">
        <w:rPr>
          <w:rFonts w:ascii="Times New Roman" w:eastAsia="Times New Roman" w:hAnsi="Times New Roman" w:cs="Times New Roman"/>
          <w:sz w:val="24"/>
          <w:szCs w:val="24"/>
        </w:rPr>
        <w:t xml:space="preserve">the trap </w:t>
      </w:r>
      <w:r w:rsidRPr="00A549FF">
        <w:rPr>
          <w:rFonts w:ascii="Times New Roman" w:eastAsia="Times New Roman" w:hAnsi="Times New Roman" w:cs="Times New Roman"/>
          <w:sz w:val="24"/>
          <w:szCs w:val="24"/>
        </w:rPr>
        <w:t>was heated to 230°C</w:t>
      </w:r>
      <w:r w:rsidR="00F4326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549FF">
        <w:rPr>
          <w:rFonts w:ascii="Times New Roman" w:eastAsia="Times New Roman" w:hAnsi="Times New Roman" w:cs="Times New Roman"/>
          <w:sz w:val="24"/>
          <w:szCs w:val="24"/>
        </w:rPr>
        <w:t xml:space="preserve"> and the analytes were injected using splitless mode on to a Rtx-5MS GC column (</w:t>
      </w:r>
      <w:r w:rsidRPr="0032392F">
        <w:rPr>
          <w:rFonts w:ascii="Times New Roman" w:eastAsia="Times New Roman" w:hAnsi="Times New Roman" w:cs="Times New Roman"/>
          <w:sz w:val="24"/>
          <w:szCs w:val="24"/>
        </w:rPr>
        <w:t xml:space="preserve">thickness- 0.25 µm, length- 30 m, diam-0.25 µm) using helium as carrier gas. The oven temperature was programmed as follows: 45°C initial (held for 2 min), then ramped to 250°C at a rate of 6°/min, and finally to 300°C (held for 3 min). The run time was </w:t>
      </w:r>
      <w:r w:rsidR="00BC4110" w:rsidRPr="0032392F">
        <w:rPr>
          <w:rFonts w:ascii="Times New Roman" w:eastAsia="Times New Roman" w:hAnsi="Times New Roman" w:cs="Times New Roman"/>
          <w:sz w:val="24"/>
          <w:szCs w:val="24"/>
        </w:rPr>
        <w:t xml:space="preserve">approximately 40 </w:t>
      </w:r>
      <w:r w:rsidRPr="0032392F">
        <w:rPr>
          <w:rFonts w:ascii="Times New Roman" w:eastAsia="Times New Roman" w:hAnsi="Times New Roman" w:cs="Times New Roman"/>
          <w:sz w:val="24"/>
          <w:szCs w:val="24"/>
        </w:rPr>
        <w:t xml:space="preserve">min for each sample. Compounds in Table 2 were identified by </w:t>
      </w:r>
      <w:r w:rsidR="006B14FD" w:rsidRPr="0032392F">
        <w:rPr>
          <w:rFonts w:ascii="Times New Roman" w:eastAsia="Times New Roman" w:hAnsi="Times New Roman" w:cs="Times New Roman"/>
          <w:sz w:val="24"/>
          <w:szCs w:val="24"/>
        </w:rPr>
        <w:t xml:space="preserve">comparison of </w:t>
      </w:r>
      <w:r w:rsidRPr="0032392F">
        <w:rPr>
          <w:rFonts w:ascii="Times New Roman" w:eastAsia="Times New Roman" w:hAnsi="Times New Roman" w:cs="Times New Roman"/>
          <w:sz w:val="24"/>
          <w:szCs w:val="24"/>
        </w:rPr>
        <w:t xml:space="preserve">their mass spectra </w:t>
      </w:r>
      <w:r w:rsidR="006B14FD" w:rsidRPr="0032392F">
        <w:rPr>
          <w:rFonts w:ascii="Times New Roman" w:eastAsia="Times New Roman" w:hAnsi="Times New Roman" w:cs="Times New Roman"/>
          <w:sz w:val="24"/>
          <w:szCs w:val="24"/>
        </w:rPr>
        <w:t xml:space="preserve">and retention times to those of </w:t>
      </w:r>
      <w:r w:rsidR="004825CD" w:rsidRPr="0032392F">
        <w:rPr>
          <w:rFonts w:ascii="Times New Roman" w:eastAsia="Times New Roman" w:hAnsi="Times New Roman" w:cs="Times New Roman"/>
          <w:sz w:val="24"/>
          <w:szCs w:val="24"/>
        </w:rPr>
        <w:t>authentic</w:t>
      </w:r>
      <w:r w:rsidR="006B14FD" w:rsidRPr="0032392F">
        <w:rPr>
          <w:rFonts w:ascii="Times New Roman" w:eastAsia="Times New Roman" w:hAnsi="Times New Roman" w:cs="Times New Roman"/>
          <w:sz w:val="24"/>
          <w:szCs w:val="24"/>
        </w:rPr>
        <w:t xml:space="preserve"> standards, </w:t>
      </w:r>
      <w:r w:rsidR="00F76984" w:rsidRPr="0032392F">
        <w:rPr>
          <w:rFonts w:ascii="Times New Roman" w:eastAsia="Times New Roman" w:hAnsi="Times New Roman" w:cs="Times New Roman"/>
          <w:sz w:val="24"/>
          <w:szCs w:val="24"/>
        </w:rPr>
        <w:t>expect</w:t>
      </w:r>
      <w:r w:rsidR="00DC7B07" w:rsidRPr="00323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6984" w:rsidRPr="0032392F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DC7B07" w:rsidRPr="0032392F">
        <w:rPr>
          <w:rFonts w:ascii="Times New Roman" w:eastAsia="Times New Roman" w:hAnsi="Times New Roman" w:cs="Times New Roman"/>
          <w:sz w:val="24"/>
          <w:szCs w:val="24"/>
        </w:rPr>
        <w:t>2,3-</w:t>
      </w:r>
      <w:r w:rsidR="00F76984" w:rsidRPr="0032392F">
        <w:rPr>
          <w:rFonts w:ascii="Times New Roman" w:eastAsia="Times New Roman" w:hAnsi="Times New Roman" w:cs="Times New Roman"/>
          <w:sz w:val="24"/>
          <w:szCs w:val="24"/>
        </w:rPr>
        <w:t>d</w:t>
      </w:r>
      <w:r w:rsidR="00DC7B07" w:rsidRPr="0032392F">
        <w:rPr>
          <w:rFonts w:ascii="Times New Roman" w:eastAsia="Times New Roman" w:hAnsi="Times New Roman" w:cs="Times New Roman"/>
          <w:sz w:val="24"/>
          <w:szCs w:val="24"/>
        </w:rPr>
        <w:t>ihydrobenzofuran and methyl (</w:t>
      </w:r>
      <w:r w:rsidR="00DC7B07" w:rsidRPr="0032392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DC7B07" w:rsidRPr="0032392F">
        <w:rPr>
          <w:rFonts w:ascii="Times New Roman" w:eastAsia="Times New Roman" w:hAnsi="Times New Roman" w:cs="Times New Roman"/>
          <w:sz w:val="24"/>
          <w:szCs w:val="24"/>
        </w:rPr>
        <w:t>)-</w:t>
      </w:r>
      <w:r w:rsidR="00F76984" w:rsidRPr="0032392F">
        <w:rPr>
          <w:rFonts w:ascii="Times New Roman" w:eastAsia="Times New Roman" w:hAnsi="Times New Roman" w:cs="Times New Roman"/>
          <w:sz w:val="24"/>
          <w:szCs w:val="24"/>
        </w:rPr>
        <w:t>cinnamate</w:t>
      </w:r>
      <w:r w:rsidR="00DC7B07" w:rsidRPr="00323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5CD" w:rsidRPr="0032392F">
        <w:rPr>
          <w:rFonts w:ascii="Times New Roman" w:eastAsia="Times New Roman" w:hAnsi="Times New Roman" w:cs="Times New Roman"/>
          <w:sz w:val="24"/>
          <w:szCs w:val="24"/>
        </w:rPr>
        <w:t xml:space="preserve">whose </w:t>
      </w:r>
      <w:r w:rsidR="00F76984" w:rsidRPr="0032392F">
        <w:rPr>
          <w:rFonts w:ascii="Times New Roman" w:eastAsia="Times New Roman" w:hAnsi="Times New Roman" w:cs="Times New Roman"/>
          <w:sz w:val="24"/>
          <w:szCs w:val="24"/>
        </w:rPr>
        <w:t xml:space="preserve">identity was based </w:t>
      </w:r>
      <w:r w:rsidR="004825CD" w:rsidRPr="0032392F">
        <w:rPr>
          <w:rFonts w:ascii="Times New Roman" w:eastAsia="Times New Roman" w:hAnsi="Times New Roman" w:cs="Times New Roman"/>
          <w:sz w:val="24"/>
          <w:szCs w:val="24"/>
        </w:rPr>
        <w:t>only on comparison of their mass spectra to those found in reference data bases</w:t>
      </w:r>
      <w:r w:rsidR="004825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7817BE" w14:textId="77777777" w:rsidR="00A549FF" w:rsidRPr="00A549FF" w:rsidRDefault="00A549FF" w:rsidP="00A549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33B8F3" w14:textId="672BA9A7" w:rsidR="00A549FF" w:rsidRPr="00A549FF" w:rsidRDefault="0056319C" w:rsidP="00A549FF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C7B07">
        <w:rPr>
          <w:rFonts w:ascii="Times New Roman" w:hAnsi="Times New Roman" w:cs="Times New Roman"/>
          <w:sz w:val="24"/>
          <w:szCs w:val="24"/>
        </w:rPr>
        <w:t>Kallenbach M, Oh Y, Eilers EJ, Veit D, Baldwin IT, Schuman MC</w:t>
      </w:r>
      <w:r w:rsidR="00A549FF" w:rsidRPr="00DC7B07">
        <w:rPr>
          <w:rFonts w:ascii="Times New Roman" w:hAnsi="Times New Roman" w:cs="Times New Roman"/>
          <w:sz w:val="24"/>
          <w:szCs w:val="24"/>
        </w:rPr>
        <w:t xml:space="preserve"> </w:t>
      </w:r>
      <w:r w:rsidRPr="00DC7B07">
        <w:rPr>
          <w:rFonts w:ascii="Times New Roman" w:hAnsi="Times New Roman" w:cs="Times New Roman"/>
          <w:sz w:val="24"/>
          <w:szCs w:val="24"/>
        </w:rPr>
        <w:t>(</w:t>
      </w:r>
      <w:r w:rsidR="00A549FF" w:rsidRPr="00DC7B07">
        <w:rPr>
          <w:rFonts w:ascii="Times New Roman" w:hAnsi="Times New Roman" w:cs="Times New Roman"/>
          <w:sz w:val="24"/>
          <w:szCs w:val="24"/>
        </w:rPr>
        <w:t>2014</w:t>
      </w:r>
      <w:r w:rsidRPr="00DC7B07">
        <w:rPr>
          <w:rFonts w:ascii="Times New Roman" w:hAnsi="Times New Roman" w:cs="Times New Roman"/>
          <w:sz w:val="24"/>
          <w:szCs w:val="24"/>
        </w:rPr>
        <w:t>)</w:t>
      </w:r>
      <w:r w:rsidR="00A549FF" w:rsidRPr="00DC7B07">
        <w:rPr>
          <w:rFonts w:ascii="Times New Roman" w:hAnsi="Times New Roman" w:cs="Times New Roman"/>
          <w:sz w:val="24"/>
          <w:szCs w:val="24"/>
        </w:rPr>
        <w:t xml:space="preserve"> </w:t>
      </w:r>
      <w:r w:rsidR="00A549FF" w:rsidRPr="00A549FF">
        <w:rPr>
          <w:rFonts w:ascii="Times New Roman" w:hAnsi="Times New Roman" w:cs="Times New Roman"/>
          <w:sz w:val="24"/>
          <w:szCs w:val="24"/>
        </w:rPr>
        <w:t xml:space="preserve">A robust, simple, high-throughput technique for time-resolved plant volatile analysis in field experiments. Plant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A549FF">
        <w:rPr>
          <w:rFonts w:ascii="Times New Roman" w:hAnsi="Times New Roman" w:cs="Times New Roman"/>
          <w:sz w:val="24"/>
          <w:szCs w:val="24"/>
        </w:rPr>
        <w:t xml:space="preserve"> </w:t>
      </w:r>
      <w:r w:rsidR="00A549FF" w:rsidRPr="00A549FF">
        <w:rPr>
          <w:rFonts w:ascii="Times New Roman" w:hAnsi="Times New Roman" w:cs="Times New Roman"/>
          <w:sz w:val="24"/>
          <w:szCs w:val="24"/>
        </w:rPr>
        <w:t>78:1060-1072</w:t>
      </w:r>
    </w:p>
    <w:p w14:paraId="514B35D1" w14:textId="77777777" w:rsidR="00A549FF" w:rsidRPr="00A549FF" w:rsidRDefault="00A549FF" w:rsidP="00A549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D5C705C" w14:textId="77777777" w:rsidR="00BC4110" w:rsidRPr="00A549FF" w:rsidRDefault="00BC4110" w:rsidP="00A549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BC4110" w:rsidRPr="00A549FF" w:rsidSect="000B051F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549FF"/>
    <w:rsid w:val="00026F62"/>
    <w:rsid w:val="000B051F"/>
    <w:rsid w:val="00144E97"/>
    <w:rsid w:val="00165F95"/>
    <w:rsid w:val="0032392F"/>
    <w:rsid w:val="0043185E"/>
    <w:rsid w:val="004806E6"/>
    <w:rsid w:val="004825CD"/>
    <w:rsid w:val="00502177"/>
    <w:rsid w:val="0056319C"/>
    <w:rsid w:val="006B14FD"/>
    <w:rsid w:val="007A0983"/>
    <w:rsid w:val="008D1626"/>
    <w:rsid w:val="00907102"/>
    <w:rsid w:val="00941B5D"/>
    <w:rsid w:val="00A549FF"/>
    <w:rsid w:val="00AF6919"/>
    <w:rsid w:val="00BC0669"/>
    <w:rsid w:val="00BC4110"/>
    <w:rsid w:val="00C31CEA"/>
    <w:rsid w:val="00DC7B07"/>
    <w:rsid w:val="00E009A2"/>
    <w:rsid w:val="00EA6A15"/>
    <w:rsid w:val="00F4326B"/>
    <w:rsid w:val="00F7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228183"/>
  <w15:docId w15:val="{A6C1F258-4CA8-4873-893A-BD14F64E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549FF"/>
  </w:style>
  <w:style w:type="paragraph" w:customStyle="1" w:styleId="EndNoteBibliographyTitle">
    <w:name w:val="EndNote Bibliography Title"/>
    <w:basedOn w:val="Normal"/>
    <w:link w:val="EndNoteBibliographyTitleChar"/>
    <w:rsid w:val="00A549FF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549FF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549FF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549FF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11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11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098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98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98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98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9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MPI for chemical ecology</Company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Dineshkumar Kandasamy</dc:creator>
  <cp:lastModifiedBy>DeLuca, Joseph</cp:lastModifiedBy>
  <cp:revision>5</cp:revision>
  <dcterms:created xsi:type="dcterms:W3CDTF">2016-08-09T21:23:00Z</dcterms:created>
  <dcterms:modified xsi:type="dcterms:W3CDTF">2016-09-08T20:28:00Z</dcterms:modified>
</cp:coreProperties>
</file>