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00"/>
        <w:rPr>
          <w:rFonts w:ascii="Arial Unicode MS" w:hAnsi="Arial Unicode MS" w:cs="Arial Unicode MS"/>
          <w:color w:val="000000" w:themeColor="text1"/>
          <w:vertAlign w:val="superscript"/>
        </w:rPr>
      </w:pPr>
      <w:bookmarkStart w:id="0" w:name="_GoBack"/>
      <w:bookmarkEnd w:id="0"/>
      <w:r>
        <w:rPr>
          <w:rFonts w:cs="Arial Unicode MS" w:ascii="Arial Unicode MS" w:hAnsi="Arial Unicode MS"/>
          <w:b/>
          <w:bCs/>
          <w:color w:val="000000"/>
          <w:lang w:eastAsia="zh-CN"/>
        </w:rPr>
        <w:t xml:space="preserve">Supplementary Materials Table 1. </w:t>
      </w:r>
      <w:r>
        <w:rPr>
          <w:rFonts w:cs="Arial Unicode MS" w:ascii="Arial Unicode MS" w:hAnsi="Arial Unicode MS"/>
          <w:color w:val="000000" w:themeColor="text1"/>
        </w:rPr>
        <w:t xml:space="preserve">Association of </w:t>
      </w:r>
      <w:r>
        <w:rPr>
          <w:rFonts w:cs="Arial Unicode MS" w:ascii="Arial Unicode MS" w:hAnsi="Arial Unicode MS"/>
          <w:color w:val="000000"/>
          <w:lang w:eastAsia="zh-CN"/>
        </w:rPr>
        <w:t>Post Traumatic Stress Disorder (PTSD)</w:t>
      </w:r>
      <w:r>
        <w:rPr>
          <w:rFonts w:cs="Arial Unicode MS" w:ascii="Arial Unicode MS" w:hAnsi="Arial Unicode MS"/>
          <w:color w:val="000000" w:themeColor="text1"/>
        </w:rPr>
        <w:t xml:space="preserve"> and cigarette consumption moderated by housing quality (N = 396)</w:t>
      </w:r>
      <w:r>
        <w:rPr>
          <w:rFonts w:cs="Arial Unicode MS" w:ascii="Arial Unicode MS" w:hAnsi="Arial Unicode MS"/>
          <w:color w:val="000000" w:themeColor="text1"/>
          <w:vertAlign w:val="superscript"/>
        </w:rPr>
        <w:t>d</w:t>
      </w:r>
    </w:p>
    <w:tbl>
      <w:tblPr>
        <w:tblW w:w="8047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35"/>
        <w:gridCol w:w="810"/>
        <w:gridCol w:w="719"/>
        <w:gridCol w:w="1024"/>
        <w:gridCol w:w="1359"/>
      </w:tblGrid>
      <w:tr>
        <w:trPr>
          <w:trHeight w:val="340" w:hRule="atLeast"/>
        </w:trPr>
        <w:tc>
          <w:tcPr>
            <w:tcW w:w="413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Outcome: mean cigarettes per day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Coef</w:t>
            </w:r>
          </w:p>
        </w:tc>
        <w:tc>
          <w:tcPr>
            <w:tcW w:w="71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SE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95% CI</w:t>
            </w:r>
          </w:p>
        </w:tc>
      </w:tr>
      <w:tr>
        <w:trPr>
          <w:trHeight w:val="320" w:hRule="atLeast"/>
        </w:trPr>
        <w:tc>
          <w:tcPr>
            <w:tcW w:w="4135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Age</w:t>
            </w:r>
          </w:p>
        </w:tc>
        <w:tc>
          <w:tcPr>
            <w:tcW w:w="81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19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2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359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0.08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Gender (ref: male)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Female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2.72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0.36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Transgender or non-binary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2.73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4.34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Race/ethnicity (ref: white)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Black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1.91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3.76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0.06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Hispanic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3.70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0.87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All other races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a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3.06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1.32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Housing quality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b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 xml:space="preserve"> (ref: good/excellent)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average/poor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1.46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3.15</w:t>
            </w:r>
          </w:p>
        </w:tc>
      </w:tr>
      <w:tr>
        <w:trPr>
          <w:trHeight w:val="320" w:hRule="atLeast"/>
        </w:trPr>
        <w:tc>
          <w:tcPr>
            <w:tcW w:w="8047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PTSD</w:t>
            </w:r>
            <w:r>
              <w:rPr>
                <w:rFonts w:cs="Times New Roman"/>
                <w:color w:val="000000" w:themeColor="text1"/>
                <w:sz w:val="22"/>
                <w:szCs w:val="22"/>
                <w:vertAlign w:val="superscript"/>
              </w:rPr>
              <w:t>c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ref: negative screen)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positive screen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5.05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1.22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2.65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7.45</w:t>
            </w:r>
          </w:p>
        </w:tc>
      </w:tr>
      <w:tr>
        <w:trPr>
          <w:trHeight w:val="320" w:hRule="atLeast"/>
        </w:trPr>
        <w:tc>
          <w:tcPr>
            <w:tcW w:w="8047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PTSD (ref: negative screen)*Housing quality (ref: good/excellent)</w:t>
            </w:r>
          </w:p>
        </w:tc>
      </w:tr>
      <w:tr>
        <w:trPr>
          <w:trHeight w:val="320" w:hRule="atLeas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average/poor*positive screen</w:t>
            </w:r>
          </w:p>
        </w:tc>
        <w:tc>
          <w:tcPr>
            <w:tcW w:w="81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3.56</w:t>
            </w:r>
          </w:p>
        </w:tc>
        <w:tc>
          <w:tcPr>
            <w:tcW w:w="71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1.58</w:t>
            </w:r>
          </w:p>
        </w:tc>
        <w:tc>
          <w:tcPr>
            <w:tcW w:w="102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6.66</w:t>
            </w:r>
          </w:p>
        </w:tc>
        <w:tc>
          <w:tcPr>
            <w:tcW w:w="1359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0.46</w:t>
            </w:r>
          </w:p>
        </w:tc>
      </w:tr>
      <w:tr>
        <w:trPr>
          <w:trHeight w:val="320" w:hRule="exact"/>
        </w:trPr>
        <w:tc>
          <w:tcPr>
            <w:tcW w:w="4135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810" w:type="dxa"/>
            <w:tcBorders/>
            <w:shd w:color="auto" w:fill="auto" w:val="clear"/>
            <w:vAlign w:val="bottom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719" w:type="dxa"/>
            <w:tcBorders/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024" w:type="dxa"/>
            <w:tcBorders/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359" w:type="dxa"/>
            <w:tcBorders/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</w:tr>
      <w:tr>
        <w:trPr>
          <w:trHeight w:val="320" w:hRule="atLeast"/>
        </w:trPr>
        <w:tc>
          <w:tcPr>
            <w:tcW w:w="413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Model P-value</w:t>
            </w:r>
          </w:p>
        </w:tc>
        <w:tc>
          <w:tcPr>
            <w:tcW w:w="3912" w:type="dxa"/>
            <w:gridSpan w:val="4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p&lt;0.001</w:t>
            </w:r>
          </w:p>
        </w:tc>
      </w:tr>
    </w:tbl>
    <w:p>
      <w:pPr>
        <w:pStyle w:val="Normal"/>
        <w:rPr>
          <w:rFonts w:ascii="Arial Unicode MS" w:hAnsi="Arial Unicode MS" w:cs="Arial Unicode MS"/>
          <w:color w:val="000000"/>
          <w:sz w:val="20"/>
          <w:szCs w:val="20"/>
          <w:lang w:eastAsia="zh-CN"/>
        </w:rPr>
      </w:pP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>Note</w:t>
      </w:r>
    </w:p>
    <w:p>
      <w:pPr>
        <w:pStyle w:val="Normal"/>
        <w:spacing w:before="0" w:after="0"/>
        <w:contextualSpacing/>
        <w:rPr>
          <w:rFonts w:ascii="Arial Unicode MS" w:hAnsi="Arial Unicode MS" w:cs="Arial Unicode MS"/>
          <w:color w:val="000000"/>
          <w:sz w:val="20"/>
          <w:szCs w:val="20"/>
        </w:rPr>
      </w:pPr>
      <w:r>
        <w:rPr>
          <w:rFonts w:cs="Arial Unicode MS" w:ascii="Arial Unicode MS" w:hAnsi="Arial Unicode MS"/>
          <w:color w:val="000000"/>
          <w:sz w:val="20"/>
          <w:szCs w:val="20"/>
          <w:vertAlign w:val="superscript"/>
          <w:lang w:eastAsia="zh-CN"/>
        </w:rPr>
        <w:t>a</w:t>
      </w: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 xml:space="preserve">Other races included Asian, </w:t>
      </w:r>
      <w:r>
        <w:rPr>
          <w:rFonts w:cs="Arial Unicode MS" w:ascii="Arial Unicode MS" w:hAnsi="Arial Unicode MS"/>
          <w:color w:val="000000"/>
          <w:sz w:val="20"/>
          <w:szCs w:val="20"/>
        </w:rPr>
        <w:t>American Indian, Alaska Native, Native Hawaiian, other Pacific Islander, multi/biracial, and participants who did not report their race.</w:t>
      </w:r>
    </w:p>
    <w:p>
      <w:pPr>
        <w:pStyle w:val="Normal"/>
        <w:spacing w:before="0" w:after="0"/>
        <w:contextualSpacing/>
        <w:rPr>
          <w:rFonts w:ascii="Arial Unicode MS" w:hAnsi="Arial Unicode MS" w:cs="Arial Unicode MS"/>
          <w:color w:val="000000" w:themeColor="text1"/>
          <w:sz w:val="20"/>
          <w:szCs w:val="20"/>
        </w:rPr>
      </w:pPr>
      <w:r>
        <w:rPr>
          <w:rFonts w:cs="Arial Unicode MS" w:ascii="Arial Unicode MS" w:hAnsi="Arial Unicode MS"/>
          <w:color w:val="000000"/>
          <w:sz w:val="20"/>
          <w:szCs w:val="20"/>
          <w:vertAlign w:val="superscript"/>
          <w:lang w:eastAsia="zh-CN"/>
        </w:rPr>
        <w:t>b</w:t>
      </w: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 xml:space="preserve">Housing quality was </w:t>
      </w:r>
      <w:r>
        <w:rPr>
          <w:rFonts w:cs="Arial Unicode MS" w:ascii="Arial Unicode MS" w:hAnsi="Arial Unicode MS"/>
          <w:color w:val="000000" w:themeColor="text1"/>
          <w:sz w:val="20"/>
          <w:szCs w:val="20"/>
        </w:rPr>
        <w:t>dichotomized as average or poor vs. good or excellent.</w:t>
      </w:r>
    </w:p>
    <w:p>
      <w:pPr>
        <w:pStyle w:val="Normal"/>
        <w:spacing w:before="0" w:after="0"/>
        <w:contextualSpacing/>
        <w:rPr>
          <w:rFonts w:ascii="Arial Unicode MS" w:hAnsi="Arial Unicode MS" w:cs="Arial Unicode MS"/>
          <w:color w:val="000000" w:themeColor="text1"/>
          <w:sz w:val="20"/>
          <w:szCs w:val="20"/>
        </w:rPr>
      </w:pPr>
      <w:r>
        <w:rPr>
          <w:rFonts w:cs="Arial Unicode MS" w:ascii="Arial Unicode MS" w:hAnsi="Arial Unicode MS"/>
          <w:color w:val="000000"/>
          <w:sz w:val="20"/>
          <w:szCs w:val="20"/>
          <w:vertAlign w:val="superscript"/>
          <w:lang w:eastAsia="zh-CN"/>
        </w:rPr>
        <w:t>c</w:t>
      </w: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 xml:space="preserve"> </w:t>
      </w:r>
      <w:r>
        <w:rPr>
          <w:rFonts w:cs="Arial Unicode MS" w:ascii="Arial Unicode MS" w:hAnsi="Arial Unicode MS"/>
          <w:color w:val="000000" w:themeColor="text1"/>
          <w:sz w:val="20"/>
          <w:szCs w:val="20"/>
        </w:rPr>
        <w:t>Post Traumatic Stress Disorder (PTSD) was assessed with the Primary Care-PTSD Screen (PC-PTSD-5) (Bovin et al., 2021). A cut point of 4 and above was used to identify PTSD. We chose this cut-off to reduce false positives.</w:t>
      </w:r>
    </w:p>
    <w:p>
      <w:pPr>
        <w:pStyle w:val="Normal"/>
        <w:spacing w:before="0" w:after="0"/>
        <w:contextualSpacing/>
        <w:rPr>
          <w:rFonts w:ascii="Arial Unicode MS" w:hAnsi="Arial Unicode MS" w:cs="Arial Unicode MS"/>
          <w:color w:val="000000" w:themeColor="text1"/>
          <w:sz w:val="20"/>
          <w:szCs w:val="20"/>
        </w:rPr>
      </w:pPr>
      <w:r>
        <w:rPr>
          <w:rFonts w:cs="Arial Unicode MS" w:ascii="Arial Unicode MS" w:hAnsi="Arial Unicode MS"/>
          <w:color w:val="000000" w:themeColor="text1"/>
          <w:sz w:val="20"/>
          <w:szCs w:val="20"/>
        </w:rPr>
        <w:t>Cigarette consumption is the mean number of cigarettes smoked per day.</w:t>
      </w:r>
    </w:p>
    <w:p>
      <w:pPr>
        <w:pStyle w:val="Normal"/>
        <w:spacing w:before="0" w:after="100"/>
        <w:contextualSpacing/>
        <w:rPr>
          <w:rFonts w:ascii="Arial Unicode MS" w:hAnsi="Arial Unicode MS" w:cs="Arial Unicode MS"/>
          <w:color w:val="000000"/>
          <w:sz w:val="20"/>
          <w:szCs w:val="20"/>
          <w:lang w:eastAsia="zh-CN"/>
        </w:rPr>
      </w:pPr>
      <w:r>
        <w:rPr>
          <w:rFonts w:cs="Arial Unicode MS" w:ascii="Arial Unicode MS" w:hAnsi="Arial Unicode MS"/>
          <w:color w:val="000000" w:themeColor="text1"/>
          <w:sz w:val="20"/>
          <w:szCs w:val="20"/>
          <w:vertAlign w:val="superscript"/>
        </w:rPr>
        <w:t>d</w:t>
      </w:r>
      <w:r>
        <w:rPr>
          <w:rFonts w:cs="Arial Unicode MS" w:ascii="Arial Unicode MS" w:hAnsi="Arial Unicode MS"/>
          <w:color w:val="000000" w:themeColor="text1"/>
          <w:sz w:val="20"/>
          <w:szCs w:val="20"/>
        </w:rPr>
        <w:t>The analytic sample was 396, accounting for missing data on independent variables.</w:t>
      </w:r>
    </w:p>
    <w:p>
      <w:pPr>
        <w:pStyle w:val="Normal"/>
        <w:rPr>
          <w:rFonts w:ascii="Arial Unicode MS" w:hAnsi="Arial Unicode MS" w:cs="Arial Unicode MS"/>
          <w:color w:val="000000"/>
          <w:vertAlign w:val="superscript"/>
          <w:lang w:eastAsia="zh-CN"/>
        </w:rPr>
      </w:pPr>
      <w:r>
        <w:rPr>
          <w:rFonts w:cs="Arial Unicode MS" w:ascii="Arial Unicode MS" w:hAnsi="Arial Unicode MS"/>
          <w:b/>
          <w:bCs/>
          <w:color w:val="000000"/>
          <w:lang w:eastAsia="zh-CN"/>
        </w:rPr>
        <w:t xml:space="preserve">Supplementary Materials Table 2. </w:t>
      </w:r>
      <w:r>
        <w:rPr>
          <w:rFonts w:cs="Arial Unicode MS" w:ascii="Arial Unicode MS" w:hAnsi="Arial Unicode MS"/>
          <w:color w:val="000000"/>
          <w:lang w:eastAsia="zh-CN"/>
        </w:rPr>
        <w:t>Association of Post Traumatic Stress Disorder (PTSD) on cigarette consumption moderated by the Neighborhood Safety S</w:t>
      </w:r>
      <w:r>
        <w:rPr>
          <w:rFonts w:cs="Arial Unicode MS" w:ascii="Arial Unicode MS" w:hAnsi="Arial Unicode MS"/>
          <w:color w:val="000000" w:themeColor="text1"/>
        </w:rPr>
        <w:t>cale (NSS) score (N = 395)</w:t>
      </w:r>
      <w:r>
        <w:rPr>
          <w:rFonts w:cs="Arial Unicode MS" w:ascii="Arial Unicode MS" w:hAnsi="Arial Unicode MS"/>
          <w:color w:val="000000" w:themeColor="text1"/>
          <w:vertAlign w:val="superscript"/>
        </w:rPr>
        <w:t>d</w:t>
      </w:r>
    </w:p>
    <w:tbl>
      <w:tblPr>
        <w:tblW w:w="7991" w:type="dxa"/>
        <w:jc w:val="left"/>
        <w:tblInd w:w="103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59"/>
        <w:gridCol w:w="860"/>
        <w:gridCol w:w="734"/>
        <w:gridCol w:w="912"/>
        <w:gridCol w:w="1526"/>
      </w:tblGrid>
      <w:tr>
        <w:trPr>
          <w:trHeight w:val="340" w:hRule="atLeast"/>
        </w:trPr>
        <w:tc>
          <w:tcPr>
            <w:tcW w:w="39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Outcome: mean cigarettes per day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Coef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SE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95% CI</w:t>
            </w:r>
          </w:p>
        </w:tc>
      </w:tr>
      <w:tr>
        <w:trPr>
          <w:trHeight w:val="320" w:hRule="atLeast"/>
        </w:trPr>
        <w:tc>
          <w:tcPr>
            <w:tcW w:w="3959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Age</w:t>
            </w:r>
          </w:p>
        </w:tc>
        <w:tc>
          <w:tcPr>
            <w:tcW w:w="860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34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912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526" w:type="dxa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0.08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Gender (ref: male)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Female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1.33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2.88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0.22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Transgender or non-binary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2.81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4.28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Race/ethnicity (ref: White)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Black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3.58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0.13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Hispanic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1.43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3.72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0.86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All other races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a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3.08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1.34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Neighborhood safety score (NSS)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vertAlign w:val="superscript"/>
                <w:lang w:eastAsia="zh-CN"/>
                <w14:ligatures w14:val="none"/>
              </w:rPr>
              <w:t>b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1.76</w:t>
            </w:r>
          </w:p>
        </w:tc>
      </w:tr>
      <w:tr>
        <w:trPr>
          <w:trHeight w:val="320" w:hRule="atLeast"/>
        </w:trPr>
        <w:tc>
          <w:tcPr>
            <w:tcW w:w="7991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PTSD</w:t>
            </w:r>
            <w:r>
              <w:rPr>
                <w:rFonts w:cs="Times New Roman"/>
                <w:color w:val="000000" w:themeColor="text1"/>
                <w:sz w:val="22"/>
                <w:szCs w:val="22"/>
                <w:vertAlign w:val="superscript"/>
              </w:rPr>
              <w:t>c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ref: negative screen)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positive screen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9.69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3.43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2.96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16.42</w:t>
            </w:r>
          </w:p>
        </w:tc>
      </w:tr>
      <w:tr>
        <w:trPr>
          <w:trHeight w:val="320" w:hRule="atLeast"/>
        </w:trPr>
        <w:tc>
          <w:tcPr>
            <w:tcW w:w="7991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PTSD (ref: negative screen)*NSS</w:t>
            </w:r>
          </w:p>
        </w:tc>
      </w:tr>
      <w:tr>
        <w:trPr>
          <w:trHeight w:val="320" w:hRule="atLeast"/>
        </w:trPr>
        <w:tc>
          <w:tcPr>
            <w:tcW w:w="3959" w:type="dxa"/>
            <w:tcBorders/>
            <w:shd w:color="auto" w:fill="auto" w:val="clear"/>
            <w:vAlign w:val="center"/>
          </w:tcPr>
          <w:p>
            <w:pPr>
              <w:pStyle w:val="Normal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positive screen</w:t>
            </w:r>
          </w:p>
        </w:tc>
        <w:tc>
          <w:tcPr>
            <w:tcW w:w="860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color w:val="000000"/>
                <w:sz w:val="22"/>
                <w:szCs w:val="22"/>
              </w:rPr>
              <w:t>1.89</w:t>
            </w:r>
          </w:p>
        </w:tc>
        <w:tc>
          <w:tcPr>
            <w:tcW w:w="734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912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3.73</w:t>
            </w:r>
          </w:p>
        </w:tc>
        <w:tc>
          <w:tcPr>
            <w:tcW w:w="1526" w:type="dxa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−</w:t>
            </w: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0.04</w:t>
            </w:r>
          </w:p>
        </w:tc>
      </w:tr>
      <w:tr>
        <w:trPr>
          <w:trHeight w:val="320" w:hRule="atLeast"/>
        </w:trPr>
        <w:tc>
          <w:tcPr>
            <w:tcW w:w="395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Model P-value</w:t>
            </w:r>
          </w:p>
        </w:tc>
        <w:tc>
          <w:tcPr>
            <w:tcW w:w="4032" w:type="dxa"/>
            <w:gridSpan w:val="4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zh-CN"/>
                <w14:ligatures w14:val="none"/>
              </w:rPr>
              <w:t>P=0.001</w:t>
            </w:r>
          </w:p>
        </w:tc>
      </w:tr>
    </w:tbl>
    <w:p>
      <w:pPr>
        <w:pStyle w:val="Normal"/>
        <w:rPr>
          <w:rFonts w:ascii="Arial Unicode MS" w:hAnsi="Arial Unicode MS" w:cs="Arial Unicode MS"/>
          <w:color w:val="000000"/>
          <w:sz w:val="20"/>
          <w:szCs w:val="20"/>
          <w:lang w:eastAsia="zh-CN"/>
        </w:rPr>
      </w:pP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>Note</w:t>
      </w:r>
    </w:p>
    <w:p>
      <w:pPr>
        <w:pStyle w:val="Normal"/>
        <w:spacing w:before="0" w:after="0"/>
        <w:contextualSpacing/>
        <w:rPr>
          <w:rFonts w:ascii="Arial Unicode MS" w:hAnsi="Arial Unicode MS" w:cs="Arial Unicode MS"/>
          <w:color w:val="000000"/>
          <w:sz w:val="20"/>
          <w:szCs w:val="20"/>
        </w:rPr>
      </w:pPr>
      <w:r>
        <w:rPr>
          <w:rFonts w:cs="Arial Unicode MS" w:ascii="Arial Unicode MS" w:hAnsi="Arial Unicode MS"/>
          <w:color w:val="000000"/>
          <w:sz w:val="20"/>
          <w:szCs w:val="20"/>
          <w:vertAlign w:val="superscript"/>
          <w:lang w:eastAsia="zh-CN"/>
        </w:rPr>
        <w:t>a</w:t>
      </w: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 xml:space="preserve">Other races included Asian, </w:t>
      </w:r>
      <w:r>
        <w:rPr>
          <w:rFonts w:cs="Arial Unicode MS" w:ascii="Arial Unicode MS" w:hAnsi="Arial Unicode MS"/>
          <w:color w:val="000000"/>
          <w:sz w:val="20"/>
          <w:szCs w:val="20"/>
        </w:rPr>
        <w:t>American Indian, Alaska Native, Native Hawaiian, other Pacific Islander, multi/biracial, and participants who did not report their race.</w:t>
      </w:r>
    </w:p>
    <w:p>
      <w:pPr>
        <w:pStyle w:val="Normal"/>
        <w:spacing w:before="0" w:after="100"/>
        <w:contextualSpacing/>
        <w:rPr>
          <w:rFonts w:ascii="Arial Unicode MS" w:hAnsi="Arial Unicode MS" w:cs="Arial Unicode MS"/>
          <w:color w:val="000000"/>
          <w:sz w:val="20"/>
          <w:szCs w:val="20"/>
          <w:lang w:eastAsia="zh-CN"/>
        </w:rPr>
      </w:pPr>
      <w:r>
        <w:rPr>
          <w:rFonts w:cs="Arial Unicode MS" w:ascii="Arial Unicode MS" w:hAnsi="Arial Unicode MS"/>
          <w:color w:val="000000"/>
          <w:sz w:val="20"/>
          <w:szCs w:val="20"/>
          <w:vertAlign w:val="superscript"/>
          <w:lang w:eastAsia="zh-CN"/>
        </w:rPr>
        <w:t>b</w:t>
      </w:r>
      <w:r>
        <w:rPr>
          <w:rFonts w:cs="Arial Unicode MS" w:ascii="Arial Unicode MS" w:hAnsi="Arial Unicode MS"/>
          <w:color w:val="000000" w:themeColor="text1"/>
          <w:sz w:val="20"/>
          <w:szCs w:val="20"/>
        </w:rPr>
        <w:t xml:space="preserve">Neighborhood safety was assessed using the Neighborhood Safety Scale (NSS) total score </w:t>
      </w:r>
      <w:r>
        <w:rPr>
          <w:rFonts w:cs="Arial Unicode MS" w:ascii="Arial Unicode MS" w:hAnsi="Arial Unicode MS"/>
          <w:color w:val="000000"/>
          <w:sz w:val="20"/>
          <w:szCs w:val="20"/>
        </w:rPr>
        <w:t>(Mujahid et al., 2007)</w:t>
      </w:r>
      <w:r>
        <w:rPr>
          <w:rFonts w:cs="Arial Unicode MS" w:ascii="Arial Unicode MS" w:hAnsi="Arial Unicode MS"/>
          <w:color w:val="000000" w:themeColor="text1"/>
          <w:sz w:val="20"/>
          <w:szCs w:val="20"/>
        </w:rPr>
        <w:t>. Scores ranged from 1 to 5; l</w:t>
      </w: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>ower neighborhood safety scores indicate more neighborhood safety.</w:t>
      </w:r>
    </w:p>
    <w:p>
      <w:pPr>
        <w:pStyle w:val="Normal"/>
        <w:spacing w:before="0" w:after="0"/>
        <w:contextualSpacing/>
        <w:rPr>
          <w:rFonts w:ascii="Arial Unicode MS" w:hAnsi="Arial Unicode MS" w:cs="Arial Unicode MS"/>
          <w:color w:val="000000" w:themeColor="text1"/>
          <w:sz w:val="20"/>
          <w:szCs w:val="20"/>
        </w:rPr>
      </w:pPr>
      <w:r>
        <w:rPr>
          <w:rFonts w:cs="Arial Unicode MS" w:ascii="Arial Unicode MS" w:hAnsi="Arial Unicode MS"/>
          <w:color w:val="000000"/>
          <w:sz w:val="20"/>
          <w:szCs w:val="20"/>
          <w:vertAlign w:val="superscript"/>
          <w:lang w:eastAsia="zh-CN"/>
        </w:rPr>
        <w:t>c</w:t>
      </w:r>
      <w:r>
        <w:rPr>
          <w:rFonts w:cs="Arial Unicode MS" w:ascii="Arial Unicode MS" w:hAnsi="Arial Unicode MS"/>
          <w:color w:val="000000"/>
          <w:sz w:val="20"/>
          <w:szCs w:val="20"/>
          <w:lang w:eastAsia="zh-CN"/>
        </w:rPr>
        <w:t xml:space="preserve"> </w:t>
      </w:r>
      <w:r>
        <w:rPr>
          <w:rFonts w:cs="Arial Unicode MS" w:ascii="Arial Unicode MS" w:hAnsi="Arial Unicode MS"/>
          <w:color w:val="000000" w:themeColor="text1"/>
          <w:sz w:val="20"/>
          <w:szCs w:val="20"/>
        </w:rPr>
        <w:t>Post Traumatic Stress Disorder (PTSD) was assessed with the Primary Care-PTSD Screen (PC-PTSD-5) (Bovin et al., 2021). A cut point of 4 and above was used to identify PTSD. We chose this cut-off to reduce false positives.</w:t>
      </w:r>
    </w:p>
    <w:p>
      <w:pPr>
        <w:pStyle w:val="Normal"/>
        <w:spacing w:before="0" w:after="0"/>
        <w:contextualSpacing/>
        <w:rPr>
          <w:rFonts w:ascii="Arial Unicode MS" w:hAnsi="Arial Unicode MS" w:cs="Arial Unicode MS"/>
          <w:color w:val="000000" w:themeColor="text1"/>
          <w:sz w:val="20"/>
          <w:szCs w:val="20"/>
        </w:rPr>
      </w:pPr>
      <w:r>
        <w:rPr>
          <w:rFonts w:cs="Arial Unicode MS" w:ascii="Arial Unicode MS" w:hAnsi="Arial Unicode MS"/>
          <w:color w:val="000000" w:themeColor="text1"/>
          <w:sz w:val="20"/>
          <w:szCs w:val="20"/>
        </w:rPr>
        <w:t>Cigarette consumption is the mean number of cigarettes smoked per day.</w:t>
      </w:r>
    </w:p>
    <w:p>
      <w:pPr>
        <w:pStyle w:val="Normal"/>
        <w:spacing w:before="0" w:after="100"/>
        <w:contextualSpacing/>
        <w:rPr>
          <w:rFonts w:ascii="Arial Unicode MS" w:hAnsi="Arial Unicode MS" w:cs="Arial Unicode MS"/>
          <w:color w:val="000000"/>
          <w:sz w:val="20"/>
          <w:szCs w:val="20"/>
          <w:lang w:eastAsia="zh-CN"/>
        </w:rPr>
      </w:pPr>
      <w:r>
        <w:rPr>
          <w:rFonts w:cs="Arial Unicode MS" w:ascii="Arial Unicode MS" w:hAnsi="Arial Unicode MS"/>
          <w:color w:val="000000" w:themeColor="text1"/>
          <w:sz w:val="20"/>
          <w:szCs w:val="20"/>
          <w:vertAlign w:val="superscript"/>
        </w:rPr>
        <w:t>d</w:t>
      </w:r>
      <w:r>
        <w:rPr>
          <w:rFonts w:cs="Arial Unicode MS" w:ascii="Arial Unicode MS" w:hAnsi="Arial Unicode MS"/>
          <w:color w:val="000000" w:themeColor="text1"/>
          <w:sz w:val="20"/>
          <w:szCs w:val="20"/>
        </w:rPr>
        <w:t>The analytic sample was 395, accounting for missing data on independent variables.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I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61f1c"/>
    <w:pPr>
      <w:widowControl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LibreOffice/6.4.4.2$Windows_X86_64 LibreOffice_project/3d775be2011f3886db32dfd395a6a6d1ca2630ff</Application>
  <Pages>2</Pages>
  <Words>420</Words>
  <Characters>2372</Characters>
  <CharactersWithSpaces>2667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2024-12-02T12:59:00Z</dcterms:created>
  <dc:creator>Selvapriya Palani (Integra)</dc:creator>
  <dc:description/>
  <dc:language>en-IN</dc:language>
  <cp:lastModifiedBy/>
  <dcterms:modified xsi:type="dcterms:W3CDTF">2024-12-04T09:37:51Z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