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948621" w14:textId="77777777" w:rsidR="00D76BF4" w:rsidRPr="00E445ED" w:rsidRDefault="00D76BF4" w:rsidP="00D76BF4">
      <w:pPr>
        <w:spacing w:line="480" w:lineRule="auto"/>
        <w:rPr>
          <w:b/>
        </w:rPr>
      </w:pPr>
      <w:r w:rsidRPr="00E445ED">
        <w:rPr>
          <w:b/>
        </w:rPr>
        <w:t>Use of Mechanical Turk Participants</w:t>
      </w:r>
    </w:p>
    <w:p w14:paraId="40EA73AF" w14:textId="77777777" w:rsidR="00D76BF4" w:rsidRPr="005919BF" w:rsidRDefault="00D76BF4" w:rsidP="00D76BF4">
      <w:pPr>
        <w:spacing w:line="480" w:lineRule="auto"/>
      </w:pPr>
      <w:r w:rsidRPr="005919BF">
        <w:t>Amazon’s Mechanical Turk system was developed for researchers to conduct streamlined self-report and behavioral studies using a rapid participant compensation system and a massive participant pool that may be otherwise unavailable to researchers at smaller schools. Recent investigations into the viability of using Mechanical Turk to collect data in the social and medical sciences has yield</w:t>
      </w:r>
      <w:r>
        <w:t>ed</w:t>
      </w:r>
      <w:r w:rsidRPr="005919BF">
        <w:t xml:space="preserve"> positive results in studies that directly tested the reliability of Amazon’s system as compared to traditional subject pools (Mason and Suri, 2012). For example, </w:t>
      </w:r>
      <w:proofErr w:type="spellStart"/>
      <w:r w:rsidRPr="005919BF">
        <w:t>Buhrmester</w:t>
      </w:r>
      <w:proofErr w:type="spellEnd"/>
      <w:r w:rsidRPr="005919BF">
        <w:t xml:space="preserve">, Kwang, and Gosling (2011) reported three major outcomes that led to their overall endorsement of using </w:t>
      </w:r>
      <w:proofErr w:type="spellStart"/>
      <w:r w:rsidRPr="005919BF">
        <w:t>MTurk</w:t>
      </w:r>
      <w:proofErr w:type="spellEnd"/>
      <w:r w:rsidRPr="005919BF">
        <w:t xml:space="preserve"> data: 1) </w:t>
      </w:r>
      <w:proofErr w:type="spellStart"/>
      <w:r w:rsidRPr="005919BF">
        <w:t>MTurk</w:t>
      </w:r>
      <w:proofErr w:type="spellEnd"/>
      <w:r w:rsidRPr="005919BF">
        <w:t xml:space="preserve"> participants had greater demographic diversity than American college subject pools; 2) compensation rates did not significantly affect the quality of data; and 3) the data they collected were as reliable as traditional college samples.</w:t>
      </w:r>
    </w:p>
    <w:p w14:paraId="7D64D64A" w14:textId="2323C48F" w:rsidR="00D76BF4" w:rsidRDefault="00D76BF4" w:rsidP="00D76BF4">
      <w:pPr>
        <w:spacing w:line="480" w:lineRule="auto"/>
        <w:ind w:firstLine="720"/>
      </w:pPr>
      <w:r w:rsidRPr="005919BF">
        <w:t xml:space="preserve">Other studies provided sets of best practices when using </w:t>
      </w:r>
      <w:proofErr w:type="spellStart"/>
      <w:r w:rsidRPr="005919BF">
        <w:t>MTurk</w:t>
      </w:r>
      <w:proofErr w:type="spellEnd"/>
      <w:r w:rsidRPr="005919BF">
        <w:t xml:space="preserve">, in order to maximize participation rates, reliability of data, and understanding of procedures. Rouse (2015) found that adding survey items that serve as attention checks were associated with more reliable responses. </w:t>
      </w:r>
      <w:proofErr w:type="spellStart"/>
      <w:r w:rsidRPr="005919BF">
        <w:t>Paolacci</w:t>
      </w:r>
      <w:proofErr w:type="spellEnd"/>
      <w:r w:rsidRPr="005919BF">
        <w:t xml:space="preserve"> &amp; Chandler (2014) recommended using simple methodologies with minimal text and minimal graphical and sound requirements. They also found that explaining to workers the meaning behind the task and the outcomes it may have for research improved data reliability (Chandler &amp; </w:t>
      </w:r>
      <w:proofErr w:type="spellStart"/>
      <w:r w:rsidRPr="005919BF">
        <w:t>Kapelner</w:t>
      </w:r>
      <w:proofErr w:type="spellEnd"/>
      <w:r w:rsidRPr="005919BF">
        <w:t xml:space="preserve">, 2013). Bearing these studies in mind, we employed the best practices described herein, as well as consistently filtered our </w:t>
      </w:r>
      <w:proofErr w:type="spellStart"/>
      <w:r w:rsidRPr="005919BF">
        <w:t>MTurk</w:t>
      </w:r>
      <w:proofErr w:type="spellEnd"/>
      <w:r w:rsidRPr="005919BF">
        <w:t xml:space="preserve"> participants by country (U.S. only), experience (&gt;100 surveys completed), and accuracy rating (&gt;98%), which is a measure of how frequently workers had successfully completed tasks without being rejected by researchers.</w:t>
      </w:r>
    </w:p>
    <w:p w14:paraId="2E385FC4" w14:textId="77777777" w:rsidR="004D232D" w:rsidRDefault="004D232D" w:rsidP="00D76BF4">
      <w:pPr>
        <w:spacing w:line="480" w:lineRule="auto"/>
        <w:ind w:firstLine="720"/>
      </w:pPr>
    </w:p>
    <w:p w14:paraId="34AB84E3" w14:textId="06C0B495" w:rsidR="001F4004" w:rsidRPr="00E445ED" w:rsidRDefault="001F4004" w:rsidP="001F4004">
      <w:pPr>
        <w:spacing w:line="480" w:lineRule="auto"/>
        <w:rPr>
          <w:b/>
          <w:color w:val="111111"/>
        </w:rPr>
      </w:pPr>
      <w:r w:rsidRPr="00E445ED">
        <w:rPr>
          <w:b/>
          <w:color w:val="111111"/>
        </w:rPr>
        <w:t>Interrater reliability results for Study 3</w:t>
      </w:r>
    </w:p>
    <w:p w14:paraId="5CFCFA45" w14:textId="701A1BDB" w:rsidR="001F4004" w:rsidRPr="005961B0" w:rsidRDefault="001F4004" w:rsidP="001F4004">
      <w:pPr>
        <w:spacing w:line="480" w:lineRule="auto"/>
        <w:rPr>
          <w:b/>
        </w:rPr>
      </w:pPr>
      <w:r w:rsidRPr="00A23863">
        <w:rPr>
          <w:bCs/>
          <w:color w:val="111111"/>
        </w:rPr>
        <w:lastRenderedPageBreak/>
        <w:t xml:space="preserve">The average measure ICC </w:t>
      </w:r>
      <w:r>
        <w:rPr>
          <w:bCs/>
          <w:color w:val="111111"/>
        </w:rPr>
        <w:t xml:space="preserve">for the </w:t>
      </w:r>
      <w:r w:rsidRPr="00A23863">
        <w:rPr>
          <w:bCs/>
          <w:color w:val="111111"/>
        </w:rPr>
        <w:t xml:space="preserve">activation code was </w:t>
      </w:r>
      <w:r>
        <w:rPr>
          <w:bCs/>
          <w:color w:val="111111"/>
        </w:rPr>
        <w:t>0</w:t>
      </w:r>
      <w:r w:rsidRPr="00A23863">
        <w:rPr>
          <w:bCs/>
          <w:color w:val="111111"/>
        </w:rPr>
        <w:t xml:space="preserve">.760 with a 95% confidence interval from </w:t>
      </w:r>
      <w:r>
        <w:rPr>
          <w:bCs/>
          <w:color w:val="111111"/>
        </w:rPr>
        <w:t>0</w:t>
      </w:r>
      <w:r w:rsidRPr="00A23863">
        <w:rPr>
          <w:bCs/>
          <w:color w:val="111111"/>
        </w:rPr>
        <w:t>.614 to </w:t>
      </w:r>
      <w:r>
        <w:rPr>
          <w:bCs/>
          <w:color w:val="111111"/>
        </w:rPr>
        <w:t>0</w:t>
      </w:r>
      <w:r w:rsidRPr="00A23863">
        <w:rPr>
          <w:bCs/>
          <w:color w:val="111111"/>
        </w:rPr>
        <w:t>.843 (</w:t>
      </w:r>
      <w:r w:rsidRPr="00543DA8">
        <w:rPr>
          <w:bCs/>
          <w:i/>
          <w:color w:val="111111"/>
        </w:rPr>
        <w:t>F</w:t>
      </w:r>
      <w:r w:rsidRPr="00A23863">
        <w:rPr>
          <w:bCs/>
          <w:color w:val="111111"/>
        </w:rPr>
        <w:t>(158,15</w:t>
      </w:r>
      <w:r>
        <w:rPr>
          <w:bCs/>
          <w:color w:val="111111"/>
        </w:rPr>
        <w:t>9</w:t>
      </w:r>
      <w:r w:rsidRPr="00A23863">
        <w:rPr>
          <w:bCs/>
          <w:color w:val="111111"/>
        </w:rPr>
        <w:t>)</w:t>
      </w:r>
      <w:r>
        <w:rPr>
          <w:bCs/>
          <w:color w:val="111111"/>
        </w:rPr>
        <w:t xml:space="preserve"> </w:t>
      </w:r>
      <w:r w:rsidRPr="00A23863">
        <w:rPr>
          <w:bCs/>
          <w:color w:val="111111"/>
        </w:rPr>
        <w:t xml:space="preserve">= 4.759, </w:t>
      </w:r>
      <w:r w:rsidRPr="00543DA8">
        <w:rPr>
          <w:bCs/>
          <w:i/>
          <w:color w:val="111111"/>
        </w:rPr>
        <w:t>p</w:t>
      </w:r>
      <w:r>
        <w:rPr>
          <w:bCs/>
          <w:i/>
          <w:color w:val="111111"/>
        </w:rPr>
        <w:t xml:space="preserve"> </w:t>
      </w:r>
      <w:r w:rsidRPr="00A23863">
        <w:rPr>
          <w:bCs/>
          <w:color w:val="111111"/>
        </w:rPr>
        <w:t>&lt;</w:t>
      </w:r>
      <w:r>
        <w:rPr>
          <w:bCs/>
          <w:color w:val="111111"/>
        </w:rPr>
        <w:t xml:space="preserve"> 0</w:t>
      </w:r>
      <w:r w:rsidRPr="00A23863">
        <w:rPr>
          <w:bCs/>
          <w:color w:val="111111"/>
        </w:rPr>
        <w:t xml:space="preserve">.001). The average measure ICC </w:t>
      </w:r>
      <w:r>
        <w:rPr>
          <w:bCs/>
          <w:color w:val="111111"/>
        </w:rPr>
        <w:t xml:space="preserve">for the </w:t>
      </w:r>
      <w:r w:rsidRPr="00A23863">
        <w:rPr>
          <w:bCs/>
          <w:color w:val="111111"/>
        </w:rPr>
        <w:t xml:space="preserve">pleasantness code was </w:t>
      </w:r>
      <w:r>
        <w:rPr>
          <w:bCs/>
          <w:color w:val="111111"/>
        </w:rPr>
        <w:t>0</w:t>
      </w:r>
      <w:r w:rsidRPr="00A23863">
        <w:rPr>
          <w:bCs/>
          <w:color w:val="111111"/>
        </w:rPr>
        <w:t xml:space="preserve">.666 with a 95% confidence interval from </w:t>
      </w:r>
      <w:r>
        <w:rPr>
          <w:bCs/>
          <w:color w:val="111111"/>
        </w:rPr>
        <w:t>0</w:t>
      </w:r>
      <w:r w:rsidRPr="00A23863">
        <w:rPr>
          <w:bCs/>
          <w:color w:val="111111"/>
        </w:rPr>
        <w:t>.505 to </w:t>
      </w:r>
      <w:r>
        <w:rPr>
          <w:bCs/>
          <w:color w:val="111111"/>
        </w:rPr>
        <w:t>0</w:t>
      </w:r>
      <w:r w:rsidRPr="00A23863">
        <w:rPr>
          <w:bCs/>
          <w:color w:val="111111"/>
        </w:rPr>
        <w:t>.770 (</w:t>
      </w:r>
      <w:r w:rsidRPr="00543DA8">
        <w:rPr>
          <w:bCs/>
          <w:i/>
          <w:color w:val="111111"/>
        </w:rPr>
        <w:t>F</w:t>
      </w:r>
      <w:r w:rsidRPr="00A23863">
        <w:rPr>
          <w:bCs/>
          <w:color w:val="111111"/>
        </w:rPr>
        <w:t>(157,15</w:t>
      </w:r>
      <w:r>
        <w:rPr>
          <w:bCs/>
          <w:color w:val="111111"/>
        </w:rPr>
        <w:t>8</w:t>
      </w:r>
      <w:r w:rsidRPr="00A23863">
        <w:rPr>
          <w:bCs/>
          <w:color w:val="111111"/>
        </w:rPr>
        <w:t xml:space="preserve">)= 3.298, </w:t>
      </w:r>
      <w:r w:rsidRPr="00543DA8">
        <w:rPr>
          <w:bCs/>
          <w:i/>
          <w:color w:val="111111"/>
        </w:rPr>
        <w:t>p</w:t>
      </w:r>
      <w:r>
        <w:rPr>
          <w:bCs/>
          <w:i/>
          <w:color w:val="111111"/>
        </w:rPr>
        <w:t xml:space="preserve"> </w:t>
      </w:r>
      <w:r w:rsidRPr="00A23863">
        <w:rPr>
          <w:bCs/>
          <w:color w:val="111111"/>
        </w:rPr>
        <w:t>&lt;</w:t>
      </w:r>
      <w:r>
        <w:rPr>
          <w:bCs/>
          <w:color w:val="111111"/>
        </w:rPr>
        <w:t xml:space="preserve"> 0</w:t>
      </w:r>
      <w:r w:rsidRPr="00A23863">
        <w:rPr>
          <w:bCs/>
          <w:color w:val="111111"/>
        </w:rPr>
        <w:t xml:space="preserve">.001). </w:t>
      </w:r>
      <w:r w:rsidRPr="00A23863">
        <w:rPr>
          <w:rStyle w:val="apple-converted-space"/>
          <w:bCs/>
          <w:color w:val="111111"/>
        </w:rPr>
        <w:t xml:space="preserve">A moderate </w:t>
      </w:r>
      <w:r w:rsidRPr="00A23863">
        <w:rPr>
          <w:bCs/>
          <w:color w:val="111111"/>
        </w:rPr>
        <w:t>degree of reliability was found for the temporal orientation code</w:t>
      </w:r>
      <w:r>
        <w:rPr>
          <w:bCs/>
          <w:color w:val="111111"/>
        </w:rPr>
        <w:t xml:space="preserve"> (</w:t>
      </w:r>
      <w:proofErr w:type="spellStart"/>
      <w:r>
        <w:t>Portney</w:t>
      </w:r>
      <w:proofErr w:type="spellEnd"/>
      <w:r>
        <w:t xml:space="preserve"> &amp; Watkins, 2009)</w:t>
      </w:r>
      <w:r w:rsidRPr="00A23863">
        <w:rPr>
          <w:bCs/>
          <w:color w:val="111111"/>
        </w:rPr>
        <w:t xml:space="preserve">. The average measure ICC was </w:t>
      </w:r>
      <w:r>
        <w:rPr>
          <w:bCs/>
          <w:color w:val="111111"/>
        </w:rPr>
        <w:t>0</w:t>
      </w:r>
      <w:r w:rsidRPr="00A23863">
        <w:rPr>
          <w:bCs/>
          <w:color w:val="111111"/>
        </w:rPr>
        <w:t xml:space="preserve">.631 with a 95% confidence interval from </w:t>
      </w:r>
      <w:r>
        <w:rPr>
          <w:bCs/>
          <w:color w:val="111111"/>
        </w:rPr>
        <w:t>0</w:t>
      </w:r>
      <w:r w:rsidRPr="00A23863">
        <w:rPr>
          <w:bCs/>
          <w:color w:val="111111"/>
        </w:rPr>
        <w:t>.491 to </w:t>
      </w:r>
      <w:r>
        <w:rPr>
          <w:bCs/>
          <w:color w:val="111111"/>
        </w:rPr>
        <w:t>0</w:t>
      </w:r>
      <w:r w:rsidRPr="00A23863">
        <w:rPr>
          <w:bCs/>
          <w:color w:val="111111"/>
        </w:rPr>
        <w:t>.732 (</w:t>
      </w:r>
      <w:r w:rsidRPr="00543DA8">
        <w:rPr>
          <w:bCs/>
          <w:i/>
          <w:color w:val="111111"/>
        </w:rPr>
        <w:t>F</w:t>
      </w:r>
      <w:r w:rsidRPr="00A23863">
        <w:rPr>
          <w:bCs/>
          <w:color w:val="111111"/>
        </w:rPr>
        <w:t>(162,16</w:t>
      </w:r>
      <w:r>
        <w:rPr>
          <w:bCs/>
          <w:color w:val="111111"/>
        </w:rPr>
        <w:t>3</w:t>
      </w:r>
      <w:r w:rsidRPr="00A23863">
        <w:rPr>
          <w:bCs/>
          <w:color w:val="111111"/>
        </w:rPr>
        <w:t>)</w:t>
      </w:r>
      <w:r>
        <w:rPr>
          <w:bCs/>
          <w:color w:val="111111"/>
        </w:rPr>
        <w:t xml:space="preserve"> </w:t>
      </w:r>
      <w:r w:rsidRPr="00A23863">
        <w:rPr>
          <w:bCs/>
          <w:color w:val="111111"/>
        </w:rPr>
        <w:t xml:space="preserve">= 2.832, </w:t>
      </w:r>
      <w:r w:rsidRPr="00543DA8">
        <w:rPr>
          <w:bCs/>
          <w:i/>
          <w:color w:val="111111"/>
        </w:rPr>
        <w:t>p</w:t>
      </w:r>
      <w:r>
        <w:rPr>
          <w:bCs/>
          <w:i/>
          <w:color w:val="111111"/>
        </w:rPr>
        <w:t xml:space="preserve"> </w:t>
      </w:r>
      <w:r w:rsidRPr="00A23863">
        <w:rPr>
          <w:bCs/>
          <w:color w:val="111111"/>
        </w:rPr>
        <w:t>&lt;</w:t>
      </w:r>
      <w:r>
        <w:rPr>
          <w:bCs/>
          <w:color w:val="111111"/>
        </w:rPr>
        <w:t xml:space="preserve"> 0</w:t>
      </w:r>
      <w:r w:rsidRPr="00A23863">
        <w:rPr>
          <w:bCs/>
          <w:color w:val="111111"/>
        </w:rPr>
        <w:t>.001).</w:t>
      </w:r>
      <w:r w:rsidRPr="00B23544">
        <w:rPr>
          <w:bCs/>
          <w:color w:val="111111"/>
        </w:rPr>
        <w:t xml:space="preserve"> </w:t>
      </w:r>
      <w:r w:rsidRPr="00A23863">
        <w:rPr>
          <w:bCs/>
          <w:color w:val="111111"/>
        </w:rPr>
        <w:t xml:space="preserve">The average measure ICC </w:t>
      </w:r>
      <w:r>
        <w:rPr>
          <w:bCs/>
          <w:color w:val="111111"/>
        </w:rPr>
        <w:t xml:space="preserve">for the </w:t>
      </w:r>
      <w:r w:rsidRPr="00A23863">
        <w:rPr>
          <w:bCs/>
          <w:color w:val="111111"/>
        </w:rPr>
        <w:t xml:space="preserve">acquisition orientation code was </w:t>
      </w:r>
      <w:r>
        <w:rPr>
          <w:bCs/>
          <w:color w:val="111111"/>
        </w:rPr>
        <w:t>0</w:t>
      </w:r>
      <w:r w:rsidRPr="00A23863">
        <w:rPr>
          <w:bCs/>
          <w:color w:val="111111"/>
        </w:rPr>
        <w:t xml:space="preserve">.772 with a 95% confidence interval from </w:t>
      </w:r>
      <w:r>
        <w:rPr>
          <w:bCs/>
          <w:color w:val="111111"/>
        </w:rPr>
        <w:t>0</w:t>
      </w:r>
      <w:r w:rsidRPr="00A23863">
        <w:rPr>
          <w:bCs/>
          <w:color w:val="111111"/>
        </w:rPr>
        <w:t>.687 to </w:t>
      </w:r>
      <w:r>
        <w:rPr>
          <w:bCs/>
          <w:color w:val="111111"/>
        </w:rPr>
        <w:t>0</w:t>
      </w:r>
      <w:r w:rsidRPr="00A23863">
        <w:rPr>
          <w:bCs/>
          <w:color w:val="111111"/>
        </w:rPr>
        <w:t>.833 (</w:t>
      </w:r>
      <w:r w:rsidRPr="00543DA8">
        <w:rPr>
          <w:bCs/>
          <w:i/>
          <w:color w:val="111111"/>
        </w:rPr>
        <w:t>F</w:t>
      </w:r>
      <w:r w:rsidRPr="00A23863">
        <w:rPr>
          <w:bCs/>
          <w:color w:val="111111"/>
        </w:rPr>
        <w:t>(157,15</w:t>
      </w:r>
      <w:r>
        <w:rPr>
          <w:bCs/>
          <w:color w:val="111111"/>
        </w:rPr>
        <w:t>8</w:t>
      </w:r>
      <w:r w:rsidRPr="00A23863">
        <w:rPr>
          <w:bCs/>
          <w:color w:val="111111"/>
        </w:rPr>
        <w:t>)</w:t>
      </w:r>
      <w:r>
        <w:rPr>
          <w:bCs/>
          <w:color w:val="111111"/>
        </w:rPr>
        <w:t xml:space="preserve"> </w:t>
      </w:r>
      <w:r w:rsidRPr="00A23863">
        <w:rPr>
          <w:bCs/>
          <w:color w:val="111111"/>
        </w:rPr>
        <w:t xml:space="preserve">= 4.361, </w:t>
      </w:r>
      <w:r w:rsidRPr="00543DA8">
        <w:rPr>
          <w:bCs/>
          <w:i/>
          <w:color w:val="111111"/>
        </w:rPr>
        <w:t>p</w:t>
      </w:r>
      <w:r>
        <w:rPr>
          <w:bCs/>
          <w:i/>
          <w:color w:val="111111"/>
        </w:rPr>
        <w:t xml:space="preserve"> </w:t>
      </w:r>
      <w:r w:rsidRPr="00A23863">
        <w:rPr>
          <w:bCs/>
          <w:color w:val="111111"/>
        </w:rPr>
        <w:t>&lt;</w:t>
      </w:r>
      <w:r>
        <w:rPr>
          <w:bCs/>
          <w:color w:val="111111"/>
        </w:rPr>
        <w:t xml:space="preserve"> 0</w:t>
      </w:r>
      <w:r w:rsidRPr="00A23863">
        <w:rPr>
          <w:bCs/>
          <w:color w:val="111111"/>
        </w:rPr>
        <w:t>.001).</w:t>
      </w:r>
    </w:p>
    <w:p w14:paraId="47E5FBE2" w14:textId="77777777" w:rsidR="001F4004" w:rsidRDefault="001F4004" w:rsidP="001F4004">
      <w:pPr>
        <w:spacing w:line="480" w:lineRule="auto"/>
      </w:pPr>
    </w:p>
    <w:p w14:paraId="6FF10717" w14:textId="5372BF0F" w:rsidR="001F4004" w:rsidRPr="00E445ED" w:rsidRDefault="001F4004" w:rsidP="001F4004">
      <w:pPr>
        <w:spacing w:line="480" w:lineRule="auto"/>
        <w:rPr>
          <w:b/>
          <w:bCs/>
        </w:rPr>
      </w:pPr>
      <w:r w:rsidRPr="00E445ED">
        <w:rPr>
          <w:b/>
          <w:bCs/>
        </w:rPr>
        <w:t>Definitions for emotions in Study 6</w:t>
      </w:r>
    </w:p>
    <w:p w14:paraId="3F3BE22E" w14:textId="77777777" w:rsidR="001F4004" w:rsidRPr="005919BF" w:rsidRDefault="001F4004" w:rsidP="001F4004">
      <w:pPr>
        <w:autoSpaceDE w:val="0"/>
        <w:autoSpaceDN w:val="0"/>
        <w:adjustRightInd w:val="0"/>
        <w:spacing w:line="480" w:lineRule="auto"/>
        <w:rPr>
          <w:color w:val="000000" w:themeColor="text1"/>
        </w:rPr>
      </w:pPr>
      <w:r w:rsidRPr="00621079">
        <w:rPr>
          <w:bCs/>
          <w:i/>
          <w:color w:val="000000" w:themeColor="text1"/>
        </w:rPr>
        <w:t>Contentment.</w:t>
      </w:r>
      <w:r w:rsidRPr="005919BF">
        <w:rPr>
          <w:b/>
          <w:i/>
          <w:color w:val="000000" w:themeColor="text1"/>
        </w:rPr>
        <w:t xml:space="preserve"> </w:t>
      </w:r>
      <w:r w:rsidRPr="005919BF">
        <w:rPr>
          <w:color w:val="000000" w:themeColor="text1"/>
        </w:rPr>
        <w:t>Contentment experience</w:t>
      </w:r>
      <w:r>
        <w:rPr>
          <w:color w:val="000000" w:themeColor="text1"/>
        </w:rPr>
        <w:t>s</w:t>
      </w:r>
      <w:r w:rsidRPr="005919BF">
        <w:rPr>
          <w:color w:val="000000" w:themeColor="text1"/>
        </w:rPr>
        <w:t xml:space="preserve"> might arise from feeling complete peace within yourself, a moment of clarity about the perfection of life, or the feeling that everything in your life is enough just as it is. Please take a few minutes to think about a particular time, fairly recently, which caused you to feel contentment. </w:t>
      </w:r>
    </w:p>
    <w:p w14:paraId="7760CA16" w14:textId="77777777" w:rsidR="001F4004" w:rsidRPr="005919BF" w:rsidRDefault="001F4004" w:rsidP="001F4004">
      <w:pPr>
        <w:shd w:val="clear" w:color="auto" w:fill="FFFFFF"/>
        <w:spacing w:line="480" w:lineRule="auto"/>
        <w:rPr>
          <w:color w:val="000000" w:themeColor="text1"/>
        </w:rPr>
      </w:pPr>
      <w:r w:rsidRPr="00621079">
        <w:rPr>
          <w:bCs/>
          <w:i/>
          <w:color w:val="000000" w:themeColor="text1"/>
        </w:rPr>
        <w:t>Pride.</w:t>
      </w:r>
      <w:r w:rsidRPr="005919BF">
        <w:rPr>
          <w:b/>
          <w:i/>
          <w:color w:val="000000" w:themeColor="text1"/>
        </w:rPr>
        <w:t xml:space="preserve"> </w:t>
      </w:r>
      <w:r w:rsidRPr="005919BF">
        <w:rPr>
          <w:color w:val="000000" w:themeColor="text1"/>
        </w:rPr>
        <w:t xml:space="preserve">When experiencing pride, people usually feel proud and accomplished. Please take a few minutes to think about a particular time, fairly recently, during which you felt pride. </w:t>
      </w:r>
    </w:p>
    <w:p w14:paraId="21D97D03" w14:textId="77777777" w:rsidR="0094179B" w:rsidRDefault="001F4004" w:rsidP="001F4004">
      <w:pPr>
        <w:autoSpaceDE w:val="0"/>
        <w:autoSpaceDN w:val="0"/>
        <w:adjustRightInd w:val="0"/>
        <w:spacing w:line="480" w:lineRule="auto"/>
        <w:rPr>
          <w:color w:val="000000" w:themeColor="text1"/>
        </w:rPr>
      </w:pPr>
      <w:r w:rsidRPr="00621079">
        <w:rPr>
          <w:bCs/>
          <w:i/>
          <w:color w:val="000000" w:themeColor="text1"/>
        </w:rPr>
        <w:t>Joy.</w:t>
      </w:r>
      <w:r w:rsidRPr="005919BF">
        <w:rPr>
          <w:b/>
          <w:i/>
          <w:color w:val="000000" w:themeColor="text1"/>
        </w:rPr>
        <w:t xml:space="preserve"> </w:t>
      </w:r>
      <w:r w:rsidRPr="005919BF">
        <w:rPr>
          <w:color w:val="000000" w:themeColor="text1"/>
        </w:rPr>
        <w:t>When experiencing joy, people usually feel a great sense of pleasure or happiness. Please take a few minutes to think about a particular time, fairly recently, which caused you to feel joy.</w:t>
      </w:r>
    </w:p>
    <w:p w14:paraId="4DA19C6E" w14:textId="02F84220" w:rsidR="0094179B" w:rsidRDefault="0094179B" w:rsidP="001F4004">
      <w:pPr>
        <w:autoSpaceDE w:val="0"/>
        <w:autoSpaceDN w:val="0"/>
        <w:adjustRightInd w:val="0"/>
        <w:spacing w:line="480" w:lineRule="auto"/>
        <w:rPr>
          <w:color w:val="000000" w:themeColor="text1"/>
        </w:rPr>
      </w:pPr>
    </w:p>
    <w:p w14:paraId="090D75F5" w14:textId="6472F18D" w:rsidR="002001A6" w:rsidRDefault="002001A6" w:rsidP="001F4004">
      <w:pPr>
        <w:autoSpaceDE w:val="0"/>
        <w:autoSpaceDN w:val="0"/>
        <w:adjustRightInd w:val="0"/>
        <w:spacing w:line="480" w:lineRule="auto"/>
        <w:rPr>
          <w:color w:val="000000" w:themeColor="text1"/>
        </w:rPr>
      </w:pPr>
    </w:p>
    <w:p w14:paraId="28A98BE0" w14:textId="0B67DCE1" w:rsidR="002001A6" w:rsidRDefault="002001A6" w:rsidP="001F4004">
      <w:pPr>
        <w:autoSpaceDE w:val="0"/>
        <w:autoSpaceDN w:val="0"/>
        <w:adjustRightInd w:val="0"/>
        <w:spacing w:line="480" w:lineRule="auto"/>
        <w:rPr>
          <w:color w:val="000000" w:themeColor="text1"/>
        </w:rPr>
      </w:pPr>
    </w:p>
    <w:p w14:paraId="2A9168AD" w14:textId="27696C85" w:rsidR="002001A6" w:rsidRDefault="002001A6" w:rsidP="001F4004">
      <w:pPr>
        <w:autoSpaceDE w:val="0"/>
        <w:autoSpaceDN w:val="0"/>
        <w:adjustRightInd w:val="0"/>
        <w:spacing w:line="480" w:lineRule="auto"/>
        <w:rPr>
          <w:color w:val="000000" w:themeColor="text1"/>
        </w:rPr>
      </w:pPr>
    </w:p>
    <w:p w14:paraId="12750296" w14:textId="77777777" w:rsidR="002001A6" w:rsidRDefault="002001A6" w:rsidP="001F4004">
      <w:pPr>
        <w:autoSpaceDE w:val="0"/>
        <w:autoSpaceDN w:val="0"/>
        <w:adjustRightInd w:val="0"/>
        <w:spacing w:line="480" w:lineRule="auto"/>
        <w:rPr>
          <w:color w:val="000000" w:themeColor="text1"/>
        </w:rPr>
      </w:pPr>
    </w:p>
    <w:p w14:paraId="5735A3DA" w14:textId="0A9920F2" w:rsidR="001F4004" w:rsidRDefault="0094179B" w:rsidP="0094179B">
      <w:pPr>
        <w:autoSpaceDE w:val="0"/>
        <w:autoSpaceDN w:val="0"/>
        <w:adjustRightInd w:val="0"/>
        <w:spacing w:line="480" w:lineRule="auto"/>
        <w:jc w:val="center"/>
        <w:rPr>
          <w:b/>
          <w:bCs/>
          <w:color w:val="000000" w:themeColor="text1"/>
        </w:rPr>
      </w:pPr>
      <w:r>
        <w:rPr>
          <w:b/>
          <w:bCs/>
          <w:color w:val="000000" w:themeColor="text1"/>
        </w:rPr>
        <w:lastRenderedPageBreak/>
        <w:t>References</w:t>
      </w:r>
    </w:p>
    <w:p w14:paraId="7F5E2984" w14:textId="1FB1EC89" w:rsidR="0094179B" w:rsidRDefault="0094179B" w:rsidP="0094179B">
      <w:pPr>
        <w:pStyle w:val="NormalWeb"/>
        <w:spacing w:before="0" w:beforeAutospacing="0" w:after="0" w:afterAutospacing="0" w:line="480" w:lineRule="auto"/>
        <w:ind w:left="720" w:hanging="720"/>
        <w:rPr>
          <w:color w:val="000000" w:themeColor="text1"/>
          <w:shd w:val="clear" w:color="auto" w:fill="FFFFFF"/>
        </w:rPr>
      </w:pPr>
      <w:proofErr w:type="spellStart"/>
      <w:r w:rsidRPr="006D7E69">
        <w:rPr>
          <w:color w:val="000000" w:themeColor="text1"/>
          <w:shd w:val="clear" w:color="auto" w:fill="FFFFFF"/>
        </w:rPr>
        <w:t>Buhrmester</w:t>
      </w:r>
      <w:proofErr w:type="spellEnd"/>
      <w:r w:rsidRPr="006D7E69">
        <w:rPr>
          <w:color w:val="000000" w:themeColor="text1"/>
          <w:shd w:val="clear" w:color="auto" w:fill="FFFFFF"/>
        </w:rPr>
        <w:t xml:space="preserve">, M., Kwang, T., &amp; Gosling, S. D. (2011). Amazon's Mechanical Turk: A new source of inexpensive, yet high-quality, data?. </w:t>
      </w:r>
      <w:r w:rsidRPr="006D7E69">
        <w:rPr>
          <w:i/>
          <w:iCs/>
          <w:color w:val="000000" w:themeColor="text1"/>
          <w:shd w:val="clear" w:color="auto" w:fill="FFFFFF"/>
        </w:rPr>
        <w:t>Perspectives on Psychological Science</w:t>
      </w:r>
      <w:r w:rsidRPr="006D7E69">
        <w:rPr>
          <w:color w:val="000000" w:themeColor="text1"/>
          <w:shd w:val="clear" w:color="auto" w:fill="FFFFFF"/>
        </w:rPr>
        <w:t xml:space="preserve">, </w:t>
      </w:r>
      <w:r w:rsidRPr="006D7E69">
        <w:rPr>
          <w:i/>
          <w:iCs/>
          <w:color w:val="000000" w:themeColor="text1"/>
          <w:shd w:val="clear" w:color="auto" w:fill="FFFFFF"/>
        </w:rPr>
        <w:t>6</w:t>
      </w:r>
      <w:r w:rsidRPr="006D7E69">
        <w:rPr>
          <w:color w:val="000000" w:themeColor="text1"/>
          <w:shd w:val="clear" w:color="auto" w:fill="FFFFFF"/>
        </w:rPr>
        <w:t xml:space="preserve">(1), 3-5. </w:t>
      </w:r>
      <w:hyperlink r:id="rId4" w:history="1">
        <w:r w:rsidRPr="006D7E69">
          <w:rPr>
            <w:rStyle w:val="Hyperlink"/>
          </w:rPr>
          <w:t>https://doi.org/</w:t>
        </w:r>
        <w:r w:rsidRPr="006D7E69">
          <w:rPr>
            <w:rStyle w:val="Hyperlink"/>
            <w:shd w:val="clear" w:color="auto" w:fill="FFFFFF"/>
          </w:rPr>
          <w:t>10.1177/1745691610393980</w:t>
        </w:r>
      </w:hyperlink>
      <w:r w:rsidRPr="006D7E69">
        <w:rPr>
          <w:color w:val="000000" w:themeColor="text1"/>
          <w:shd w:val="clear" w:color="auto" w:fill="FFFFFF"/>
        </w:rPr>
        <w:t xml:space="preserve"> </w:t>
      </w:r>
    </w:p>
    <w:p w14:paraId="07CC03F3" w14:textId="41234CCE" w:rsidR="001868F7" w:rsidRPr="001868F7" w:rsidRDefault="001868F7" w:rsidP="001868F7">
      <w:pPr>
        <w:pStyle w:val="NormalWeb"/>
        <w:spacing w:before="0" w:beforeAutospacing="0" w:after="0" w:afterAutospacing="0" w:line="480" w:lineRule="auto"/>
        <w:ind w:left="720" w:hanging="720"/>
        <w:rPr>
          <w:color w:val="000000" w:themeColor="text1"/>
        </w:rPr>
      </w:pPr>
      <w:r w:rsidRPr="006D7E69">
        <w:rPr>
          <w:color w:val="000000" w:themeColor="text1"/>
          <w:shd w:val="clear" w:color="auto" w:fill="FFFFFF"/>
        </w:rPr>
        <w:t xml:space="preserve">Chandler, D., &amp; </w:t>
      </w:r>
      <w:proofErr w:type="spellStart"/>
      <w:r w:rsidRPr="006D7E69">
        <w:rPr>
          <w:color w:val="000000" w:themeColor="text1"/>
          <w:shd w:val="clear" w:color="auto" w:fill="FFFFFF"/>
        </w:rPr>
        <w:t>Kapelner</w:t>
      </w:r>
      <w:proofErr w:type="spellEnd"/>
      <w:r w:rsidRPr="006D7E69">
        <w:rPr>
          <w:color w:val="000000" w:themeColor="text1"/>
          <w:shd w:val="clear" w:color="auto" w:fill="FFFFFF"/>
        </w:rPr>
        <w:t xml:space="preserve">, A. (2013). Breaking monotony with meaning: Motivation in crowdsourcing markets. </w:t>
      </w:r>
      <w:r w:rsidRPr="006D7E69">
        <w:rPr>
          <w:i/>
          <w:iCs/>
          <w:color w:val="000000" w:themeColor="text1"/>
          <w:shd w:val="clear" w:color="auto" w:fill="FFFFFF"/>
        </w:rPr>
        <w:t>Journal of Economic Behavior &amp; Organization</w:t>
      </w:r>
      <w:r w:rsidRPr="006D7E69">
        <w:rPr>
          <w:color w:val="000000" w:themeColor="text1"/>
          <w:shd w:val="clear" w:color="auto" w:fill="FFFFFF"/>
        </w:rPr>
        <w:t xml:space="preserve">, </w:t>
      </w:r>
      <w:r w:rsidRPr="006D7E69">
        <w:rPr>
          <w:i/>
          <w:iCs/>
          <w:color w:val="000000" w:themeColor="text1"/>
          <w:shd w:val="clear" w:color="auto" w:fill="FFFFFF"/>
        </w:rPr>
        <w:t>90</w:t>
      </w:r>
      <w:r w:rsidRPr="006D7E69">
        <w:rPr>
          <w:color w:val="000000" w:themeColor="text1"/>
          <w:shd w:val="clear" w:color="auto" w:fill="FFFFFF"/>
        </w:rPr>
        <w:t xml:space="preserve">, 123-133. </w:t>
      </w:r>
      <w:hyperlink r:id="rId5" w:history="1">
        <w:r w:rsidRPr="006D7E69">
          <w:rPr>
            <w:rStyle w:val="Hyperlink"/>
          </w:rPr>
          <w:t>https://doi.org/</w:t>
        </w:r>
        <w:r w:rsidRPr="006D7E69">
          <w:rPr>
            <w:rStyle w:val="Hyperlink"/>
            <w:shd w:val="clear" w:color="auto" w:fill="FFFFFF"/>
          </w:rPr>
          <w:t>10.1016/j.jebo.2013.03.003</w:t>
        </w:r>
      </w:hyperlink>
      <w:r w:rsidRPr="006D7E69">
        <w:rPr>
          <w:color w:val="000000" w:themeColor="text1"/>
          <w:shd w:val="clear" w:color="auto" w:fill="FFFFFF"/>
        </w:rPr>
        <w:t xml:space="preserve"> </w:t>
      </w:r>
    </w:p>
    <w:p w14:paraId="19567EF6" w14:textId="023A2F85" w:rsidR="001868F7" w:rsidRDefault="001868F7" w:rsidP="001868F7">
      <w:pPr>
        <w:pStyle w:val="NormalWeb"/>
        <w:spacing w:before="0" w:beforeAutospacing="0" w:after="0" w:afterAutospacing="0" w:line="480" w:lineRule="auto"/>
        <w:ind w:left="720" w:hanging="720"/>
        <w:rPr>
          <w:rStyle w:val="Hyperlink"/>
          <w:shd w:val="clear" w:color="auto" w:fill="FFFFFF"/>
        </w:rPr>
      </w:pPr>
      <w:r w:rsidRPr="006D7E69">
        <w:rPr>
          <w:color w:val="000000" w:themeColor="text1"/>
          <w:shd w:val="clear" w:color="auto" w:fill="FFFFFF"/>
        </w:rPr>
        <w:t xml:space="preserve">Mason, W., &amp; Suri, S. (2012). Conducting behavioral research on Amazon’s Mechanical Turk. </w:t>
      </w:r>
      <w:r w:rsidRPr="006D7E69">
        <w:rPr>
          <w:i/>
          <w:iCs/>
          <w:color w:val="000000" w:themeColor="text1"/>
          <w:shd w:val="clear" w:color="auto" w:fill="FFFFFF"/>
        </w:rPr>
        <w:t>Behavior Research Methods</w:t>
      </w:r>
      <w:r w:rsidRPr="006D7E69">
        <w:rPr>
          <w:color w:val="000000" w:themeColor="text1"/>
          <w:shd w:val="clear" w:color="auto" w:fill="FFFFFF"/>
        </w:rPr>
        <w:t xml:space="preserve">, </w:t>
      </w:r>
      <w:r w:rsidRPr="006D7E69">
        <w:rPr>
          <w:i/>
          <w:iCs/>
          <w:color w:val="000000" w:themeColor="text1"/>
          <w:shd w:val="clear" w:color="auto" w:fill="FFFFFF"/>
        </w:rPr>
        <w:t>44</w:t>
      </w:r>
      <w:r w:rsidRPr="006D7E69">
        <w:rPr>
          <w:color w:val="000000" w:themeColor="text1"/>
          <w:shd w:val="clear" w:color="auto" w:fill="FFFFFF"/>
        </w:rPr>
        <w:t xml:space="preserve">(1), 1-23. </w:t>
      </w:r>
      <w:hyperlink r:id="rId6" w:history="1">
        <w:r w:rsidRPr="006D7E69">
          <w:rPr>
            <w:rStyle w:val="Hyperlink"/>
          </w:rPr>
          <w:t>https://doi.org/</w:t>
        </w:r>
        <w:r w:rsidRPr="006D7E69">
          <w:rPr>
            <w:rStyle w:val="Hyperlink"/>
            <w:shd w:val="clear" w:color="auto" w:fill="FFFFFF"/>
          </w:rPr>
          <w:t>10.3758/s13428-011-0124-6</w:t>
        </w:r>
      </w:hyperlink>
    </w:p>
    <w:p w14:paraId="12ACA8AA" w14:textId="61338B1C" w:rsidR="001868F7" w:rsidRDefault="001868F7" w:rsidP="001868F7">
      <w:pPr>
        <w:pStyle w:val="NormalWeb"/>
        <w:spacing w:before="0" w:beforeAutospacing="0" w:after="0" w:afterAutospacing="0" w:line="480" w:lineRule="auto"/>
        <w:ind w:left="720" w:hanging="720"/>
        <w:rPr>
          <w:color w:val="000000" w:themeColor="text1"/>
          <w:shd w:val="clear" w:color="auto" w:fill="FFFFFF"/>
        </w:rPr>
      </w:pPr>
      <w:proofErr w:type="spellStart"/>
      <w:r w:rsidRPr="006D7E69">
        <w:rPr>
          <w:color w:val="000000" w:themeColor="text1"/>
          <w:shd w:val="clear" w:color="auto" w:fill="FFFFFF"/>
        </w:rPr>
        <w:t>Paolacci</w:t>
      </w:r>
      <w:proofErr w:type="spellEnd"/>
      <w:r w:rsidRPr="006D7E69">
        <w:rPr>
          <w:color w:val="000000" w:themeColor="text1"/>
          <w:shd w:val="clear" w:color="auto" w:fill="FFFFFF"/>
        </w:rPr>
        <w:t xml:space="preserve">, G., &amp; Chandler, J. (2014). Inside the Turk: Understanding Mechanical Turk as a participant pool. </w:t>
      </w:r>
      <w:r w:rsidRPr="006D7E69">
        <w:rPr>
          <w:i/>
          <w:iCs/>
          <w:color w:val="000000" w:themeColor="text1"/>
          <w:shd w:val="clear" w:color="auto" w:fill="FFFFFF"/>
        </w:rPr>
        <w:t>Current Directions in Psychological Science</w:t>
      </w:r>
      <w:r w:rsidRPr="006D7E69">
        <w:rPr>
          <w:color w:val="000000" w:themeColor="text1"/>
          <w:shd w:val="clear" w:color="auto" w:fill="FFFFFF"/>
        </w:rPr>
        <w:t xml:space="preserve">, </w:t>
      </w:r>
      <w:r w:rsidRPr="006D7E69">
        <w:rPr>
          <w:i/>
          <w:iCs/>
          <w:color w:val="000000" w:themeColor="text1"/>
          <w:shd w:val="clear" w:color="auto" w:fill="FFFFFF"/>
        </w:rPr>
        <w:t>23</w:t>
      </w:r>
      <w:r w:rsidRPr="006D7E69">
        <w:rPr>
          <w:color w:val="000000" w:themeColor="text1"/>
          <w:shd w:val="clear" w:color="auto" w:fill="FFFFFF"/>
        </w:rPr>
        <w:t xml:space="preserve">(3), 184-188. </w:t>
      </w:r>
      <w:hyperlink r:id="rId7" w:history="1">
        <w:r w:rsidRPr="006D7E69">
          <w:rPr>
            <w:rStyle w:val="Hyperlink"/>
          </w:rPr>
          <w:t>https://doi.org/</w:t>
        </w:r>
        <w:r w:rsidRPr="006D7E69">
          <w:rPr>
            <w:rStyle w:val="Hyperlink"/>
            <w:shd w:val="clear" w:color="auto" w:fill="FFFFFF"/>
          </w:rPr>
          <w:t>10.1177/0963721414531598</w:t>
        </w:r>
      </w:hyperlink>
      <w:r w:rsidRPr="006D7E69">
        <w:rPr>
          <w:color w:val="000000" w:themeColor="text1"/>
          <w:shd w:val="clear" w:color="auto" w:fill="FFFFFF"/>
        </w:rPr>
        <w:t xml:space="preserve"> </w:t>
      </w:r>
    </w:p>
    <w:p w14:paraId="0D3DB099" w14:textId="1F1BC906" w:rsidR="001868F7" w:rsidRPr="001868F7" w:rsidRDefault="001868F7" w:rsidP="001868F7">
      <w:pPr>
        <w:pStyle w:val="NormalWeb"/>
        <w:spacing w:before="0" w:beforeAutospacing="0" w:after="0" w:afterAutospacing="0" w:line="480" w:lineRule="auto"/>
        <w:ind w:left="720" w:hanging="720"/>
        <w:rPr>
          <w:color w:val="000000" w:themeColor="text1"/>
          <w:shd w:val="clear" w:color="auto" w:fill="FFFFFF"/>
        </w:rPr>
      </w:pPr>
      <w:proofErr w:type="spellStart"/>
      <w:r w:rsidRPr="006D7E69">
        <w:rPr>
          <w:color w:val="000000" w:themeColor="text1"/>
          <w:shd w:val="clear" w:color="auto" w:fill="FFFFFF"/>
        </w:rPr>
        <w:t>Portney</w:t>
      </w:r>
      <w:proofErr w:type="spellEnd"/>
      <w:r w:rsidRPr="006D7E69">
        <w:rPr>
          <w:color w:val="000000" w:themeColor="text1"/>
          <w:shd w:val="clear" w:color="auto" w:fill="FFFFFF"/>
        </w:rPr>
        <w:t>, L. G., &amp; Watkins, M. P. (2009).</w:t>
      </w:r>
      <w:r w:rsidRPr="006D7E69">
        <w:rPr>
          <w:rStyle w:val="apple-converted-space"/>
          <w:color w:val="000000" w:themeColor="text1"/>
          <w:shd w:val="clear" w:color="auto" w:fill="FFFFFF"/>
        </w:rPr>
        <w:t> </w:t>
      </w:r>
      <w:r w:rsidRPr="006D7E69">
        <w:rPr>
          <w:i/>
          <w:iCs/>
          <w:color w:val="000000" w:themeColor="text1"/>
        </w:rPr>
        <w:t>Foundations of clinical research: applications to practice</w:t>
      </w:r>
      <w:r w:rsidRPr="006D7E69">
        <w:rPr>
          <w:rStyle w:val="apple-converted-space"/>
          <w:color w:val="000000" w:themeColor="text1"/>
          <w:shd w:val="clear" w:color="auto" w:fill="FFFFFF"/>
        </w:rPr>
        <w:t> </w:t>
      </w:r>
      <w:r w:rsidRPr="006D7E69">
        <w:rPr>
          <w:color w:val="000000" w:themeColor="text1"/>
          <w:shd w:val="clear" w:color="auto" w:fill="FFFFFF"/>
        </w:rPr>
        <w:t>(Vol. 892). Upper Saddle River, NJ: Pearson/Prentice Hall.</w:t>
      </w:r>
    </w:p>
    <w:p w14:paraId="1D20C43E" w14:textId="77777777" w:rsidR="001868F7" w:rsidRPr="006D7E69" w:rsidRDefault="001868F7" w:rsidP="001868F7">
      <w:pPr>
        <w:pStyle w:val="NormalWeb"/>
        <w:spacing w:before="0" w:beforeAutospacing="0" w:after="0" w:afterAutospacing="0" w:line="480" w:lineRule="auto"/>
        <w:ind w:left="720" w:hanging="720"/>
        <w:rPr>
          <w:rStyle w:val="Hyperlink"/>
          <w:color w:val="000000" w:themeColor="text1"/>
          <w:shd w:val="clear" w:color="auto" w:fill="FFFFFF"/>
        </w:rPr>
      </w:pPr>
      <w:r w:rsidRPr="006D7E69">
        <w:rPr>
          <w:color w:val="000000" w:themeColor="text1"/>
          <w:shd w:val="clear" w:color="auto" w:fill="FFFFFF"/>
        </w:rPr>
        <w:t xml:space="preserve">Rouse, S. V. (2015). A reliability analysis of Mechanical Turk data. </w:t>
      </w:r>
      <w:r w:rsidRPr="006D7E69">
        <w:rPr>
          <w:i/>
          <w:iCs/>
          <w:color w:val="000000" w:themeColor="text1"/>
          <w:shd w:val="clear" w:color="auto" w:fill="FFFFFF"/>
        </w:rPr>
        <w:t>Computers in Human Behavior</w:t>
      </w:r>
      <w:r w:rsidRPr="006D7E69">
        <w:rPr>
          <w:color w:val="000000" w:themeColor="text1"/>
          <w:shd w:val="clear" w:color="auto" w:fill="FFFFFF"/>
        </w:rPr>
        <w:t xml:space="preserve">, </w:t>
      </w:r>
      <w:r w:rsidRPr="006D7E69">
        <w:rPr>
          <w:i/>
          <w:iCs/>
          <w:color w:val="000000" w:themeColor="text1"/>
          <w:shd w:val="clear" w:color="auto" w:fill="FFFFFF"/>
        </w:rPr>
        <w:t>43</w:t>
      </w:r>
      <w:r w:rsidRPr="006D7E69">
        <w:rPr>
          <w:color w:val="000000" w:themeColor="text1"/>
          <w:shd w:val="clear" w:color="auto" w:fill="FFFFFF"/>
        </w:rPr>
        <w:t xml:space="preserve">, 304-307. </w:t>
      </w:r>
      <w:hyperlink r:id="rId8" w:history="1">
        <w:r w:rsidRPr="006D7E69">
          <w:rPr>
            <w:rStyle w:val="Hyperlink"/>
          </w:rPr>
          <w:t>https://doi.org/</w:t>
        </w:r>
        <w:r w:rsidRPr="006D7E69">
          <w:rPr>
            <w:rStyle w:val="Hyperlink"/>
            <w:shd w:val="clear" w:color="auto" w:fill="FFFFFF"/>
          </w:rPr>
          <w:t>10.1016/j.chb.2014.11.004</w:t>
        </w:r>
      </w:hyperlink>
      <w:r w:rsidRPr="006D7E69">
        <w:rPr>
          <w:rStyle w:val="Hyperlink"/>
          <w:color w:val="000000" w:themeColor="text1"/>
          <w:shd w:val="clear" w:color="auto" w:fill="FFFFFF"/>
        </w:rPr>
        <w:t xml:space="preserve"> </w:t>
      </w:r>
    </w:p>
    <w:p w14:paraId="43546FEC" w14:textId="77777777" w:rsidR="001868F7" w:rsidRPr="006D7E69" w:rsidRDefault="001868F7" w:rsidP="0094179B">
      <w:pPr>
        <w:pStyle w:val="NormalWeb"/>
        <w:spacing w:before="0" w:beforeAutospacing="0" w:after="0" w:afterAutospacing="0" w:line="480" w:lineRule="auto"/>
        <w:ind w:left="720" w:hanging="720"/>
        <w:rPr>
          <w:color w:val="000000" w:themeColor="text1"/>
        </w:rPr>
      </w:pPr>
    </w:p>
    <w:p w14:paraId="2F919717" w14:textId="77777777" w:rsidR="0094179B" w:rsidRPr="0094179B" w:rsidRDefault="0094179B" w:rsidP="0094179B">
      <w:pPr>
        <w:autoSpaceDE w:val="0"/>
        <w:autoSpaceDN w:val="0"/>
        <w:adjustRightInd w:val="0"/>
        <w:spacing w:line="480" w:lineRule="auto"/>
        <w:jc w:val="center"/>
        <w:rPr>
          <w:b/>
          <w:bCs/>
          <w:color w:val="000000" w:themeColor="text1"/>
        </w:rPr>
      </w:pPr>
    </w:p>
    <w:p w14:paraId="38211C22" w14:textId="77777777" w:rsidR="005A3F3C" w:rsidRDefault="00E445ED"/>
    <w:sectPr w:rsidR="005A3F3C" w:rsidSect="00173E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BF4"/>
    <w:rsid w:val="00173E50"/>
    <w:rsid w:val="001868F7"/>
    <w:rsid w:val="001F4004"/>
    <w:rsid w:val="002001A6"/>
    <w:rsid w:val="002F44BD"/>
    <w:rsid w:val="00487C4D"/>
    <w:rsid w:val="004D232D"/>
    <w:rsid w:val="0094179B"/>
    <w:rsid w:val="00C62519"/>
    <w:rsid w:val="00D76BF4"/>
    <w:rsid w:val="00E445ED"/>
    <w:rsid w:val="00F05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440310"/>
  <w15:chartTrackingRefBased/>
  <w15:docId w15:val="{15510F6F-93AA-3141-9C16-6EB5D53F8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BF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477"/>
    <w:pPr>
      <w:ind w:left="720"/>
      <w:contextualSpacing/>
    </w:pPr>
    <w:rPr>
      <w:rFonts w:asciiTheme="minorHAnsi" w:eastAsiaTheme="minorHAnsi" w:hAnsiTheme="minorHAnsi" w:cstheme="minorBidi"/>
    </w:rPr>
  </w:style>
  <w:style w:type="character" w:customStyle="1" w:styleId="apple-converted-space">
    <w:name w:val="apple-converted-space"/>
    <w:basedOn w:val="DefaultParagraphFont"/>
    <w:rsid w:val="001F4004"/>
  </w:style>
  <w:style w:type="character" w:styleId="Hyperlink">
    <w:name w:val="Hyperlink"/>
    <w:basedOn w:val="DefaultParagraphFont"/>
    <w:uiPriority w:val="99"/>
    <w:unhideWhenUsed/>
    <w:rsid w:val="0094179B"/>
    <w:rPr>
      <w:color w:val="0000FF"/>
      <w:u w:val="single"/>
    </w:rPr>
  </w:style>
  <w:style w:type="paragraph" w:styleId="NormalWeb">
    <w:name w:val="Normal (Web)"/>
    <w:basedOn w:val="Normal"/>
    <w:uiPriority w:val="99"/>
    <w:unhideWhenUsed/>
    <w:rsid w:val="0094179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chb.2014.11.004" TargetMode="External"/><Relationship Id="rId3" Type="http://schemas.openxmlformats.org/officeDocument/2006/relationships/webSettings" Target="webSettings.xml"/><Relationship Id="rId7" Type="http://schemas.openxmlformats.org/officeDocument/2006/relationships/hyperlink" Target="https://doi.org/10.1177/096372141453159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3758/s13428-011-0124-6" TargetMode="External"/><Relationship Id="rId5" Type="http://schemas.openxmlformats.org/officeDocument/2006/relationships/hyperlink" Target="https://doi.org/10.1016/j.jebo.2013.03.003" TargetMode="External"/><Relationship Id="rId10" Type="http://schemas.openxmlformats.org/officeDocument/2006/relationships/theme" Target="theme/theme1.xml"/><Relationship Id="rId4" Type="http://schemas.openxmlformats.org/officeDocument/2006/relationships/hyperlink" Target="https://doi.org/10.1177/1745691610393980"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712</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 Christina</dc:creator>
  <cp:keywords/>
  <dc:description/>
  <cp:lastModifiedBy>Bradley, Christina</cp:lastModifiedBy>
  <cp:revision>6</cp:revision>
  <dcterms:created xsi:type="dcterms:W3CDTF">2020-08-25T15:31:00Z</dcterms:created>
  <dcterms:modified xsi:type="dcterms:W3CDTF">2020-09-11T15:17:00Z</dcterms:modified>
</cp:coreProperties>
</file>