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8A340" w14:textId="63B7F661" w:rsidR="00DF72B1" w:rsidRPr="00D33E21" w:rsidRDefault="00DF72B1" w:rsidP="00CF3610">
      <w:pPr>
        <w:spacing w:line="360" w:lineRule="auto"/>
        <w:rPr>
          <w:rFonts w:ascii="Times New Roman" w:hAnsi="Times New Roman" w:cs="Times New Roman"/>
          <w:b/>
          <w:bCs/>
          <w:sz w:val="36"/>
          <w:szCs w:val="36"/>
          <w:lang w:val="en-US"/>
        </w:rPr>
      </w:pPr>
      <w:r w:rsidRPr="00D33E21">
        <w:rPr>
          <w:rFonts w:ascii="Times New Roman" w:hAnsi="Times New Roman" w:cs="Times New Roman"/>
          <w:b/>
          <w:bCs/>
          <w:sz w:val="36"/>
          <w:szCs w:val="36"/>
          <w:lang w:val="en-US"/>
        </w:rPr>
        <w:t>Supplementary materials II</w:t>
      </w:r>
    </w:p>
    <w:p w14:paraId="773DDF02" w14:textId="78E8893F" w:rsidR="001F0F15" w:rsidRPr="00D33E21" w:rsidRDefault="001F0F15" w:rsidP="00EA5754">
      <w:pPr>
        <w:pStyle w:val="ListParagraph"/>
        <w:numPr>
          <w:ilvl w:val="1"/>
          <w:numId w:val="1"/>
        </w:num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 xml:space="preserve">Data preparation </w:t>
      </w:r>
    </w:p>
    <w:p w14:paraId="02F12A18" w14:textId="15B01D18" w:rsidR="00EA5754" w:rsidRPr="00D33E21" w:rsidRDefault="009E3BBC" w:rsidP="00EA5754">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 xml:space="preserve">In order to </w:t>
      </w:r>
      <w:r w:rsidR="004F73C5" w:rsidRPr="00D33E21">
        <w:rPr>
          <w:rFonts w:ascii="Times New Roman" w:hAnsi="Times New Roman" w:cs="Times New Roman"/>
          <w:sz w:val="24"/>
          <w:szCs w:val="24"/>
          <w:lang w:val="en-US"/>
        </w:rPr>
        <w:t xml:space="preserve">calculate the effect size (Cohen’s d) for within-person studies, we required the </w:t>
      </w:r>
      <w:r w:rsidR="00DC5172" w:rsidRPr="00D33E21">
        <w:rPr>
          <w:rFonts w:ascii="Times New Roman" w:hAnsi="Times New Roman" w:cs="Times New Roman"/>
          <w:sz w:val="24"/>
          <w:szCs w:val="24"/>
          <w:lang w:val="en-US"/>
        </w:rPr>
        <w:t xml:space="preserve">sample size, group means, standard deviations, and correlation coefficients. If the correlation coefficient was not reported, we estimated it by using the </w:t>
      </w:r>
      <w:r w:rsidR="00542E98" w:rsidRPr="00D33E21">
        <w:rPr>
          <w:rFonts w:ascii="Times New Roman" w:hAnsi="Times New Roman" w:cs="Times New Roman"/>
          <w:sz w:val="24"/>
          <w:szCs w:val="24"/>
          <w:lang w:val="en-US"/>
        </w:rPr>
        <w:t>R-code below.</w:t>
      </w:r>
      <w:r w:rsidR="00D23529" w:rsidRPr="00D33E21">
        <w:rPr>
          <w:rFonts w:ascii="Times New Roman" w:hAnsi="Times New Roman" w:cs="Times New Roman"/>
          <w:sz w:val="24"/>
          <w:szCs w:val="24"/>
          <w:lang w:val="en-US"/>
        </w:rPr>
        <w:t xml:space="preserve"> We created a function to estimate the </w:t>
      </w:r>
      <w:r w:rsidR="00D607A9" w:rsidRPr="00D33E21">
        <w:rPr>
          <w:rFonts w:ascii="Times New Roman" w:hAnsi="Times New Roman" w:cs="Times New Roman"/>
          <w:sz w:val="24"/>
          <w:szCs w:val="24"/>
          <w:lang w:val="en-US"/>
        </w:rPr>
        <w:t xml:space="preserve">correlation based on the </w:t>
      </w:r>
      <w:r w:rsidR="0037269F" w:rsidRPr="00D33E21">
        <w:rPr>
          <w:rFonts w:ascii="Times New Roman" w:hAnsi="Times New Roman" w:cs="Times New Roman"/>
          <w:sz w:val="24"/>
          <w:szCs w:val="24"/>
          <w:lang w:val="en-US"/>
        </w:rPr>
        <w:t xml:space="preserve">sample size, </w:t>
      </w:r>
      <w:r w:rsidR="009E1F84" w:rsidRPr="00D33E21">
        <w:rPr>
          <w:rFonts w:ascii="Times New Roman" w:hAnsi="Times New Roman" w:cs="Times New Roman"/>
          <w:sz w:val="24"/>
          <w:szCs w:val="24"/>
          <w:lang w:val="en-US"/>
        </w:rPr>
        <w:t xml:space="preserve">means, standard errors, and </w:t>
      </w:r>
      <w:r w:rsidR="009E1F84" w:rsidRPr="00D33E21">
        <w:rPr>
          <w:rFonts w:ascii="Times New Roman" w:hAnsi="Times New Roman" w:cs="Times New Roman"/>
          <w:i/>
          <w:iCs/>
          <w:sz w:val="24"/>
          <w:szCs w:val="24"/>
          <w:lang w:val="en-US"/>
        </w:rPr>
        <w:t>p</w:t>
      </w:r>
      <w:r w:rsidR="009E1F84" w:rsidRPr="00D33E21">
        <w:rPr>
          <w:rFonts w:ascii="Times New Roman" w:hAnsi="Times New Roman" w:cs="Times New Roman"/>
          <w:sz w:val="24"/>
          <w:szCs w:val="24"/>
          <w:lang w:val="en-US"/>
        </w:rPr>
        <w:t xml:space="preserve">-values. </w:t>
      </w:r>
      <w:r w:rsidR="00473D03" w:rsidRPr="00D33E21">
        <w:rPr>
          <w:rFonts w:ascii="Times New Roman" w:hAnsi="Times New Roman" w:cs="Times New Roman"/>
          <w:sz w:val="24"/>
          <w:szCs w:val="24"/>
          <w:lang w:val="en-US"/>
        </w:rPr>
        <w:t xml:space="preserve">Par = 0 </w:t>
      </w:r>
      <w:r w:rsidR="00C24CDE" w:rsidRPr="00D33E21">
        <w:rPr>
          <w:rFonts w:ascii="Times New Roman" w:hAnsi="Times New Roman" w:cs="Times New Roman"/>
          <w:sz w:val="24"/>
          <w:szCs w:val="24"/>
          <w:lang w:val="en-US"/>
        </w:rPr>
        <w:t xml:space="preserve">states that we estimate the correlation based on the assumption that the correlation is 0. </w:t>
      </w:r>
      <w:r w:rsidR="00542E98" w:rsidRPr="00D33E21">
        <w:rPr>
          <w:rFonts w:ascii="Times New Roman" w:hAnsi="Times New Roman" w:cs="Times New Roman"/>
          <w:sz w:val="24"/>
          <w:szCs w:val="24"/>
          <w:lang w:val="en-US"/>
        </w:rPr>
        <w:t xml:space="preserve"> </w:t>
      </w:r>
    </w:p>
    <w:p w14:paraId="174FBBCA" w14:textId="77777777" w:rsidR="004850BC" w:rsidRPr="00D33E21" w:rsidRDefault="004850BC" w:rsidP="00545060">
      <w:pPr>
        <w:spacing w:line="360" w:lineRule="auto"/>
        <w:rPr>
          <w:rFonts w:ascii="Times New Roman" w:hAnsi="Times New Roman" w:cs="Times New Roman"/>
          <w:sz w:val="24"/>
          <w:szCs w:val="24"/>
          <w:lang w:val="en-US"/>
        </w:rPr>
      </w:pPr>
    </w:p>
    <w:p w14:paraId="400FC906" w14:textId="728AC56E" w:rsidR="00545060" w:rsidRPr="00D33E21" w:rsidRDefault="00545060" w:rsidP="00545060">
      <w:pPr>
        <w:spacing w:line="360" w:lineRule="auto"/>
        <w:rPr>
          <w:rFonts w:ascii="Times New Roman" w:hAnsi="Times New Roman" w:cs="Times New Roman"/>
          <w:sz w:val="24"/>
          <w:szCs w:val="24"/>
          <w:lang w:val="en-US"/>
        </w:rPr>
      </w:pPr>
      <w:proofErr w:type="spellStart"/>
      <w:r w:rsidRPr="00D33E21">
        <w:rPr>
          <w:rFonts w:ascii="Times New Roman" w:hAnsi="Times New Roman" w:cs="Times New Roman"/>
          <w:sz w:val="24"/>
          <w:szCs w:val="24"/>
          <w:lang w:val="en-US"/>
        </w:rPr>
        <w:t>get_cov</w:t>
      </w:r>
      <w:proofErr w:type="spellEnd"/>
      <w:r w:rsidRPr="00D33E21">
        <w:rPr>
          <w:rFonts w:ascii="Times New Roman" w:hAnsi="Times New Roman" w:cs="Times New Roman"/>
          <w:sz w:val="24"/>
          <w:szCs w:val="24"/>
          <w:lang w:val="en-US"/>
        </w:rPr>
        <w:t xml:space="preserve"> &lt;- function(par){                      </w:t>
      </w:r>
    </w:p>
    <w:p w14:paraId="672983BC" w14:textId="0B2CFCA5" w:rsidR="00545060" w:rsidRPr="00D33E21" w:rsidRDefault="00545060" w:rsidP="00545060">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 xml:space="preserve">    t &lt;- qt(p = p ,</w:t>
      </w:r>
      <w:proofErr w:type="spellStart"/>
      <w:r w:rsidRPr="00D33E21">
        <w:rPr>
          <w:rFonts w:ascii="Times New Roman" w:hAnsi="Times New Roman" w:cs="Times New Roman"/>
          <w:sz w:val="24"/>
          <w:szCs w:val="24"/>
          <w:lang w:val="en-US"/>
        </w:rPr>
        <w:t>df</w:t>
      </w:r>
      <w:proofErr w:type="spellEnd"/>
      <w:r w:rsidRPr="00D33E21">
        <w:rPr>
          <w:rFonts w:ascii="Times New Roman" w:hAnsi="Times New Roman" w:cs="Times New Roman"/>
          <w:sz w:val="24"/>
          <w:szCs w:val="24"/>
          <w:lang w:val="en-US"/>
        </w:rPr>
        <w:t xml:space="preserve"> = n-1)   </w:t>
      </w:r>
    </w:p>
    <w:p w14:paraId="77C0B91C" w14:textId="3F96BAA9" w:rsidR="00545060" w:rsidRPr="00D33E21" w:rsidRDefault="00545060" w:rsidP="00545060">
      <w:pPr>
        <w:spacing w:line="360" w:lineRule="auto"/>
        <w:rPr>
          <w:rFonts w:ascii="Times New Roman" w:hAnsi="Times New Roman" w:cs="Times New Roman"/>
          <w:sz w:val="24"/>
          <w:szCs w:val="24"/>
          <w:lang w:val="it-IT"/>
        </w:rPr>
      </w:pPr>
      <w:r w:rsidRPr="00D33E21">
        <w:rPr>
          <w:rFonts w:ascii="Times New Roman" w:hAnsi="Times New Roman" w:cs="Times New Roman"/>
          <w:sz w:val="24"/>
          <w:szCs w:val="24"/>
          <w:lang w:val="en-US"/>
        </w:rPr>
        <w:t xml:space="preserve">    </w:t>
      </w:r>
      <w:r w:rsidRPr="00D33E21">
        <w:rPr>
          <w:rFonts w:ascii="Times New Roman" w:hAnsi="Times New Roman" w:cs="Times New Roman"/>
          <w:sz w:val="24"/>
          <w:szCs w:val="24"/>
          <w:lang w:val="it-IT"/>
        </w:rPr>
        <w:t xml:space="preserve">cov &lt;- (se1 * par *se2)    </w:t>
      </w:r>
    </w:p>
    <w:p w14:paraId="515F5A35" w14:textId="39B73820" w:rsidR="00545060" w:rsidRPr="00D33E21" w:rsidRDefault="00545060" w:rsidP="00545060">
      <w:pPr>
        <w:spacing w:line="360" w:lineRule="auto"/>
        <w:rPr>
          <w:rFonts w:ascii="Times New Roman" w:hAnsi="Times New Roman" w:cs="Times New Roman"/>
          <w:sz w:val="24"/>
          <w:szCs w:val="24"/>
          <w:lang w:val="it-IT"/>
        </w:rPr>
      </w:pPr>
      <w:r w:rsidRPr="00D33E21">
        <w:rPr>
          <w:rFonts w:ascii="Times New Roman" w:hAnsi="Times New Roman" w:cs="Times New Roman"/>
          <w:sz w:val="24"/>
          <w:szCs w:val="24"/>
          <w:lang w:val="it-IT"/>
        </w:rPr>
        <w:t xml:space="preserve">    minimize &lt;- (t -  (m1-m2/sqrt(se1^2 + se2^2 - 2*cov )))^2</w:t>
      </w:r>
    </w:p>
    <w:p w14:paraId="52148B67" w14:textId="77777777" w:rsidR="00545060" w:rsidRPr="00D33E21" w:rsidRDefault="00545060" w:rsidP="00545060">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it-IT"/>
        </w:rPr>
        <w:t xml:space="preserve">  </w:t>
      </w:r>
      <w:r w:rsidRPr="00D33E21">
        <w:rPr>
          <w:rFonts w:ascii="Times New Roman" w:hAnsi="Times New Roman" w:cs="Times New Roman"/>
          <w:sz w:val="24"/>
          <w:szCs w:val="24"/>
          <w:lang w:val="en-US"/>
        </w:rPr>
        <w:t>minimize</w:t>
      </w:r>
    </w:p>
    <w:p w14:paraId="24D337D8" w14:textId="7934DAB0" w:rsidR="00EA5754" w:rsidRPr="00D33E21" w:rsidRDefault="00545060" w:rsidP="00545060">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w:t>
      </w:r>
    </w:p>
    <w:p w14:paraId="12A356BF" w14:textId="4DA3172D" w:rsidR="00EA5754" w:rsidRPr="00D33E21" w:rsidRDefault="00873D2D" w:rsidP="00EA5754">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correlat</w:t>
      </w:r>
      <w:r w:rsidR="00B70BD6" w:rsidRPr="00D33E21">
        <w:rPr>
          <w:rFonts w:ascii="Times New Roman" w:hAnsi="Times New Roman" w:cs="Times New Roman"/>
          <w:sz w:val="24"/>
          <w:szCs w:val="24"/>
          <w:lang w:val="en-US"/>
        </w:rPr>
        <w:t>e</w:t>
      </w:r>
      <w:r w:rsidRPr="00D33E21">
        <w:rPr>
          <w:rFonts w:ascii="Times New Roman" w:hAnsi="Times New Roman" w:cs="Times New Roman"/>
          <w:sz w:val="24"/>
          <w:szCs w:val="24"/>
          <w:lang w:val="en-US"/>
        </w:rPr>
        <w:t xml:space="preserve"> &lt;- </w:t>
      </w:r>
      <w:proofErr w:type="spellStart"/>
      <w:r w:rsidRPr="00D33E21">
        <w:rPr>
          <w:rFonts w:ascii="Times New Roman" w:hAnsi="Times New Roman" w:cs="Times New Roman"/>
          <w:sz w:val="24"/>
          <w:szCs w:val="24"/>
          <w:lang w:val="en-US"/>
        </w:rPr>
        <w:t>optim</w:t>
      </w:r>
      <w:proofErr w:type="spellEnd"/>
      <w:r w:rsidRPr="00D33E21">
        <w:rPr>
          <w:rFonts w:ascii="Times New Roman" w:hAnsi="Times New Roman" w:cs="Times New Roman"/>
          <w:sz w:val="24"/>
          <w:szCs w:val="24"/>
          <w:lang w:val="en-US"/>
        </w:rPr>
        <w:t>(par=0,fn=</w:t>
      </w:r>
      <w:proofErr w:type="spellStart"/>
      <w:r w:rsidRPr="00D33E21">
        <w:rPr>
          <w:rFonts w:ascii="Times New Roman" w:hAnsi="Times New Roman" w:cs="Times New Roman"/>
          <w:sz w:val="24"/>
          <w:szCs w:val="24"/>
          <w:lang w:val="en-US"/>
        </w:rPr>
        <w:t>get_cov,lower</w:t>
      </w:r>
      <w:proofErr w:type="spellEnd"/>
      <w:r w:rsidRPr="00D33E21">
        <w:rPr>
          <w:rFonts w:ascii="Times New Roman" w:hAnsi="Times New Roman" w:cs="Times New Roman"/>
          <w:sz w:val="24"/>
          <w:szCs w:val="24"/>
          <w:lang w:val="en-US"/>
        </w:rPr>
        <w:t>=-1,upper= 1,method="L-BFGS-B")</w:t>
      </w:r>
    </w:p>
    <w:p w14:paraId="7EBD1895" w14:textId="77777777" w:rsidR="00EA5754" w:rsidRPr="00D33E21" w:rsidRDefault="00EA5754" w:rsidP="00EA5754">
      <w:pPr>
        <w:spacing w:line="360" w:lineRule="auto"/>
        <w:rPr>
          <w:rFonts w:ascii="Times New Roman" w:hAnsi="Times New Roman" w:cs="Times New Roman"/>
          <w:sz w:val="24"/>
          <w:szCs w:val="24"/>
          <w:lang w:val="en-US"/>
        </w:rPr>
      </w:pPr>
    </w:p>
    <w:p w14:paraId="6C4F8EDE" w14:textId="77777777" w:rsidR="00F9794C" w:rsidRPr="00D33E21" w:rsidRDefault="00F9794C" w:rsidP="00EA5754">
      <w:pPr>
        <w:spacing w:line="360" w:lineRule="auto"/>
        <w:rPr>
          <w:rFonts w:ascii="Times New Roman" w:hAnsi="Times New Roman" w:cs="Times New Roman"/>
          <w:sz w:val="24"/>
          <w:szCs w:val="24"/>
          <w:lang w:val="en-US"/>
        </w:rPr>
      </w:pPr>
    </w:p>
    <w:p w14:paraId="0C5EA8A0" w14:textId="77777777" w:rsidR="00F9794C" w:rsidRPr="00D33E21" w:rsidRDefault="00F9794C" w:rsidP="00EA5754">
      <w:pPr>
        <w:spacing w:line="360" w:lineRule="auto"/>
        <w:rPr>
          <w:rFonts w:ascii="Times New Roman" w:hAnsi="Times New Roman" w:cs="Times New Roman"/>
          <w:sz w:val="24"/>
          <w:szCs w:val="24"/>
          <w:lang w:val="en-US"/>
        </w:rPr>
      </w:pPr>
    </w:p>
    <w:p w14:paraId="59F48150" w14:textId="77777777" w:rsidR="00F9794C" w:rsidRPr="00D33E21" w:rsidRDefault="00F9794C" w:rsidP="00EA5754">
      <w:pPr>
        <w:spacing w:line="360" w:lineRule="auto"/>
        <w:rPr>
          <w:rFonts w:ascii="Times New Roman" w:hAnsi="Times New Roman" w:cs="Times New Roman"/>
          <w:sz w:val="24"/>
          <w:szCs w:val="24"/>
          <w:lang w:val="en-US"/>
        </w:rPr>
      </w:pPr>
    </w:p>
    <w:p w14:paraId="098AEFED" w14:textId="77777777" w:rsidR="00F9794C" w:rsidRPr="00D33E21" w:rsidRDefault="00F9794C" w:rsidP="00EA5754">
      <w:pPr>
        <w:spacing w:line="360" w:lineRule="auto"/>
        <w:rPr>
          <w:rFonts w:ascii="Times New Roman" w:hAnsi="Times New Roman" w:cs="Times New Roman"/>
          <w:sz w:val="24"/>
          <w:szCs w:val="24"/>
          <w:lang w:val="en-US"/>
        </w:rPr>
      </w:pPr>
    </w:p>
    <w:p w14:paraId="0498E3BE" w14:textId="77777777" w:rsidR="00F9794C" w:rsidRPr="00D33E21" w:rsidRDefault="00F9794C" w:rsidP="00EA5754">
      <w:pPr>
        <w:spacing w:line="360" w:lineRule="auto"/>
        <w:rPr>
          <w:rFonts w:ascii="Times New Roman" w:hAnsi="Times New Roman" w:cs="Times New Roman"/>
          <w:sz w:val="24"/>
          <w:szCs w:val="24"/>
          <w:lang w:val="en-US"/>
        </w:rPr>
      </w:pPr>
    </w:p>
    <w:p w14:paraId="6F4F4AE2" w14:textId="77777777" w:rsidR="00F9794C" w:rsidRPr="00D33E21" w:rsidRDefault="00F9794C" w:rsidP="00EA5754">
      <w:pPr>
        <w:spacing w:line="360" w:lineRule="auto"/>
        <w:rPr>
          <w:rFonts w:ascii="Times New Roman" w:hAnsi="Times New Roman" w:cs="Times New Roman"/>
          <w:sz w:val="24"/>
          <w:szCs w:val="24"/>
          <w:lang w:val="en-US"/>
        </w:rPr>
      </w:pPr>
    </w:p>
    <w:p w14:paraId="13BA1050" w14:textId="77777777" w:rsidR="00F9794C" w:rsidRPr="00D33E21" w:rsidRDefault="00F9794C" w:rsidP="00EA5754">
      <w:pPr>
        <w:spacing w:line="360" w:lineRule="auto"/>
        <w:rPr>
          <w:rFonts w:ascii="Times New Roman" w:hAnsi="Times New Roman" w:cs="Times New Roman"/>
          <w:sz w:val="24"/>
          <w:szCs w:val="24"/>
          <w:lang w:val="en-US"/>
        </w:rPr>
      </w:pPr>
    </w:p>
    <w:p w14:paraId="16D10E6E" w14:textId="77777777" w:rsidR="00D639F3" w:rsidRPr="00D33E21" w:rsidRDefault="00D639F3" w:rsidP="00EA5754">
      <w:pPr>
        <w:spacing w:line="360" w:lineRule="auto"/>
        <w:rPr>
          <w:rFonts w:ascii="Times New Roman" w:hAnsi="Times New Roman" w:cs="Times New Roman"/>
          <w:sz w:val="24"/>
          <w:szCs w:val="24"/>
          <w:lang w:val="en-US"/>
        </w:rPr>
      </w:pPr>
    </w:p>
    <w:p w14:paraId="39D093A0" w14:textId="0236A049" w:rsidR="00EA5754" w:rsidRPr="00D33E21" w:rsidRDefault="00800FE2" w:rsidP="00EA5754">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lastRenderedPageBreak/>
        <w:t>1.2 Study samples</w:t>
      </w:r>
      <w:r w:rsidR="00157803" w:rsidRPr="00D33E21">
        <w:rPr>
          <w:rFonts w:ascii="Times New Roman" w:hAnsi="Times New Roman" w:cs="Times New Roman"/>
          <w:b/>
          <w:bCs/>
          <w:sz w:val="24"/>
          <w:szCs w:val="24"/>
          <w:lang w:val="en-US"/>
        </w:rPr>
        <w:t xml:space="preserve"> and wellbeing scales</w:t>
      </w:r>
    </w:p>
    <w:p w14:paraId="5AC0EDDB" w14:textId="559CDFF9" w:rsidR="00BA144B" w:rsidRPr="00D33E21" w:rsidRDefault="00BA144B" w:rsidP="009C2C84">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 xml:space="preserve">Table </w:t>
      </w:r>
      <w:r w:rsidR="00F62A43" w:rsidRPr="00D33E21">
        <w:rPr>
          <w:rFonts w:ascii="Times New Roman" w:hAnsi="Times New Roman" w:cs="Times New Roman"/>
          <w:sz w:val="24"/>
          <w:szCs w:val="24"/>
          <w:lang w:val="en-US"/>
        </w:rPr>
        <w:t>S</w:t>
      </w:r>
      <w:r w:rsidR="000B090B" w:rsidRPr="00D33E21">
        <w:rPr>
          <w:rFonts w:ascii="Times New Roman" w:hAnsi="Times New Roman" w:cs="Times New Roman"/>
          <w:sz w:val="24"/>
          <w:szCs w:val="24"/>
          <w:lang w:val="en-US"/>
        </w:rPr>
        <w:t>T</w:t>
      </w:r>
      <w:r w:rsidRPr="00D33E21">
        <w:rPr>
          <w:rFonts w:ascii="Times New Roman" w:hAnsi="Times New Roman" w:cs="Times New Roman"/>
          <w:sz w:val="24"/>
          <w:szCs w:val="24"/>
          <w:lang w:val="en-US"/>
        </w:rPr>
        <w:t xml:space="preserve">1. </w:t>
      </w:r>
      <w:r w:rsidR="00F62A43" w:rsidRPr="00D33E21">
        <w:rPr>
          <w:rFonts w:ascii="Times New Roman" w:hAnsi="Times New Roman" w:cs="Times New Roman"/>
          <w:sz w:val="24"/>
          <w:szCs w:val="24"/>
          <w:lang w:val="en-US"/>
        </w:rPr>
        <w:t xml:space="preserve">Percentage of each </w:t>
      </w:r>
      <w:r w:rsidR="001D118B" w:rsidRPr="00D33E21">
        <w:rPr>
          <w:rFonts w:ascii="Times New Roman" w:hAnsi="Times New Roman" w:cs="Times New Roman"/>
          <w:sz w:val="24"/>
          <w:szCs w:val="24"/>
          <w:lang w:val="en-US"/>
        </w:rPr>
        <w:t>sample country</w:t>
      </w:r>
      <w:r w:rsidR="00F62A43" w:rsidRPr="00D33E21">
        <w:rPr>
          <w:rFonts w:ascii="Times New Roman" w:hAnsi="Times New Roman" w:cs="Times New Roman"/>
          <w:sz w:val="24"/>
          <w:szCs w:val="24"/>
          <w:lang w:val="en-US"/>
        </w:rPr>
        <w:t xml:space="preserve"> represented in the studies.</w:t>
      </w:r>
    </w:p>
    <w:tbl>
      <w:tblPr>
        <w:tblStyle w:val="TableGrid"/>
        <w:tblW w:w="0" w:type="auto"/>
        <w:tblLook w:val="04A0" w:firstRow="1" w:lastRow="0" w:firstColumn="1" w:lastColumn="0" w:noHBand="0" w:noVBand="1"/>
      </w:tblPr>
      <w:tblGrid>
        <w:gridCol w:w="2254"/>
        <w:gridCol w:w="2254"/>
        <w:gridCol w:w="2254"/>
        <w:gridCol w:w="2254"/>
      </w:tblGrid>
      <w:tr w:rsidR="00D33E21" w:rsidRPr="00D33E21" w14:paraId="4A68CE87" w14:textId="77777777" w:rsidTr="00660B90">
        <w:tc>
          <w:tcPr>
            <w:tcW w:w="2254" w:type="dxa"/>
          </w:tcPr>
          <w:p w14:paraId="1E9D0879" w14:textId="63047559" w:rsidR="00660B90" w:rsidRPr="00D33E21" w:rsidRDefault="001D118B" w:rsidP="009C2C84">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Country</w:t>
            </w:r>
          </w:p>
        </w:tc>
        <w:tc>
          <w:tcPr>
            <w:tcW w:w="2254" w:type="dxa"/>
          </w:tcPr>
          <w:p w14:paraId="095AD20B" w14:textId="42438142" w:rsidR="00660B90" w:rsidRPr="00D33E21" w:rsidRDefault="009A3759" w:rsidP="009C2C84">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Percentage</w:t>
            </w:r>
          </w:p>
        </w:tc>
        <w:tc>
          <w:tcPr>
            <w:tcW w:w="2254" w:type="dxa"/>
          </w:tcPr>
          <w:p w14:paraId="7C38996E" w14:textId="259E77D5" w:rsidR="00660B90" w:rsidRPr="00D33E21" w:rsidRDefault="001D118B" w:rsidP="009C2C84">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Country</w:t>
            </w:r>
          </w:p>
        </w:tc>
        <w:tc>
          <w:tcPr>
            <w:tcW w:w="2254" w:type="dxa"/>
          </w:tcPr>
          <w:p w14:paraId="2262FBF6" w14:textId="48CD8531" w:rsidR="00660B90" w:rsidRPr="00D33E21" w:rsidRDefault="009A3759" w:rsidP="009C2C84">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Percentage</w:t>
            </w:r>
          </w:p>
        </w:tc>
      </w:tr>
      <w:tr w:rsidR="00D33E21" w:rsidRPr="00D33E21" w14:paraId="585369A2" w14:textId="77777777" w:rsidTr="00660B90">
        <w:tc>
          <w:tcPr>
            <w:tcW w:w="2254" w:type="dxa"/>
          </w:tcPr>
          <w:p w14:paraId="31C7F9CB" w14:textId="24DF5222"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Austria</w:t>
            </w:r>
          </w:p>
        </w:tc>
        <w:tc>
          <w:tcPr>
            <w:tcW w:w="2254" w:type="dxa"/>
          </w:tcPr>
          <w:p w14:paraId="5FC6B809" w14:textId="32217C91" w:rsidR="00BE3545" w:rsidRPr="00D33E21" w:rsidRDefault="00E9255C"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5%</w:t>
            </w:r>
          </w:p>
        </w:tc>
        <w:tc>
          <w:tcPr>
            <w:tcW w:w="2254" w:type="dxa"/>
          </w:tcPr>
          <w:p w14:paraId="658F228F" w14:textId="10140B2D"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Norway</w:t>
            </w:r>
          </w:p>
        </w:tc>
        <w:tc>
          <w:tcPr>
            <w:tcW w:w="2254" w:type="dxa"/>
          </w:tcPr>
          <w:p w14:paraId="3F2DBA5D" w14:textId="123E0902" w:rsidR="00BE3545" w:rsidRPr="00D33E21" w:rsidRDefault="009A3759"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r>
      <w:tr w:rsidR="00D33E21" w:rsidRPr="00D33E21" w14:paraId="234427A3" w14:textId="77777777" w:rsidTr="00660B90">
        <w:tc>
          <w:tcPr>
            <w:tcW w:w="2254" w:type="dxa"/>
          </w:tcPr>
          <w:p w14:paraId="1308629E" w14:textId="70B03B65"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Canada</w:t>
            </w:r>
          </w:p>
        </w:tc>
        <w:tc>
          <w:tcPr>
            <w:tcW w:w="2254" w:type="dxa"/>
          </w:tcPr>
          <w:p w14:paraId="43BBF70E" w14:textId="78574BBA" w:rsidR="00BE3545" w:rsidRPr="00D33E21" w:rsidRDefault="00C120B6"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8%</w:t>
            </w:r>
          </w:p>
        </w:tc>
        <w:tc>
          <w:tcPr>
            <w:tcW w:w="2254" w:type="dxa"/>
          </w:tcPr>
          <w:p w14:paraId="1D019BA5" w14:textId="784DB8BF"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Slovakia</w:t>
            </w:r>
          </w:p>
        </w:tc>
        <w:tc>
          <w:tcPr>
            <w:tcW w:w="2254" w:type="dxa"/>
          </w:tcPr>
          <w:p w14:paraId="61BCCE53" w14:textId="704AA60E" w:rsidR="00BE3545" w:rsidRPr="00D33E21" w:rsidRDefault="009A3759"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r>
      <w:tr w:rsidR="00D33E21" w:rsidRPr="00D33E21" w14:paraId="204EC39D" w14:textId="77777777" w:rsidTr="00660B90">
        <w:tc>
          <w:tcPr>
            <w:tcW w:w="2254" w:type="dxa"/>
          </w:tcPr>
          <w:p w14:paraId="08B157C2" w14:textId="58AEE929"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China</w:t>
            </w:r>
          </w:p>
        </w:tc>
        <w:tc>
          <w:tcPr>
            <w:tcW w:w="2254" w:type="dxa"/>
          </w:tcPr>
          <w:p w14:paraId="16806227" w14:textId="2E266732" w:rsidR="00BE3545" w:rsidRPr="00D33E21" w:rsidRDefault="00C120B6"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10%</w:t>
            </w:r>
          </w:p>
        </w:tc>
        <w:tc>
          <w:tcPr>
            <w:tcW w:w="2254" w:type="dxa"/>
          </w:tcPr>
          <w:p w14:paraId="5642403E" w14:textId="456625D8"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South Korea</w:t>
            </w:r>
          </w:p>
        </w:tc>
        <w:tc>
          <w:tcPr>
            <w:tcW w:w="2254" w:type="dxa"/>
          </w:tcPr>
          <w:p w14:paraId="46A76EB4" w14:textId="3618CBAE" w:rsidR="00BE3545" w:rsidRPr="00D33E21" w:rsidRDefault="009A3759"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r>
      <w:tr w:rsidR="00D33E21" w:rsidRPr="00D33E21" w14:paraId="2D37FAA5" w14:textId="77777777" w:rsidTr="00660B90">
        <w:tc>
          <w:tcPr>
            <w:tcW w:w="2254" w:type="dxa"/>
          </w:tcPr>
          <w:p w14:paraId="08B317CF" w14:textId="0EADBA13"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Denmark</w:t>
            </w:r>
          </w:p>
        </w:tc>
        <w:tc>
          <w:tcPr>
            <w:tcW w:w="2254" w:type="dxa"/>
          </w:tcPr>
          <w:p w14:paraId="59A51566" w14:textId="66F3485C" w:rsidR="00BE3545" w:rsidRPr="00D33E21" w:rsidRDefault="00E9255C"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5%</w:t>
            </w:r>
          </w:p>
        </w:tc>
        <w:tc>
          <w:tcPr>
            <w:tcW w:w="2254" w:type="dxa"/>
          </w:tcPr>
          <w:p w14:paraId="2D32C28C" w14:textId="30C4BF9B"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Spain</w:t>
            </w:r>
          </w:p>
        </w:tc>
        <w:tc>
          <w:tcPr>
            <w:tcW w:w="2254" w:type="dxa"/>
          </w:tcPr>
          <w:p w14:paraId="0F5E3C32" w14:textId="31D1825B" w:rsidR="00BE3545" w:rsidRPr="00D33E21" w:rsidRDefault="009627BB"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3%</w:t>
            </w:r>
          </w:p>
        </w:tc>
      </w:tr>
      <w:tr w:rsidR="00D33E21" w:rsidRPr="00D33E21" w14:paraId="11F3C194" w14:textId="77777777" w:rsidTr="00660B90">
        <w:tc>
          <w:tcPr>
            <w:tcW w:w="2254" w:type="dxa"/>
          </w:tcPr>
          <w:p w14:paraId="5797536C" w14:textId="03863059"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Diverse</w:t>
            </w:r>
          </w:p>
        </w:tc>
        <w:tc>
          <w:tcPr>
            <w:tcW w:w="2254" w:type="dxa"/>
          </w:tcPr>
          <w:p w14:paraId="63683B03" w14:textId="115E41C4" w:rsidR="00BE3545" w:rsidRPr="00D33E21" w:rsidRDefault="00E9255C"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5%</w:t>
            </w:r>
          </w:p>
        </w:tc>
        <w:tc>
          <w:tcPr>
            <w:tcW w:w="2254" w:type="dxa"/>
          </w:tcPr>
          <w:p w14:paraId="30ACC7B2" w14:textId="5F6BF56C"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Sweden</w:t>
            </w:r>
          </w:p>
        </w:tc>
        <w:tc>
          <w:tcPr>
            <w:tcW w:w="2254" w:type="dxa"/>
          </w:tcPr>
          <w:p w14:paraId="6F75B6D3" w14:textId="42EFE7CC" w:rsidR="00BE3545" w:rsidRPr="00D33E21" w:rsidRDefault="00C120B6"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4%</w:t>
            </w:r>
          </w:p>
        </w:tc>
      </w:tr>
      <w:tr w:rsidR="00D33E21" w:rsidRPr="00D33E21" w14:paraId="50F8C598" w14:textId="77777777" w:rsidTr="00660B90">
        <w:tc>
          <w:tcPr>
            <w:tcW w:w="2254" w:type="dxa"/>
          </w:tcPr>
          <w:p w14:paraId="4F56073B" w14:textId="24E040BF"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Finland</w:t>
            </w:r>
          </w:p>
        </w:tc>
        <w:tc>
          <w:tcPr>
            <w:tcW w:w="2254" w:type="dxa"/>
          </w:tcPr>
          <w:p w14:paraId="326052AD" w14:textId="71EB22EE" w:rsidR="00BE3545" w:rsidRPr="00D33E21" w:rsidRDefault="00E9255C"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5%</w:t>
            </w:r>
          </w:p>
        </w:tc>
        <w:tc>
          <w:tcPr>
            <w:tcW w:w="2254" w:type="dxa"/>
          </w:tcPr>
          <w:p w14:paraId="3450946F" w14:textId="7F863E6F"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Switzerland</w:t>
            </w:r>
          </w:p>
        </w:tc>
        <w:tc>
          <w:tcPr>
            <w:tcW w:w="2254" w:type="dxa"/>
          </w:tcPr>
          <w:p w14:paraId="125B3B25" w14:textId="4F05EFE8" w:rsidR="00BE3545" w:rsidRPr="00D33E21" w:rsidRDefault="009627BB"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3%</w:t>
            </w:r>
          </w:p>
        </w:tc>
      </w:tr>
      <w:tr w:rsidR="00D33E21" w:rsidRPr="00D33E21" w14:paraId="208B6BC3" w14:textId="77777777" w:rsidTr="00660B90">
        <w:tc>
          <w:tcPr>
            <w:tcW w:w="2254" w:type="dxa"/>
          </w:tcPr>
          <w:p w14:paraId="72C1392C" w14:textId="63048809"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India</w:t>
            </w:r>
          </w:p>
        </w:tc>
        <w:tc>
          <w:tcPr>
            <w:tcW w:w="2254" w:type="dxa"/>
          </w:tcPr>
          <w:p w14:paraId="79BB4ED5" w14:textId="1338E3FE" w:rsidR="00BE3545" w:rsidRPr="00D33E21" w:rsidRDefault="009627BB"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c>
          <w:tcPr>
            <w:tcW w:w="2254" w:type="dxa"/>
          </w:tcPr>
          <w:p w14:paraId="21CC3957" w14:textId="5C16120C"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Uganda</w:t>
            </w:r>
          </w:p>
        </w:tc>
        <w:tc>
          <w:tcPr>
            <w:tcW w:w="2254" w:type="dxa"/>
          </w:tcPr>
          <w:p w14:paraId="32C0911A" w14:textId="7AD14ABD" w:rsidR="00BE3545" w:rsidRPr="00D33E21" w:rsidRDefault="009A3759"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r>
      <w:tr w:rsidR="00D33E21" w:rsidRPr="00D33E21" w14:paraId="69A4DD3F" w14:textId="77777777" w:rsidTr="00660B90">
        <w:tc>
          <w:tcPr>
            <w:tcW w:w="2254" w:type="dxa"/>
          </w:tcPr>
          <w:p w14:paraId="7F625B40" w14:textId="3FE3AF31"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Italy</w:t>
            </w:r>
          </w:p>
        </w:tc>
        <w:tc>
          <w:tcPr>
            <w:tcW w:w="2254" w:type="dxa"/>
          </w:tcPr>
          <w:p w14:paraId="7B5399C9" w14:textId="2D79A7ED" w:rsidR="00BE3545" w:rsidRPr="00D33E21" w:rsidRDefault="00E9255C"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4%</w:t>
            </w:r>
          </w:p>
        </w:tc>
        <w:tc>
          <w:tcPr>
            <w:tcW w:w="2254" w:type="dxa"/>
          </w:tcPr>
          <w:p w14:paraId="513FB7D1" w14:textId="55BF3B96"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UK</w:t>
            </w:r>
          </w:p>
        </w:tc>
        <w:tc>
          <w:tcPr>
            <w:tcW w:w="2254" w:type="dxa"/>
          </w:tcPr>
          <w:p w14:paraId="147BBA40" w14:textId="266E5ED8" w:rsidR="00BE3545" w:rsidRPr="00D33E21" w:rsidRDefault="00C120B6"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8%</w:t>
            </w:r>
          </w:p>
        </w:tc>
      </w:tr>
      <w:tr w:rsidR="00D33E21" w:rsidRPr="00D33E21" w14:paraId="7CFBA57D" w14:textId="77777777" w:rsidTr="00660B90">
        <w:tc>
          <w:tcPr>
            <w:tcW w:w="2254" w:type="dxa"/>
          </w:tcPr>
          <w:p w14:paraId="784CB9B1" w14:textId="3C42523D"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Japan</w:t>
            </w:r>
          </w:p>
        </w:tc>
        <w:tc>
          <w:tcPr>
            <w:tcW w:w="2254" w:type="dxa"/>
          </w:tcPr>
          <w:p w14:paraId="327CB73C" w14:textId="7B09DB31" w:rsidR="00BE3545" w:rsidRPr="00D33E21" w:rsidRDefault="009627BB"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3%</w:t>
            </w:r>
          </w:p>
        </w:tc>
        <w:tc>
          <w:tcPr>
            <w:tcW w:w="2254" w:type="dxa"/>
          </w:tcPr>
          <w:p w14:paraId="758E3D0E" w14:textId="245DD28B"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Uruguay</w:t>
            </w:r>
          </w:p>
        </w:tc>
        <w:tc>
          <w:tcPr>
            <w:tcW w:w="2254" w:type="dxa"/>
          </w:tcPr>
          <w:p w14:paraId="6CC92E21" w14:textId="592FA0CE" w:rsidR="00BE3545" w:rsidRPr="00D33E21" w:rsidRDefault="009627BB"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r>
      <w:tr w:rsidR="00D33E21" w:rsidRPr="00D33E21" w14:paraId="2F81C81A" w14:textId="77777777" w:rsidTr="00660B90">
        <w:tc>
          <w:tcPr>
            <w:tcW w:w="2254" w:type="dxa"/>
          </w:tcPr>
          <w:p w14:paraId="7FB4654E" w14:textId="2FDCB70A"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Malaysia</w:t>
            </w:r>
          </w:p>
        </w:tc>
        <w:tc>
          <w:tcPr>
            <w:tcW w:w="2254" w:type="dxa"/>
          </w:tcPr>
          <w:p w14:paraId="469F59BF" w14:textId="4A2D24FA" w:rsidR="00BE3545" w:rsidRPr="00D33E21" w:rsidRDefault="009A3759"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w:t>
            </w:r>
          </w:p>
        </w:tc>
        <w:tc>
          <w:tcPr>
            <w:tcW w:w="2254" w:type="dxa"/>
          </w:tcPr>
          <w:p w14:paraId="6A42CA54" w14:textId="3E62EB4C"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USA</w:t>
            </w:r>
          </w:p>
        </w:tc>
        <w:tc>
          <w:tcPr>
            <w:tcW w:w="2254" w:type="dxa"/>
          </w:tcPr>
          <w:p w14:paraId="1F58DF78" w14:textId="2C7C9C91" w:rsidR="00BE3545" w:rsidRPr="00D33E21" w:rsidRDefault="00C120B6"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16%</w:t>
            </w:r>
          </w:p>
        </w:tc>
      </w:tr>
      <w:tr w:rsidR="00D33E21" w:rsidRPr="00D33E21" w14:paraId="4D80A29B" w14:textId="77777777" w:rsidTr="00660B90">
        <w:tc>
          <w:tcPr>
            <w:tcW w:w="2254" w:type="dxa"/>
          </w:tcPr>
          <w:p w14:paraId="56DFDE3C" w14:textId="77D6CF2C" w:rsidR="00BE3545" w:rsidRPr="00D33E21" w:rsidRDefault="00BE3545"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Netherlands</w:t>
            </w:r>
          </w:p>
        </w:tc>
        <w:tc>
          <w:tcPr>
            <w:tcW w:w="2254" w:type="dxa"/>
          </w:tcPr>
          <w:p w14:paraId="655D9948" w14:textId="4B88A20A" w:rsidR="00BE3545" w:rsidRPr="00D33E21" w:rsidRDefault="00C120B6"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10</w:t>
            </w:r>
            <w:r w:rsidR="00BA144B" w:rsidRPr="00D33E21">
              <w:rPr>
                <w:rFonts w:ascii="Times New Roman" w:hAnsi="Times New Roman" w:cs="Times New Roman"/>
                <w:sz w:val="24"/>
                <w:szCs w:val="24"/>
                <w:lang w:val="en-US"/>
              </w:rPr>
              <w:t>%</w:t>
            </w:r>
          </w:p>
        </w:tc>
        <w:tc>
          <w:tcPr>
            <w:tcW w:w="2254" w:type="dxa"/>
          </w:tcPr>
          <w:p w14:paraId="52CE582A" w14:textId="45CC12A6" w:rsidR="00BE3545" w:rsidRPr="00D33E21" w:rsidRDefault="00D5397A"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w:t>
            </w:r>
          </w:p>
        </w:tc>
        <w:tc>
          <w:tcPr>
            <w:tcW w:w="2254" w:type="dxa"/>
          </w:tcPr>
          <w:p w14:paraId="51192A82" w14:textId="40F43E3A" w:rsidR="00BE3545" w:rsidRPr="00D33E21" w:rsidRDefault="00D5397A" w:rsidP="00BE3545">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w:t>
            </w:r>
          </w:p>
        </w:tc>
      </w:tr>
    </w:tbl>
    <w:p w14:paraId="4AFDFFB6" w14:textId="085339B3" w:rsidR="00C870A0" w:rsidRPr="00D33E21" w:rsidRDefault="0022218B" w:rsidP="00C870A0">
      <w:pPr>
        <w:spacing w:line="360" w:lineRule="auto"/>
        <w:rPr>
          <w:rFonts w:ascii="Times New Roman" w:hAnsi="Times New Roman" w:cs="Times New Roman"/>
          <w:sz w:val="24"/>
          <w:szCs w:val="24"/>
          <w:lang w:val="en-US"/>
        </w:rPr>
      </w:pPr>
      <w:r w:rsidRPr="00D33E21">
        <w:rPr>
          <w:rFonts w:ascii="Times New Roman" w:hAnsi="Times New Roman" w:cs="Times New Roman"/>
          <w:i/>
          <w:iCs/>
          <w:sz w:val="24"/>
          <w:szCs w:val="24"/>
          <w:lang w:val="en-US"/>
        </w:rPr>
        <w:t>Note</w:t>
      </w:r>
      <w:r w:rsidRPr="00D33E21">
        <w:rPr>
          <w:rFonts w:ascii="Times New Roman" w:hAnsi="Times New Roman" w:cs="Times New Roman"/>
          <w:sz w:val="24"/>
          <w:szCs w:val="24"/>
          <w:lang w:val="en-US"/>
        </w:rPr>
        <w:t xml:space="preserve">. </w:t>
      </w:r>
      <w:r w:rsidR="00A253D8" w:rsidRPr="00D33E21">
        <w:rPr>
          <w:rFonts w:ascii="Times New Roman" w:hAnsi="Times New Roman" w:cs="Times New Roman"/>
          <w:sz w:val="24"/>
          <w:szCs w:val="24"/>
          <w:lang w:val="en-US"/>
        </w:rPr>
        <w:t xml:space="preserve">Total is 96% due to rounding error. </w:t>
      </w:r>
    </w:p>
    <w:p w14:paraId="321EBDE4" w14:textId="6C8066E5" w:rsidR="00157803" w:rsidRPr="00D33E21" w:rsidRDefault="00157803" w:rsidP="00157803">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Table S</w:t>
      </w:r>
      <w:r w:rsidR="007763C7" w:rsidRPr="00D33E21">
        <w:rPr>
          <w:rFonts w:ascii="Times New Roman" w:hAnsi="Times New Roman" w:cs="Times New Roman"/>
          <w:sz w:val="24"/>
          <w:szCs w:val="24"/>
          <w:lang w:val="en-US"/>
        </w:rPr>
        <w:t>T</w:t>
      </w:r>
      <w:r w:rsidRPr="00D33E21">
        <w:rPr>
          <w:rFonts w:ascii="Times New Roman" w:hAnsi="Times New Roman" w:cs="Times New Roman"/>
          <w:sz w:val="24"/>
          <w:szCs w:val="24"/>
          <w:lang w:val="en-US"/>
        </w:rPr>
        <w:t xml:space="preserve">2: Wellbeing scales </w:t>
      </w:r>
    </w:p>
    <w:tbl>
      <w:tblPr>
        <w:tblStyle w:val="TableGrid"/>
        <w:tblW w:w="9488" w:type="dxa"/>
        <w:tblLook w:val="04A0" w:firstRow="1" w:lastRow="0" w:firstColumn="1" w:lastColumn="0" w:noHBand="0" w:noVBand="1"/>
      </w:tblPr>
      <w:tblGrid>
        <w:gridCol w:w="4744"/>
        <w:gridCol w:w="4744"/>
      </w:tblGrid>
      <w:tr w:rsidR="00D33E21" w:rsidRPr="00D33E21" w14:paraId="5C8F7361" w14:textId="77777777" w:rsidTr="002258A9">
        <w:trPr>
          <w:trHeight w:val="411"/>
        </w:trPr>
        <w:tc>
          <w:tcPr>
            <w:tcW w:w="4744" w:type="dxa"/>
          </w:tcPr>
          <w:p w14:paraId="2EC3C50D" w14:textId="77777777" w:rsidR="00157803" w:rsidRPr="00D33E21" w:rsidRDefault="00157803" w:rsidP="002258A9">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Wellbeing scale</w:t>
            </w:r>
          </w:p>
        </w:tc>
        <w:tc>
          <w:tcPr>
            <w:tcW w:w="4744" w:type="dxa"/>
          </w:tcPr>
          <w:p w14:paraId="276B5B04" w14:textId="77777777" w:rsidR="00157803" w:rsidRPr="00BD2AA5" w:rsidRDefault="00157803" w:rsidP="002258A9">
            <w:pPr>
              <w:spacing w:line="360" w:lineRule="auto"/>
              <w:rPr>
                <w:rFonts w:ascii="Times New Roman" w:hAnsi="Times New Roman" w:cs="Times New Roman"/>
                <w:b/>
                <w:bCs/>
                <w:sz w:val="24"/>
                <w:szCs w:val="24"/>
                <w:lang w:val="en-US"/>
              </w:rPr>
            </w:pPr>
            <w:r w:rsidRPr="00BD2AA5">
              <w:rPr>
                <w:rFonts w:ascii="Times New Roman" w:hAnsi="Times New Roman" w:cs="Times New Roman"/>
                <w:b/>
                <w:bCs/>
                <w:sz w:val="24"/>
                <w:szCs w:val="24"/>
                <w:lang w:val="en-US"/>
              </w:rPr>
              <w:t>Reference</w:t>
            </w:r>
          </w:p>
        </w:tc>
      </w:tr>
      <w:tr w:rsidR="00D33E21" w:rsidRPr="00D33E21" w14:paraId="1A4406B8" w14:textId="77777777" w:rsidTr="002258A9">
        <w:trPr>
          <w:trHeight w:val="411"/>
        </w:trPr>
        <w:tc>
          <w:tcPr>
            <w:tcW w:w="4744" w:type="dxa"/>
          </w:tcPr>
          <w:p w14:paraId="064A42A8"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Basler well-being</w:t>
            </w:r>
          </w:p>
        </w:tc>
        <w:tc>
          <w:tcPr>
            <w:tcW w:w="4744" w:type="dxa"/>
          </w:tcPr>
          <w:p w14:paraId="69EBE884" w14:textId="3D09D230" w:rsidR="00157803" w:rsidRPr="00BD2AA5" w:rsidRDefault="003F215D" w:rsidP="002258A9">
            <w:pPr>
              <w:spacing w:line="360" w:lineRule="auto"/>
              <w:rPr>
                <w:rFonts w:ascii="Times New Roman" w:hAnsi="Times New Roman" w:cs="Times New Roman"/>
                <w:sz w:val="24"/>
                <w:szCs w:val="24"/>
                <w:lang w:val="nl-NL"/>
              </w:rPr>
            </w:pPr>
            <w:r w:rsidRPr="00BD2AA5">
              <w:rPr>
                <w:rFonts w:ascii="Times New Roman" w:hAnsi="Times New Roman" w:cs="Times New Roman"/>
                <w:sz w:val="24"/>
                <w:szCs w:val="24"/>
                <w:lang w:val="en-US"/>
              </w:rPr>
              <w:t xml:space="preserve">Hobi, </w:t>
            </w:r>
            <w:r w:rsidR="00BE4044" w:rsidRPr="00BD2AA5">
              <w:rPr>
                <w:rFonts w:ascii="Times New Roman" w:hAnsi="Times New Roman" w:cs="Times New Roman"/>
                <w:sz w:val="24"/>
                <w:szCs w:val="24"/>
                <w:lang w:val="en-US"/>
              </w:rPr>
              <w:t>19</w:t>
            </w:r>
            <w:r w:rsidR="00D31CC5" w:rsidRPr="00BD2AA5">
              <w:rPr>
                <w:rFonts w:ascii="Times New Roman" w:hAnsi="Times New Roman" w:cs="Times New Roman"/>
                <w:sz w:val="24"/>
                <w:szCs w:val="24"/>
                <w:lang w:val="en-US"/>
              </w:rPr>
              <w:t>85</w:t>
            </w:r>
          </w:p>
        </w:tc>
      </w:tr>
      <w:tr w:rsidR="00D33E21" w:rsidRPr="00D33E21" w14:paraId="178952D6" w14:textId="77777777" w:rsidTr="002258A9">
        <w:trPr>
          <w:trHeight w:val="411"/>
        </w:trPr>
        <w:tc>
          <w:tcPr>
            <w:tcW w:w="4744" w:type="dxa"/>
          </w:tcPr>
          <w:p w14:paraId="3EC27080"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Circumplex model of affect</w:t>
            </w:r>
          </w:p>
        </w:tc>
        <w:tc>
          <w:tcPr>
            <w:tcW w:w="4744" w:type="dxa"/>
          </w:tcPr>
          <w:p w14:paraId="4462A60E"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{"citationID":"7UmOcjEz","properties":{"formattedCitation":"(Posner et al., 2005)","plainCitation":"(Posner et al., 2005)","dontUpdate":true,"noteIndex":0},"citationItems":[{"id":47754,"uris":["http://zotero.org/users/local/xUR4SMKa/items/XYPFGUQZ"],"itemData":{"id":47754,"type":"article-journal","abstract":"The circumplex model of affect proposes that all affective states arise from cognitive interpretations of core neural sensations that are the product of two independent neurophysiological systems. This model stands in contrast to theories of basic emotions, which posit that a discrete and independent neural system subserves every emotion. We propose that basic emotion theories no longer explain adequately the vast number of empirical observations from studies in affective neuroscience, and we suggest that a conceptual shift is needed in the empirical approaches taken to the study of emotion and affective psychopathologies. The circumplex model of affect is more consistent with many recent findings from behavioral, cognitive neuroscience, neuroimaging, and developmental studies of affect. Moreover, the model offers new theoretical and empirical approaches to studying the development of affective disorders as well as the genetic and cognitive underpinnings of affective processing within the central nervous system.This work was supported in part by NIMH Grants MH01232, MH59139, MH36197, MHK02-74677, and MH068318; a grant from the National Alliance for Research in Schizophrenia and Affective Disorders (NARSAD); NSF Grant BSC-0421702; and funding from the Thomas D. Klingenstein and Nancy D. Perlman Family Fund and the Suzanne Crosby Murphy Endowment at Columbia University.","container-title":"Development and Psychopathology","DOI":"10.1017/S0954579405050340","ISSN":"0954-5794, 1469-2198","issue":"03","journalAbbreviation":"Develop. Psychopathol.","language":"en","source":"Semantic Scholar","title":"The circumplex model of affect: An integrative approach to affective neuroscience, cognitive development, and psychopathology","title-short":"The circumplex model of affect","URL":"http://www.journals.cambridge.org/abstract_S0954579405050340","volume":"17","author":[{"family":"Posner","given":"Jonathan"},{"family":"Russell","given":"James A."},{"family":"Peterson","given":"Bradley S."}],"accessed":{"date-parts":[["2023",5,4]]},"issued":{"date-parts":[["2005",9]]}}}],"schema":"https://github.com/citation-style-language/schema/raw/master/csl-citation.json"}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Posner et al., 2005</w:t>
            </w:r>
            <w:r w:rsidRPr="00BD2AA5">
              <w:rPr>
                <w:rFonts w:ascii="Times New Roman" w:hAnsi="Times New Roman" w:cs="Times New Roman"/>
                <w:sz w:val="24"/>
                <w:szCs w:val="24"/>
                <w:lang w:val="en-US"/>
              </w:rPr>
              <w:fldChar w:fldCharType="end"/>
            </w:r>
          </w:p>
        </w:tc>
      </w:tr>
      <w:tr w:rsidR="00D33E21" w:rsidRPr="00D33E21" w14:paraId="3A2A88B1" w14:textId="77777777" w:rsidTr="002258A9">
        <w:trPr>
          <w:trHeight w:val="399"/>
        </w:trPr>
        <w:tc>
          <w:tcPr>
            <w:tcW w:w="4744" w:type="dxa"/>
          </w:tcPr>
          <w:p w14:paraId="0A3B96DD"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EQ-5D</w:t>
            </w:r>
          </w:p>
        </w:tc>
        <w:tc>
          <w:tcPr>
            <w:tcW w:w="4744" w:type="dxa"/>
          </w:tcPr>
          <w:p w14:paraId="2B175BD3"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{"citationID":"nlExWzGZ","properties":{"formattedCitation":"(Devlin et al., 2020)","plainCitation":"(Devlin et al., 2020)","dontUpdate":true,"noteIndex":0},"citationItems":[{"id":47778,"uris":["http://zotero.org/users/local/xUR4SMKa/items/X9FPP42C"],"itemData":{"id":47778,"type":"book","event-place":"Cham","ISBN":"978-3-030-47621-2","language":"en","note":"DOI: 10.1007/978-3-030-47622-9","publisher":"Springer International Publishing","publisher-place":"Cham","source":"DOI.org (Crossref)","title":"Methods for Analysing and Reporting EQ-5D Data","URL":"http://link.springer.com/10.1007/978-3-030-47622-9","author":[{"family":"Devlin","given":"Nancy"},{"family":"Parkin","given":"David"},{"family":"Janssen","given":"Bas"}],"accessed":{"date-parts":[["2023",5,10]]},"issued":{"date-parts":[["2020"]]}}}],"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Devlin et al., 2020</w:t>
            </w:r>
            <w:r w:rsidRPr="00BD2AA5">
              <w:rPr>
                <w:rFonts w:ascii="Times New Roman" w:hAnsi="Times New Roman" w:cs="Times New Roman"/>
                <w:sz w:val="24"/>
                <w:szCs w:val="24"/>
                <w:lang w:val="en-US"/>
              </w:rPr>
              <w:fldChar w:fldCharType="end"/>
            </w:r>
          </w:p>
        </w:tc>
      </w:tr>
      <w:tr w:rsidR="00D33E21" w:rsidRPr="00D33E21" w14:paraId="7C7B544D" w14:textId="77777777" w:rsidTr="002258A9">
        <w:trPr>
          <w:trHeight w:val="411"/>
        </w:trPr>
        <w:tc>
          <w:tcPr>
            <w:tcW w:w="4744" w:type="dxa"/>
          </w:tcPr>
          <w:p w14:paraId="0CCABC61"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GHQ-12</w:t>
            </w:r>
          </w:p>
        </w:tc>
        <w:tc>
          <w:tcPr>
            <w:tcW w:w="4744" w:type="dxa"/>
          </w:tcPr>
          <w:p w14:paraId="58A9930E"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{"citationID":"ivtH5P9Z","properties":{"formattedCitation":"(Pevalin, 2000)","plainCitation":"(Pevalin, 2000)","dontUpdate":true,"noteIndex":0},"citationItems":[{"id":47758,"uris":["http://zotero.org/users/local/xUR4SMKa/items/YTNW7TD3"],"itemData":{"id":47758,"type":"article-journal","abstract":"BACKGROUND: Previous studies have indicated that the 60-, 30-, 28- and 12-item versions of the General Health Questionnaire (GHQ) are liable to retest effects, especially when administered multiple times with short intervals. The aim of this study was to examine data from a large general population sample for evidence of any retest effects over 7 yearly applications.\nMETHODS: A core panel was drawn from the British Household Panel Survey of those respondents who had completed the GHQ-12 seven times from 1991 to 1997 (n = 4749). The panel results were compared with cross-sectional data from the Health Surveys for England for the same years. The analyses were conducted separately for males and females broken down by age groupings.\nRESULTS: No evidence of retest effects was found. For males, the panel results did not diverge significantly from the cross-sectional results. For females, the panel results did indicate a divergence from the cross-sectional results, but this was due to the age composition of the panel and differing age trajectories.\nCONCLUSION: The GHQ-12 is a consistent and reliable instrument when used in general population samples with relatively long intervals between applications.","container-title":"Social Psychiatry and Psychiatric Epidemiology","DOI":"10.1007/s001270050272","ISSN":"0933-7954","issue":"11","journalAbbreviation":"Soc Psychiatry Psychiatr Epidemiol","language":"eng","note":"PMID: 11197926","page":"508-512","source":"PubMed","title":"Multiple applications of the GHQ-12 in a general population sample: an investigation of long-term retest effects","title-short":"Multiple applications of the GHQ-12 in a general population sample","volume":"35","author":[{"family":"Pevalin","given":"D. J."}],"issued":{"date-parts":[["2000",11]]}}}],"schema":"https://github.com/citation-style-language/schema/raw/master/csl-citation.json"}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Pevalin, 2000</w:t>
            </w:r>
            <w:r w:rsidRPr="00BD2AA5">
              <w:rPr>
                <w:rFonts w:ascii="Times New Roman" w:hAnsi="Times New Roman" w:cs="Times New Roman"/>
                <w:sz w:val="24"/>
                <w:szCs w:val="24"/>
                <w:lang w:val="en-US"/>
              </w:rPr>
              <w:fldChar w:fldCharType="end"/>
            </w:r>
          </w:p>
        </w:tc>
      </w:tr>
      <w:tr w:rsidR="00D33E21" w:rsidRPr="00D33E21" w14:paraId="65D585E4" w14:textId="77777777" w:rsidTr="002258A9">
        <w:trPr>
          <w:trHeight w:val="411"/>
        </w:trPr>
        <w:tc>
          <w:tcPr>
            <w:tcW w:w="4744" w:type="dxa"/>
          </w:tcPr>
          <w:p w14:paraId="225E1479"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Index of wellbeing</w:t>
            </w:r>
          </w:p>
        </w:tc>
        <w:tc>
          <w:tcPr>
            <w:tcW w:w="4744" w:type="dxa"/>
          </w:tcPr>
          <w:p w14:paraId="0E441B3C" w14:textId="38F756AE" w:rsidR="00157803" w:rsidRPr="00BD2AA5" w:rsidRDefault="00B2247C"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t>Campbell, 1976</w:t>
            </w:r>
          </w:p>
        </w:tc>
      </w:tr>
      <w:tr w:rsidR="00D33E21" w:rsidRPr="00D33E21" w14:paraId="189CEC2D" w14:textId="77777777" w:rsidTr="00914506">
        <w:trPr>
          <w:trHeight w:val="411"/>
        </w:trPr>
        <w:tc>
          <w:tcPr>
            <w:tcW w:w="4744" w:type="dxa"/>
            <w:shd w:val="clear" w:color="auto" w:fill="auto"/>
          </w:tcPr>
          <w:p w14:paraId="4B7E6567"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Overall happiness/wellbeing</w:t>
            </w:r>
          </w:p>
        </w:tc>
        <w:tc>
          <w:tcPr>
            <w:tcW w:w="4744" w:type="dxa"/>
            <w:shd w:val="clear" w:color="auto" w:fill="auto"/>
          </w:tcPr>
          <w:p w14:paraId="4B04F7A2" w14:textId="49F394A6" w:rsidR="00157803" w:rsidRPr="00BD2AA5" w:rsidRDefault="00A57BFC"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t xml:space="preserve">Marks et al., </w:t>
            </w:r>
            <w:r w:rsidR="00914506" w:rsidRPr="00BD2AA5">
              <w:rPr>
                <w:rFonts w:ascii="Times New Roman" w:hAnsi="Times New Roman" w:cs="Times New Roman"/>
                <w:sz w:val="24"/>
                <w:szCs w:val="24"/>
                <w:lang w:val="en-US"/>
              </w:rPr>
              <w:t>2000</w:t>
            </w:r>
          </w:p>
        </w:tc>
      </w:tr>
      <w:tr w:rsidR="00D33E21" w:rsidRPr="00D33E21" w14:paraId="6DA0F661" w14:textId="77777777" w:rsidTr="002258A9">
        <w:trPr>
          <w:trHeight w:val="411"/>
        </w:trPr>
        <w:tc>
          <w:tcPr>
            <w:tcW w:w="4744" w:type="dxa"/>
          </w:tcPr>
          <w:p w14:paraId="571D4A85"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PANAS</w:t>
            </w:r>
          </w:p>
        </w:tc>
        <w:tc>
          <w:tcPr>
            <w:tcW w:w="4744" w:type="dxa"/>
          </w:tcPr>
          <w:p w14:paraId="19C0B7CC"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{"citationID":"hA5Ls1Dm","properties":{"formattedCitation":"(Thompson, 2007)","plainCitation":"(Thompson, 2007)","dontUpdate":true,"noteIndex":0},"citationItems":[{"id":47789,"uris":["http://zotero.org/users/local/xUR4SMKa/items/UGQJH7DR"],"itemData":{"id":47789,"type":"article-journal","abstract":"This article reports the development and validation of a 10-item international Positive and Negative Affect Schedule (PANAS) Short Form (I-PANAS-SF) in English. A qualitative study (N = 18) and then an exploratory quantitative study (N = 407), each using informants from a range of cultural backgrounds, were used to identify systematically which 10 of the original 20 PANAS items to retain or remove. A same-sample retest study (N = 163) was used in an initial examination of the new 10-item international PANAS's psychometric properties and to assess its correlation with the full, 20-item, original PANAS. In a series of further validation studies (N = 1,789), the cross-sample stability, internal reliability, temporal stability, cross-cultural factorial invariance, and convergent and criterion-related validities of the I-PANAS-SF were examined and found to be psychometrically acceptable.","container-title":"Journal of Cross-Cultural Psychology","DOI":"10.1177/0022022106297301","journalAbbreviation":"Journal of Cross-Cultural Psychology","source":"ResearchGate","title":"Positive and Negative Affect Schedule (PANAS) Development and Validation of an Internationally Reliable Short-Form of the","volume":"38","author":[{"family":"Thompson","given":"Edmund"}],"issued":{"date-parts":[["2007",3,1]]}}}],"schema":"https://github.com/citation-style-language/schema/raw/master/csl-citation.json"}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szCs w:val="24"/>
                <w:lang w:val="en-US"/>
              </w:rPr>
              <w:t>Thompson, 2007</w:t>
            </w:r>
            <w:r w:rsidRPr="00BD2AA5">
              <w:rPr>
                <w:rFonts w:ascii="Times New Roman" w:hAnsi="Times New Roman" w:cs="Times New Roman"/>
                <w:sz w:val="24"/>
                <w:szCs w:val="24"/>
                <w:lang w:val="en-US"/>
              </w:rPr>
              <w:fldChar w:fldCharType="end"/>
            </w:r>
          </w:p>
          <w:p w14:paraId="1157BAAB" w14:textId="77777777" w:rsidR="00157803" w:rsidRPr="00BD2AA5" w:rsidRDefault="00157803" w:rsidP="002258A9">
            <w:pPr>
              <w:spacing w:line="360" w:lineRule="auto"/>
              <w:rPr>
                <w:rFonts w:ascii="Times New Roman" w:hAnsi="Times New Roman" w:cs="Times New Roman"/>
                <w:sz w:val="24"/>
                <w:szCs w:val="24"/>
                <w:lang w:val="en-US"/>
              </w:rPr>
            </w:pPr>
          </w:p>
        </w:tc>
      </w:tr>
      <w:tr w:rsidR="00D33E21" w:rsidRPr="00D33E21" w14:paraId="79982CBF" w14:textId="77777777" w:rsidTr="002258A9">
        <w:trPr>
          <w:trHeight w:val="411"/>
        </w:trPr>
        <w:tc>
          <w:tcPr>
            <w:tcW w:w="4744" w:type="dxa"/>
          </w:tcPr>
          <w:p w14:paraId="5318D349"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PGWB</w:t>
            </w:r>
          </w:p>
        </w:tc>
        <w:tc>
          <w:tcPr>
            <w:tcW w:w="4744" w:type="dxa"/>
          </w:tcPr>
          <w:p w14:paraId="7A6E6EA8"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{"citationID":"M58Ychsn","properties":{"formattedCitation":"(Bowling, 2004)","plainCitation":"(Bowling, 2004)","dontUpdate":true,"noteIndex":0},"citationItems":[{"id":47747,"uris":["http://zotero.org/users/local/xUR4SMKa/items/IV7QILDX"],"itemData":{"id":47747,"type":"book","abstract":"This thoroughly revised and updated edition offers a comprehensive guide to measures of health and is an essential reference resource for all health professionals and students. Containing details of the use of most of the major measures of health and functioning, the new edition includes: a new chapter on measuring global quality of life; updated analysis of measures of subjective well-being; and a revised and up-to-date selection of useful addresses. Measuring Health is key reading for upper level undergraduates and postgraduates in health studies, health sciences, research methods and social sciences","source":"ResearchGate","title":"Measuring health. A review of quality of life measurement scales. Third edition","author":[{"family":"Bowling","given":"Ann"}],"issued":{"date-parts":[["2004",10,1]]}}}],"schema":"https://github.com/citation-style-language/schema/raw/master/csl-citation.json"}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Bowling, 2004</w:t>
            </w:r>
            <w:r w:rsidRPr="00BD2AA5">
              <w:rPr>
                <w:rFonts w:ascii="Times New Roman" w:hAnsi="Times New Roman" w:cs="Times New Roman"/>
                <w:sz w:val="24"/>
                <w:szCs w:val="24"/>
                <w:lang w:val="en-US"/>
              </w:rPr>
              <w:fldChar w:fldCharType="end"/>
            </w:r>
          </w:p>
        </w:tc>
      </w:tr>
      <w:tr w:rsidR="00D33E21" w:rsidRPr="00D33E21" w14:paraId="6B8C492C" w14:textId="77777777" w:rsidTr="002258A9">
        <w:trPr>
          <w:trHeight w:val="411"/>
        </w:trPr>
        <w:tc>
          <w:tcPr>
            <w:tcW w:w="4744" w:type="dxa"/>
          </w:tcPr>
          <w:p w14:paraId="5DF99631"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 xml:space="preserve">Predominant mood state </w:t>
            </w:r>
          </w:p>
        </w:tc>
        <w:tc>
          <w:tcPr>
            <w:tcW w:w="4744" w:type="dxa"/>
          </w:tcPr>
          <w:p w14:paraId="4B03CAEA"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{"citationID":"tkSCeQwW","properties":{"formattedCitation":"(Johnson et al., 2008)","plainCitation":"(Johnson et al., 2008)","dontUpdate":true,"noteIndex":0},"citationItems":[{"id":47742,"uris":["http://zotero.org/users/local/xUR4SMKa/items/9C5FANXN"],"itemData":{"id":47742,"type":"article-journal","abstract":"The reliability and construct validity of the Automated Neuropsychological Assessment Metrics (ANAM) mood scale (AMS) were examined using concurrent, well-validated measures of mood and confirmatory factor analysis (CFA) with a sample of 210 volunteer college students. The AMS was given in computerized format with multiple adjectives using a visual analog Likert scale yielding seven dimensions of mood including vigor, restlessness, depression, anger, fatigue, anxiety, and happiness. All seven mood dimensions of the AMS demonstrated excellent test-retest reliability and internal consistency. Also, the AMS anxiety dimension correlated strongly with the Spielberger's State Anxiety Inventory (r=0.67) and the AMS depression dimension correlated strongly with the Beck Depression Inventory-II (r=0.71). CFA revealed that the AMS 7-factor mood model fit the data well and significantly better than an alternative, theoretically plausible model. When concurrent measures of mood were incorporated in the CFA model, the AMS demonstrated both convergent and discriminant validity. The AMS 7-factor model explained 55.12% of the total variance in the items. It was concluded that the AMS provides a brief yet reasonably complete and valid assessment of mood.","container-title":"Archives of Clinical Neuropsychology: The Official Journal of the National Academy of Neuropsychologists","DOI":"10.1016/j.acn.2007.10.001","ISSN":"0887-6177","issue":"1","journalAbbreviation":"Arch Clin Neuropsychol","language":"eng","note":"PMID: 18031982","page":"73-85","source":"PubMed","title":"Reliability and construct validity of the Automated Neuropsychological Assessment Metrics (ANAM) mood scale","volume":"23","author":[{"family":"Johnson","given":"Dan R."},{"family":"Vincent","given":"Andrea S."},{"family":"Johnson","given":"Ashley E."},{"family":"Gilliland","given":"Kirby"},{"family":"Schlegel","given":"Robert E."}],"issued":{"date-parts":[["2008",1]]}}}],"schema":"https://github.com/citation-style-language/schema/raw/master/csl-citation.json"}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Johnson et al., 2008</w:t>
            </w:r>
            <w:r w:rsidRPr="00BD2AA5">
              <w:rPr>
                <w:rFonts w:ascii="Times New Roman" w:hAnsi="Times New Roman" w:cs="Times New Roman"/>
                <w:sz w:val="24"/>
                <w:szCs w:val="24"/>
                <w:lang w:val="en-US"/>
              </w:rPr>
              <w:fldChar w:fldCharType="end"/>
            </w:r>
          </w:p>
        </w:tc>
      </w:tr>
      <w:tr w:rsidR="00D33E21" w:rsidRPr="00D33E21" w14:paraId="6D36C9D9" w14:textId="77777777" w:rsidTr="002258A9">
        <w:trPr>
          <w:trHeight w:val="411"/>
        </w:trPr>
        <w:tc>
          <w:tcPr>
            <w:tcW w:w="4744" w:type="dxa"/>
          </w:tcPr>
          <w:p w14:paraId="7FE018D6"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Psychological wellbeing</w:t>
            </w:r>
          </w:p>
        </w:tc>
        <w:tc>
          <w:tcPr>
            <w:tcW w:w="4744" w:type="dxa"/>
          </w:tcPr>
          <w:p w14:paraId="5325D3AF" w14:textId="29F2EC5C"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{"citationID":"ye6z15YO","properties":{"formattedCitation":"(Ryff, 1989)","plainCitation":"(Ryff, 1989)","dontUpdate":true,"noteIndex":0},"citationItems":[{"id":47775,"uris":["http://zotero.org/users/local/xUR4SMKa/items/7V6L76AM"],"itemData":{"id":47775,"type":"article-journal","abstract":"Reigning measures of psychological well-being have little theoretical grounding, despite an extensive literature on the contours of positive functioning. Aspects of well-being derived from this literature (i.e., self-acceptance, positive relations with others, autonomy, environmental mastery, purpose in life, and personal growth) were operationalized. Three hundred and twenty-one men and women, divided among young, middle-aged, and older adults, rated themselves on these measures along with six instruments prominent in earlier studies (i.e., affect balance, life satisfaction, self-esteem, morale, locus of control, depression). Results revealed that positive relations with others, autonomy, purpose in life, and personal growth were not strongly tied to prior assessment indexes, thereby supporting the claim that key aspects of positive functioning have not been represented in the empirical arena. Furthermore, age profiles revealed a more differentiated pattern of well-being than is evident in prior research. (PsycINFO Database Record (c) 2016 APA, all rights reserved)","container-title":"Journal of Personality and Social Psychology","DOI":"10.1037/0022-3514.57.6.1069","ISSN":"1939-1315","note":"publisher-place: US\npublisher: American Psychological Association","page":"1069-1081","source":"APA PsycNet","title":"Happiness is everything, or is it? Explorations on the meaning of psychological well-being","title-short":"Happiness is everything, or is it?","volume":"57","author":[{"family":"Ryff","given":"Carol D."}],"issued":{"date-parts":[["1989"]]}}}],"schema":"https://github.com/citation-style-language/schema/raw/master/csl-citation.json"}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Ryff, 198</w:t>
            </w:r>
            <w:r w:rsidRPr="00BD2AA5">
              <w:rPr>
                <w:rFonts w:ascii="Times New Roman" w:hAnsi="Times New Roman" w:cs="Times New Roman"/>
                <w:sz w:val="24"/>
                <w:szCs w:val="24"/>
                <w:lang w:val="en-US"/>
              </w:rPr>
              <w:fldChar w:fldCharType="end"/>
            </w:r>
            <w:r w:rsidR="003F215D" w:rsidRPr="00BD2AA5">
              <w:rPr>
                <w:rFonts w:ascii="Times New Roman" w:hAnsi="Times New Roman" w:cs="Times New Roman"/>
                <w:sz w:val="24"/>
                <w:szCs w:val="24"/>
                <w:lang w:val="en-US"/>
              </w:rPr>
              <w:t>9</w:t>
            </w:r>
          </w:p>
        </w:tc>
      </w:tr>
      <w:tr w:rsidR="00D33E21" w:rsidRPr="00D33E21" w14:paraId="7EA83970" w14:textId="77777777" w:rsidTr="002258A9">
        <w:trPr>
          <w:trHeight w:val="411"/>
        </w:trPr>
        <w:tc>
          <w:tcPr>
            <w:tcW w:w="4744" w:type="dxa"/>
          </w:tcPr>
          <w:p w14:paraId="69EA6B89"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Q-les-Q</w:t>
            </w:r>
          </w:p>
        </w:tc>
        <w:tc>
          <w:tcPr>
            <w:tcW w:w="4744" w:type="dxa"/>
          </w:tcPr>
          <w:p w14:paraId="612C6193" w14:textId="3ADC3CFF"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{"citationID":"lO4fOYPx","properties":{"formattedCitation":"(Endicott et al., 1993)","plainCitation":"(Endicott et al., 1993)","dontUpdate":true,"noteIndex":0},"citationItems":[{"id":47751,"uris":["http://zotero.org/users/local/xUR4SMKa/items/W4SAFJPK"],"itemData":{"id":47751,"type":"article-journal","abstract":"The Quality of Life Enjoyment and Satisfaction Questionnaire (Q-LES-Q) is a self-report measure designed to enable investigators to easily obtain sensitive measures of the degree of enjoyment and satisfaction experienced by subjects in various areas of daily functioning. The summary scores were found to be reliable and valid measures of these dimensions in a group of depressed outpatients. The Q-LES-Q measures were related to, but not redundant with, measures of overall severity of illness or severity of depression within this sample. These findings suggest that the Q-LES-Q measures may be sensitive to important differences among depressed patients that are not detected by the measures usually employed.","archive":"Scopus","container-title":"Psychopharmacology Bulletin","ISSN":"0048-5764","issue":"2","language":"English","page":"321-326","source":"Scopus","title":"Quality of life enjoyment and satisfaction questionnaire: A new measure","title-short":"Quality of life enjoyment and satisfaction questionnaire","volume":"29","author":[{"family":"Endicott","given":"J."},{"family":"Nee","given":"J."},{"family":"Harrison","given":"W."},{"family":"Blumenthal","given":"R."}],"issued":{"date-parts":[["1993"]]}}}],"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Endicott et al., 199</w:t>
            </w:r>
            <w:r w:rsidR="00EB6DDD" w:rsidRPr="00BD2AA5">
              <w:rPr>
                <w:rFonts w:ascii="Times New Roman" w:hAnsi="Times New Roman" w:cs="Times New Roman"/>
                <w:sz w:val="24"/>
                <w:lang w:val="en-US"/>
              </w:rPr>
              <w:t>3</w:t>
            </w:r>
            <w:r w:rsidRPr="00BD2AA5">
              <w:rPr>
                <w:rFonts w:ascii="Times New Roman" w:hAnsi="Times New Roman" w:cs="Times New Roman"/>
                <w:sz w:val="24"/>
                <w:szCs w:val="24"/>
                <w:lang w:val="en-US"/>
              </w:rPr>
              <w:fldChar w:fldCharType="end"/>
            </w:r>
          </w:p>
        </w:tc>
      </w:tr>
      <w:tr w:rsidR="00D33E21" w:rsidRPr="00D33E21" w14:paraId="2968DC4A" w14:textId="77777777" w:rsidTr="002258A9">
        <w:trPr>
          <w:trHeight w:val="411"/>
        </w:trPr>
        <w:tc>
          <w:tcPr>
            <w:tcW w:w="4744" w:type="dxa"/>
          </w:tcPr>
          <w:p w14:paraId="16B07341"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Quality of Life</w:t>
            </w:r>
          </w:p>
        </w:tc>
        <w:tc>
          <w:tcPr>
            <w:tcW w:w="4744" w:type="dxa"/>
          </w:tcPr>
          <w:p w14:paraId="0A4237F1" w14:textId="273F538B" w:rsidR="00157803" w:rsidRPr="00BD2AA5" w:rsidRDefault="00BE0145"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t>-</w:t>
            </w:r>
          </w:p>
        </w:tc>
      </w:tr>
      <w:tr w:rsidR="00D33E21" w:rsidRPr="00D33E21" w14:paraId="4E13ABBD" w14:textId="77777777" w:rsidTr="002258A9">
        <w:trPr>
          <w:trHeight w:val="411"/>
        </w:trPr>
        <w:tc>
          <w:tcPr>
            <w:tcW w:w="4744" w:type="dxa"/>
          </w:tcPr>
          <w:p w14:paraId="36D7BE27"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Quality of Life (</w:t>
            </w:r>
            <w:proofErr w:type="spellStart"/>
            <w:r w:rsidRPr="00D33E21">
              <w:rPr>
                <w:rFonts w:ascii="Times New Roman" w:hAnsi="Times New Roman" w:cs="Times New Roman"/>
                <w:sz w:val="24"/>
                <w:szCs w:val="24"/>
                <w:lang w:val="en-US"/>
              </w:rPr>
              <w:t>Cantril</w:t>
            </w:r>
            <w:proofErr w:type="spellEnd"/>
            <w:r w:rsidRPr="00D33E21">
              <w:rPr>
                <w:rFonts w:ascii="Times New Roman" w:hAnsi="Times New Roman" w:cs="Times New Roman"/>
                <w:sz w:val="24"/>
                <w:szCs w:val="24"/>
                <w:lang w:val="en-US"/>
              </w:rPr>
              <w:t xml:space="preserve"> ladder)</w:t>
            </w:r>
          </w:p>
        </w:tc>
        <w:tc>
          <w:tcPr>
            <w:tcW w:w="4744" w:type="dxa"/>
          </w:tcPr>
          <w:p w14:paraId="0DA6ABA6"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{"citationID":"QY1A2kfe","properties":{"formattedCitation":"(Cantril, 1966)","plainCitation":"(Cantril, 1966)","dontUpdate":true,"noteIndex":0},"citationItems":[{"id":47337,"uris":["http://zotero.org/users/local/xUR4SMKa/items/2M25UIZJ"],"itemData":{"id":47337,"type":"book","event-place":"New Brunswick, N.J.","language":"eng","note":"OCLC: 2082808","number-of-pages":"427","publisher":"Rutgers University Press","publisher-place":"New Brunswick, N.J.","source":"Open WorldCat","title":"The pattern of human concerns","author":[{"family":"Cantril","given":"Hadley"}],"issued":{"date-parts":[["1966"]]}}}],"schema":"https://github.com/citation-style-language/schema/raw/master/csl-citation.json"}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Cantril, 1966</w:t>
            </w:r>
            <w:r w:rsidRPr="00BD2AA5">
              <w:rPr>
                <w:rFonts w:ascii="Times New Roman" w:hAnsi="Times New Roman" w:cs="Times New Roman"/>
                <w:sz w:val="24"/>
                <w:szCs w:val="24"/>
                <w:lang w:val="en-US"/>
              </w:rPr>
              <w:fldChar w:fldCharType="end"/>
            </w:r>
          </w:p>
        </w:tc>
      </w:tr>
      <w:tr w:rsidR="00D33E21" w:rsidRPr="00D33E21" w14:paraId="450E8672" w14:textId="77777777" w:rsidTr="002258A9">
        <w:trPr>
          <w:trHeight w:val="411"/>
        </w:trPr>
        <w:tc>
          <w:tcPr>
            <w:tcW w:w="4744" w:type="dxa"/>
          </w:tcPr>
          <w:p w14:paraId="63B0407C"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lastRenderedPageBreak/>
              <w:t>Quality of Life Index</w:t>
            </w:r>
          </w:p>
        </w:tc>
        <w:tc>
          <w:tcPr>
            <w:tcW w:w="4744" w:type="dxa"/>
          </w:tcPr>
          <w:p w14:paraId="7BA6B22E"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{"citationID":"cxTv24Mm","properties":{"formattedCitation":"(Ferrans &amp; Powers, 1992)","plainCitation":"(Ferrans &amp; Powers, 1992)","noteIndex":0},"citationItems":[{"id":47760,"uris":["http://zotero.org/users/local/xUR4SMKa/items/DKSY8DPL"],"itemData":{"id":47760,"type":"article-journal","abstract":"The purpose of this study was to examine the psychometric properties of the Quality of Life Index (QLI) (Ferrans &amp; Powers, 1985). The sample consisted of 349 patients selected randomly from the adult, in-unit hemodialysis patient population of Illinois. Factor analysis was used to examine the underlying factor structure. A four-factor solution best fit the data, indicating that there were four dimensions underlying the QLI: health and functioning, socioeconomic, psychological/spiritual, and family. Factor analysis of the four primary factors revealed one higher order factor, representing quality of life. Construct validity also was supported by the contrasted groups approach. As predicted, it was found that those who had higher incomes had significantly higher quality of life scores on the social and economic subscale. Support for convergent validity was provided by a strong correlation (r = 0.77) between scores from the QLI and an assessment of life satisfaction. Findings supported the internal consistency reliability of the entire QLI (alpha = 0.93) and the four subscales (alphas = 0.87, 0.82, 0.90, 0.77).","container-title":"Research in Nursing &amp; Health","DOI":"10.1002/nur.4770150106","ISSN":"1098-240X","issue":"1","language":"en","note":"_eprint: https://onlinelibrary.wiley.com/doi/pdf/10.1002/nur.4770150106","page":"29-38","source":"Wiley Online Library","title":"Psychometric assessment of the quality of life index","volume":"15","author":[{"family":"Ferrans","given":"Carol Estwing"},{"family":"Powers","given":"Marjorie J."}],"issued":{"date-parts":[["1992"]]}}}],"schema":"https://github.com/citation-style-language/schema/raw/master/csl-citation.json"}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Ferrans &amp; Powers, 1992</w:t>
            </w:r>
            <w:r w:rsidRPr="00BD2AA5">
              <w:rPr>
                <w:rFonts w:ascii="Times New Roman" w:hAnsi="Times New Roman" w:cs="Times New Roman"/>
                <w:sz w:val="24"/>
                <w:szCs w:val="24"/>
                <w:lang w:val="en-US"/>
              </w:rPr>
              <w:fldChar w:fldCharType="end"/>
            </w:r>
          </w:p>
        </w:tc>
      </w:tr>
      <w:tr w:rsidR="00D33E21" w:rsidRPr="00D33E21" w14:paraId="39D8430A" w14:textId="77777777" w:rsidTr="002258A9">
        <w:trPr>
          <w:trHeight w:val="411"/>
        </w:trPr>
        <w:tc>
          <w:tcPr>
            <w:tcW w:w="4744" w:type="dxa"/>
          </w:tcPr>
          <w:p w14:paraId="5948A771" w14:textId="5D6C7ECA"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 xml:space="preserve">Satisfaction with Life </w:t>
            </w:r>
            <w:r w:rsidR="00464606" w:rsidRPr="00D33E21">
              <w:rPr>
                <w:rFonts w:ascii="Times New Roman" w:hAnsi="Times New Roman" w:cs="Times New Roman"/>
                <w:sz w:val="24"/>
                <w:szCs w:val="24"/>
                <w:lang w:val="en-US"/>
              </w:rPr>
              <w:t>S</w:t>
            </w:r>
            <w:r w:rsidRPr="00D33E21">
              <w:rPr>
                <w:rFonts w:ascii="Times New Roman" w:hAnsi="Times New Roman" w:cs="Times New Roman"/>
                <w:sz w:val="24"/>
                <w:szCs w:val="24"/>
                <w:lang w:val="en-US"/>
              </w:rPr>
              <w:t>cale</w:t>
            </w:r>
          </w:p>
        </w:tc>
        <w:tc>
          <w:tcPr>
            <w:tcW w:w="4744" w:type="dxa"/>
          </w:tcPr>
          <w:p w14:paraId="534C86B2"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{"citationID":"KicDKTWx","properties":{"formattedCitation":"(Diener et al., 1985)","plainCitation":"(Diener et al., 1985)","noteIndex":0},"citationItems":[{"id":21090,"uris":["http://zotero.org/users/local/xUR4SMKa/items/B3RCMB69"],"itemData":{"id":21090,"type":"article-journal","abstract":"This article reports the development and validation of a scale to measure global life satisfaction, the Satisfaction With Life Scale (SWLS). Among the various components of subjective well-being, the SWLS is narrowly focused to assess global life satisfaction and does not tap related constructs such as positive affect or loneliness. The SWLS is shown to have favorable psychometric properties, including high internal consistency and high temporal reliability. Scores on the SWLS correlate moderately to highly with other measures of subjective well-being, and correlate predictably with specific personality characteristics. It is noted that the SWLS is suited for use with different age groups, and other potential uses ofthe scale are discussed. © 1985, Taylor &amp; Francis Group, LLC. All rights reserved.","container-title":"Journal of Personality Assessment","DOI":"10.1207/s15327752jpa4901_13","ISSN":"15327752","note":"PMID: 16367493","title":"The Satisfaction With Life Scale","author":[{"family":"Diener","given":"Ed"},{"family":"Emmons","given":"Robert A."},{"family":"Larsem","given":"Randy J."},{"family":"Griffin","given":"Sharon"}],"issued":{"date-parts":[["1985"]]}}}],"schema":"https://github.com/citation-style-language/schema/raw/master/csl-citation.json"}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Diener et al., 1985</w:t>
            </w:r>
            <w:r w:rsidRPr="00BD2AA5">
              <w:rPr>
                <w:rFonts w:ascii="Times New Roman" w:hAnsi="Times New Roman" w:cs="Times New Roman"/>
                <w:sz w:val="24"/>
                <w:szCs w:val="24"/>
                <w:lang w:val="en-US"/>
              </w:rPr>
              <w:fldChar w:fldCharType="end"/>
            </w:r>
          </w:p>
        </w:tc>
      </w:tr>
      <w:tr w:rsidR="00D33E21" w:rsidRPr="00D33E21" w14:paraId="3292D175" w14:textId="77777777" w:rsidTr="002258A9">
        <w:trPr>
          <w:trHeight w:val="411"/>
        </w:trPr>
        <w:tc>
          <w:tcPr>
            <w:tcW w:w="4744" w:type="dxa"/>
          </w:tcPr>
          <w:p w14:paraId="3890B172"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Satisfaction with Life (1 item)</w:t>
            </w:r>
          </w:p>
        </w:tc>
        <w:tc>
          <w:tcPr>
            <w:tcW w:w="4744" w:type="dxa"/>
          </w:tcPr>
          <w:p w14:paraId="21F441F3" w14:textId="112BC506"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{"citationID":"GjC45Gwl","properties":{"formattedCitation":"(Li et al., 2011; Matthews et al., 1997)","plainCitation":"(Li et al., 2011; Matthews et al., 1997)","noteIndex":0},"citationItems":[{"id":47800,"uris":["http://zotero.org/users/local/xUR4SMKa/items/KF9TLBNN"],"itemData":{"id":47800,"type":"article-journal","abstract":"Abstract Problem: Chronic diseases and conditions (e.g., heart disease, cancer, stroke, and diabetes) are the leading causes of death in the United States. Controlling health risk behaviors and conditions (e.g., smoking, physical inactivity, poor diet, excessive drinking, and obesity) and using preventive health-care services (e.g., physical examination, vaccination, screening for high blood pressure and high cholesterol, consumption of fruits and vegetables, and participation in regular leisure-time physical activity) can reduce morbidity and mortality from chronic diseases. Reporting Period: January 2009-December 2009. Description of the System: The Behavioral Risk Factor Surveillance System (BRFSS) is an ongoing state-based random-digit-dialed telephone survey of noninstitutionalized adults aged ≥18 years residing in the United States. BRFSS collects data on health risk behaviors and conditions, chronic diseases and conditions, access to health care, and use of preventative health services and practices related to the leading causes of death and disabilities in the United States. This report presents results for 2009 for all 50 states, the District of Columbia, the Commonwealth of Puerto Rico, Guam, the U.S. Virgin Islands, 180 metropolitan and micropolitan statistical areas (MMSAs), and 283 selected counties. Results: In 2009, the estimated prevalence of general health status, use of preventive health-care services, health risk behaviors and conditions, chronic diseases, and health impairments and disabilities varied substantially by state and territory, MMSA, and county. The following is a summary of results listed by BRFSS question topics. Each set of proportions refers to the range of estimated prevalence for the disease, condition, or behavior, as reported by the survey respondent. Adults who reported having fair or poor health: 10.1%-30.9% for states and territories, 7.9%-25.8% for MMSAs, and 4.5%-26.1% for counties. Adults with health-care coverage: 71.4%-94.7% for states and territories, 52.7%-96.3% for MMSAs, and 52.7%-97.6% for counties. Annual routine physical checkup among adults aged ≥18 years: 55.8%-79.3% for states and territories, 51.8%-80.7% for MMSAs, and 49.2%-83.5% for counties. Annual influenza vaccination among adults aged ≥65 years: 26.8%-76.8% for states and territories, 55.4%-81.4% for MMSAs, and 50.5%-83.5% for counties. Pneumococcal vaccination among adults aged ≥65 years: 19.1%-73.9% for states and territories, 52.9%-81.3% for MMSAs, and 41.9%-82.0% for counties. Adults who had their cholesterol checked within the preceding 5 years: 67.5%-85.3% for states and territories, 58.2%-88.8% for MMSAs, and 58.2%-92.4% for counties. Adults who consumed at least five servings of fruits and vegetables per day: 14.6%-31.5% for states and territories, 12.6%-33.0% for MMSAs, and 13.4%-34.9% for counties. Adults who engaged in moderate or vigorous physical activity: 28.0%-60.7% for states and territories, 34.6%-64.9% for MMSAs, and 33.6%-67.3% for counties. Adults who engaged in only vigorous physical activity: 13.7%-40.1% for states and territories, 13.8%-43.3% for MMSAs, and 14.2%-50.0% for counties. Current cigarette smoking among adults: 6.4%-25.6% for states and territories, 5.7%-29.0% for MMSAs, and 5.6%-29.8% for counties. Binge drinking among adults: 6.8%-23.9% for states and territories, 3.5%-23.2% for MMSAs, and 3.4%-26.3% for counties. Heavy drinking among adults: 1.9%-8.1% for states and territories, 1.0%-11.1% for MMSAs, and 0.9%-11.1% for counties. Adults who reported no leisure-time physical activity: 15.8%-45.6% for states and territories, 13.3%-40.2% for MMSAs, and 10.5%-40.2% for counties. Adults aged ≥18 years who were overweight: 31.6%-38.7% for states and territories, 28.7%-44.1% for MMSAs, and 25.6%-46.7% for counties. Adults aged ≥20 years who were obese: 19.7%-36.0% for states and territories, 15.4%-43.6% for MMSAs, and 13.8%-45.7% for counties. Adults aged ≥18 years who did not get enough rest or sleep: 34.3%-52.6% for states and territories, 28.2%-54.8% for MMSAs, and 24.5%-55.6% for counties. Adults who had received a high blood pressure diagnosis: 22.1%-38.5% for states and territories, 18.8%-43.9% for MMSAs, and 17.2%-43.6% for counties. Adults who had a high blood cholesterol diagnosis: 24.9%-42.2% for states and territories, 27.5%-47.8% for MMSAs, and 26.7%-51.4% for counties. Adults who had received a diagnosis of coronary heart disease: 2.5%-10.3% for states and territories, 2.6%-11.6% for MMSAs, and 1.6%-12.3% for counties. Adults who had received a stroke diagnosis: 1.4%-3.9% for states and territories, 0.8%-5.9% for MMSAs, and 0.8%-6.6% for counties. Adults who had received a diabetes diagnosis: 5.8%-12.9% for states and territories, 2.8%-15.4% for MMSAs, and 2.8%-14.7% for counties. Adults who had received a cancer diagnosis: 3.0%-12.6% for states and territories, 5.8%-15.1% for MMSAs, and 3.9%-16.2% for counties. Adults who had asthma: 4.4%-11.1% for states and territories, and 3.2%-15.3% for MMSAs, and 3.2%-15.7% for counties. Adults who had arthritis: 10.7%-35.6% for states and territories, 16.2%-36.0% for MMSAs, and 12.6%-39.4% for counties. Adults with activity limitation associated with physical, mental, or emotional problems: 10.2%-27.1% for states and territories, 13.1%-33.7% for MMSAs, and 10.4%-36.1% for counties. Adults who required special equipment because of health problems: 3.6%-10.2% for states and territories, 3.4%-11.5% for MMSAs, and 1.7%-13.0% for counties. Interpretation: The findings in this report indicate substantial variations in self-rated general health status, health-care coverage, use of preventive health-care services, health risk behaviors and health conditions, cardiovascular conditions, other chronic diseases, and health impairments and disabilities among U.S. adults at the state and territory, MMSA, and county levels. The findings show that Healthy People 2010 objectives had not been met in many areas by 2009, which underscores the continued need for surveillance of general health status, use of preventive health-care services, health risk behaviors and conditions, chronic diseases, and health impairment and disability. Public Health Action: Data on health risk behaviors, chronic health conditions, preventive care practices, and chronic diseases are used to develop health promotion activities, intervention programs, and health policies at the state, city, and county levels.. The overarching goals of Healthy People 2010 are to increase quality and years of healthy life and to eliminate health disparities. Local and state health departments and federal agencies should continue to use BRFSS data to identify populations at high risk for certain health risk behaviors and conditions, cardiovascular conditions, and other chronic diseases and to evaluate the use of preventive health-care services. In addition, BRFSS data can be used to direct, implement, monitor, and evaluate public health programs and policies that can lead to a reduction in morbidity and mortality.","container-title":"Morbidity and Mortality Weekly Report: Surveillance Summaries","ISSN":"1546-0738","issue":"9","note":"publisher: Centers for Disease Control &amp; Prevention (CDC)","page":"1-249","source":"JSTOR","title":"Surveillance of Certain Health Behaviors and Conditions Among States and Selected Local Areas — Behavioral Risk Factor Surveillance System, United States, 2009","volume":"60","author":[{"family":"Li","given":"Chaoyang"},{"family":"Balluz","given":"Lina S."},{"family":"Okoro","given":"Catherine A."},{"family":"Strine","given":"Tara W."},{"family":"Lin","given":"Jin-Mann S."},{"family":"Town","given":"Machell"},{"family":"Garvin","given":"William"},{"family":"Murphy","given":"Wilmon"},{"family":"Bartoli","given":"William"},{"family":"Valluru","given":"Balarami"}],"issued":{"date-parts":[["2011"]]}}},{"id":47784,"uris":["http://zotero.org/users/local/xUR4SMKa/items/Q5WE7FXQ"],"itemData":{"id":47784,"type":"article-journal","abstract":"Studies collectively named the Women's Health Initiative (WHI) are currently enrolling 164,500 postmenopausal women in several overlapping clinical trials and an observational study. The overall goals of WHI are to understand the determinants of postmenopausal women's health and to evaluate the efficacy of practical interventions in preventing the major causes of morbidity and mortality in older women. This article reviews the research leading to the WHI studies; describes the study designs and protocols, with an emphasis on what's new about WHI from a psychological perspective; and outlines the major psychosocial hypotheses under investigation and the major challenges WHI presents to psychological science.","archive":"Scopus","container-title":"American Psychologist","DOI":"10.1037/0003-066X.52.2.101","ISSN":"0003-066X","issue":"2","language":"English","page":"101-116","source":"Scopus","title":"Women's Health Initiative. Why Now? What Is It? What's New?","title-short":"Women's Health Initiative. Why Now?","volume":"52","author":[{"family":"Matthews","given":"K.A."},{"family":"Shumaker","given":"S.A."},{"family":"Bowen","given":"D.J."},{"family":"Langer","given":"R.D."},{"family":"Hunt","given":"J.R."},{"family":"Kaplan","given":"R.M."},{"family":"Klesges","given":"R.C."}],"issued":{"date-parts":[["1997"]]}}}],"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Matthews et al., 1997</w:t>
            </w:r>
            <w:r w:rsidRPr="00BD2AA5">
              <w:rPr>
                <w:rFonts w:ascii="Times New Roman" w:hAnsi="Times New Roman" w:cs="Times New Roman"/>
                <w:sz w:val="24"/>
                <w:szCs w:val="24"/>
                <w:lang w:val="en-US"/>
              </w:rPr>
              <w:fldChar w:fldCharType="end"/>
            </w:r>
          </w:p>
        </w:tc>
      </w:tr>
      <w:tr w:rsidR="00D33E21" w:rsidRPr="00D33E21" w14:paraId="555796CF" w14:textId="77777777" w:rsidTr="002258A9">
        <w:trPr>
          <w:trHeight w:val="411"/>
        </w:trPr>
        <w:tc>
          <w:tcPr>
            <w:tcW w:w="4744" w:type="dxa"/>
          </w:tcPr>
          <w:p w14:paraId="457A4899"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SF-36</w:t>
            </w:r>
          </w:p>
        </w:tc>
        <w:tc>
          <w:tcPr>
            <w:tcW w:w="4744" w:type="dxa"/>
          </w:tcPr>
          <w:p w14:paraId="7F400047"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{"citationID":"8kp8vupo","properties":{"formattedCitation":"(Ware &amp; Sherbourne, 1992)","plainCitation":"(Ware &amp; Sherbourne, 1992)","noteIndex":0},"citationItems":[{"id":47745,"uris":["http://zotero.org/users/local/xUR4SMKa/items/RJBTRUP5"],"itemData":{"id":47745,"type":"article-journal","abstract":"A 36-item short-form (SF-36) was constructed to survey health status in the Medical Outcomes Study. The SF-36 was designed for use in clinical practice and research, health policy evaluations, and general population surveys. The SF-36 includes one multi-item scale that assesses eight health concepts: 1) limitations in physical activities because of health problems; 2) limitations in social activities because of physical or emotional problems; 3) limitations in usual role activities because of physical health problems; 4) bodily pain; 5) general mental health (psychological distress and well-being); 6) limitations in usual role activities because of emotional problems; 7) vitality (energy and fatigue); and 8) general health perceptions. The survey was constructed for self-administration by persons 14 years of age and older, and for administration by a trained interviewer in person or by telephone. The history of the development of the SF-36, the origin of specific items, and the logic underlying their selection are summarized. The content and features of the SF-36 are compared with the 20-item Medical Outcomes Study short-form.","container-title":"Medical Care","ISSN":"0025-7079","issue":"6","journalAbbreviation":"Med Care","language":"eng","note":"PMID: 1593914","page":"473-483","source":"PubMed","title":"The MOS 36-item short-form health survey (SF-36). I. Conceptual framework and item selection","volume":"30","author":[{"family":"Ware","given":"J. E."},{"family":"Sherbourne","given":"C. D."}],"issued":{"date-parts":[["1992",6]]}}}],"schema":"https://github.com/citation-style-language/schema/raw/master/csl-citation.json"}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Ware &amp; Sherbourne, 1992</w:t>
            </w:r>
            <w:r w:rsidRPr="00BD2AA5">
              <w:rPr>
                <w:rFonts w:ascii="Times New Roman" w:hAnsi="Times New Roman" w:cs="Times New Roman"/>
                <w:sz w:val="24"/>
                <w:szCs w:val="24"/>
                <w:lang w:val="en-US"/>
              </w:rPr>
              <w:fldChar w:fldCharType="end"/>
            </w:r>
          </w:p>
        </w:tc>
      </w:tr>
      <w:tr w:rsidR="00D33E21" w:rsidRPr="00D33E21" w14:paraId="41FEEDC9" w14:textId="77777777" w:rsidTr="002258A9">
        <w:trPr>
          <w:trHeight w:val="411"/>
        </w:trPr>
        <w:tc>
          <w:tcPr>
            <w:tcW w:w="4744" w:type="dxa"/>
          </w:tcPr>
          <w:p w14:paraId="1C415626"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Subjective happiness</w:t>
            </w:r>
          </w:p>
        </w:tc>
        <w:tc>
          <w:tcPr>
            <w:tcW w:w="4744" w:type="dxa"/>
          </w:tcPr>
          <w:p w14:paraId="1192A635"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t>As asked in the UK Biobank: “In general, how happy are you?”</w:t>
            </w:r>
          </w:p>
        </w:tc>
      </w:tr>
      <w:tr w:rsidR="00D33E21" w:rsidRPr="00D33E21" w14:paraId="483E63F2" w14:textId="77777777" w:rsidTr="002258A9">
        <w:trPr>
          <w:trHeight w:val="411"/>
        </w:trPr>
        <w:tc>
          <w:tcPr>
            <w:tcW w:w="4744" w:type="dxa"/>
          </w:tcPr>
          <w:p w14:paraId="6BF50A23"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Subjective wellbeing</w:t>
            </w:r>
          </w:p>
        </w:tc>
        <w:tc>
          <w:tcPr>
            <w:tcW w:w="4744" w:type="dxa"/>
          </w:tcPr>
          <w:p w14:paraId="3292E3EA"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t>As asked in the Neurobehavioral Test Battery by Object-Tracker, Austria</w:t>
            </w:r>
          </w:p>
        </w:tc>
      </w:tr>
      <w:tr w:rsidR="00D33E21" w:rsidRPr="00D33E21" w14:paraId="2A0A7284" w14:textId="77777777" w:rsidTr="002258A9">
        <w:trPr>
          <w:trHeight w:val="411"/>
        </w:trPr>
        <w:tc>
          <w:tcPr>
            <w:tcW w:w="4744" w:type="dxa"/>
          </w:tcPr>
          <w:p w14:paraId="1C8D0FE3"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Visual analogue scale</w:t>
            </w:r>
          </w:p>
        </w:tc>
        <w:tc>
          <w:tcPr>
            <w:tcW w:w="4744" w:type="dxa"/>
          </w:tcPr>
          <w:p w14:paraId="6AA72A30"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{"citationID":"Ni0yem2d","properties":{"formattedCitation":"(McCormack et al., 1988)","plainCitation":"(McCormack et al., 1988)","noteIndex":0},"citationItems":[{"id":47777,"uris":["http://zotero.org/users/local/xUR4SMKa/items/9TQZK3R5"],"itemData":{"id":47777,"type":"article-journal","abstract":"Visual Analogue Scales (VAS) provide a simple technique for measuring subjective experience. They have been established as valid and reliable in a range of clinical and research applications, although there is also evidence of increased error and decreased sensitivity when used some subject groups. Decisions concerned with the choice of scoring interval, experimental design, and statistical analysis for VAS have in some instances been based on convention, assumption and convenience, highlighting the need for more comprehensive assessment of individual scales if this versatile and sensitive measurement technique is to be used to full advantage.","container-title":"Psychological Medicine","DOI":"10.1017/S0033291700009934","ISSN":"1469-8978, 0033-2917","issue":"4","language":"en","note":"publisher: Cambridge University Press","page":"1007-1019","source":"Cambridge University Press","title":"Clinical applications of visual analogue scales: a critical review","title-short":"Clinical applications of visual analogue scales","volume":"18","author":[{"family":"McCormack","given":"Heather M."},{"family":"Horne","given":"David J. de L."},{"family":"Sheather","given":"Simon"}],"issued":{"date-parts":[["1988",11]]}}}],"schema":"https://github.com/citation-style-language/schema/raw/master/csl-citation.json"}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McCormack et al., 1988</w:t>
            </w:r>
            <w:r w:rsidRPr="00BD2AA5">
              <w:rPr>
                <w:rFonts w:ascii="Times New Roman" w:hAnsi="Times New Roman" w:cs="Times New Roman"/>
                <w:sz w:val="24"/>
                <w:szCs w:val="24"/>
                <w:lang w:val="en-US"/>
              </w:rPr>
              <w:fldChar w:fldCharType="end"/>
            </w:r>
          </w:p>
        </w:tc>
      </w:tr>
      <w:tr w:rsidR="00D33E21" w:rsidRPr="00D33E21" w14:paraId="216CEAEA" w14:textId="77777777" w:rsidTr="002258A9">
        <w:trPr>
          <w:trHeight w:val="411"/>
        </w:trPr>
        <w:tc>
          <w:tcPr>
            <w:tcW w:w="4744" w:type="dxa"/>
          </w:tcPr>
          <w:p w14:paraId="6DD80E30"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WEMWBS</w:t>
            </w:r>
          </w:p>
        </w:tc>
        <w:tc>
          <w:tcPr>
            <w:tcW w:w="4744" w:type="dxa"/>
          </w:tcPr>
          <w:p w14:paraId="14A53848"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{"citationID":"oK6tRTsq","properties":{"formattedCitation":"(Tennant et al., 2007)","plainCitation":"(Tennant et al., 2007)","noteIndex":0},"citationItems":[{"id":47772,"uris":["http://zotero.org/users/local/xUR4SMKa/items/R6LMZGHT"],"itemData":{"id":47772,"type":"article-journal","abstract":"There is increasing international interest in the concept of mental well-being and its contribution to all aspects of human life. Demand for instruments to monitor mental well-being at a population level and evaluate mental health promotion initiatives is growing. This article describes the development and validation of a new scale, comprised only of positively worded items relating to different aspects of positive mental health: the Warwick-Edinburgh Mental Well-Being Scale (WEMWBS).","container-title":"Health and Quality of Life Outcomes","DOI":"10.1186/1477-7525-5-63","ISSN":"1477-7525","issue":"1","journalAbbreviation":"Health and Quality of Life Outcomes","page":"63","source":"BioMed Central","title":"The Warwick-Edinburgh Mental Well-being Scale (WEMWBS): development and UK validation","title-short":"The Warwick-Edinburgh Mental Well-being Scale (WEMWBS)","volume":"5","author":[{"family":"Tennant","given":"Ruth"},{"family":"Hiller","given":"Louise"},{"family":"Fishwick","given":"Ruth"},{"family":"Platt","given":"Stephen"},{"family":"Joseph","given":"Stephen"},{"family":"Weich","given":"Scott"},{"family":"Parkinson","given":"Jane"},{"family":"Secker","given":"Jenny"},{"family":"Stewart-Brown","given":"Sarah"}],"issued":{"date-parts":[["2007",11,27]]}}}],"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rPr>
              <w:t>Tennant et al., 200</w:t>
            </w:r>
            <w:r w:rsidRPr="00BD2AA5">
              <w:rPr>
                <w:rFonts w:ascii="Times New Roman" w:hAnsi="Times New Roman" w:cs="Times New Roman"/>
                <w:sz w:val="24"/>
                <w:lang w:val="en-US"/>
              </w:rPr>
              <w:t>7</w:t>
            </w:r>
            <w:r w:rsidRPr="00BD2AA5">
              <w:rPr>
                <w:rFonts w:ascii="Times New Roman" w:hAnsi="Times New Roman" w:cs="Times New Roman"/>
                <w:sz w:val="24"/>
                <w:szCs w:val="24"/>
                <w:lang w:val="en-US"/>
              </w:rPr>
              <w:fldChar w:fldCharType="end"/>
            </w:r>
          </w:p>
        </w:tc>
      </w:tr>
      <w:tr w:rsidR="00D33E21" w:rsidRPr="00D33E21" w14:paraId="5962F159" w14:textId="77777777" w:rsidTr="002258A9">
        <w:trPr>
          <w:trHeight w:val="411"/>
        </w:trPr>
        <w:tc>
          <w:tcPr>
            <w:tcW w:w="4744" w:type="dxa"/>
          </w:tcPr>
          <w:p w14:paraId="6A7CD4CB"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WHO-5</w:t>
            </w:r>
          </w:p>
        </w:tc>
        <w:tc>
          <w:tcPr>
            <w:tcW w:w="4744" w:type="dxa"/>
          </w:tcPr>
          <w:p w14:paraId="51FC5C04" w14:textId="679C1C1D" w:rsidR="00157803" w:rsidRPr="00BD2AA5" w:rsidRDefault="00FA220D"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t>Topp et al., 2015</w:t>
            </w:r>
          </w:p>
        </w:tc>
      </w:tr>
      <w:tr w:rsidR="00157803" w:rsidRPr="00D33E21" w14:paraId="7D36B0EE" w14:textId="77777777" w:rsidTr="002258A9">
        <w:trPr>
          <w:trHeight w:val="411"/>
        </w:trPr>
        <w:tc>
          <w:tcPr>
            <w:tcW w:w="4744" w:type="dxa"/>
          </w:tcPr>
          <w:p w14:paraId="43D1D2C0" w14:textId="77777777" w:rsidR="00157803" w:rsidRPr="00D33E21" w:rsidRDefault="00157803" w:rsidP="002258A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WHO-QOL</w:t>
            </w:r>
          </w:p>
        </w:tc>
        <w:tc>
          <w:tcPr>
            <w:tcW w:w="4744" w:type="dxa"/>
          </w:tcPr>
          <w:p w14:paraId="638EED69" w14:textId="77777777" w:rsidR="00157803" w:rsidRPr="00BD2AA5" w:rsidRDefault="00157803" w:rsidP="002258A9">
            <w:pPr>
              <w:spacing w:line="360" w:lineRule="auto"/>
              <w:rPr>
                <w:rFonts w:ascii="Times New Roman" w:hAnsi="Times New Roman" w:cs="Times New Roman"/>
                <w:sz w:val="24"/>
                <w:szCs w:val="24"/>
                <w:lang w:val="en-US"/>
              </w:rPr>
            </w:pPr>
            <w:r w:rsidRPr="00BD2AA5">
              <w:rPr>
                <w:rFonts w:ascii="Times New Roman" w:hAnsi="Times New Roman" w:cs="Times New Roman"/>
                <w:sz w:val="24"/>
                <w:szCs w:val="24"/>
                <w:lang w:val="en-US"/>
              </w:rPr>
              <w:fldChar w:fldCharType="begin"/>
            </w:r>
            <w:r w:rsidRPr="00BD2AA5">
              <w:rPr>
                <w:rFonts w:ascii="Times New Roman" w:hAnsi="Times New Roman" w:cs="Times New Roman"/>
                <w:sz w:val="24"/>
                <w:szCs w:val="24"/>
                <w:lang w:val="en-US"/>
              </w:rPr>
              <w:instrText xml:space="preserve"> ADDIN ZOTERO_ITEM CSL_CITATION {"citationID":"B9DMlDgW","properties":{"formattedCitation":"(\\uc0\\u8216{}The World Health Organization Quality of Life Assessment (WHOQOL)\\uc0\\u8217{}, 1995)","plainCitation":"(‘The World Health Organization Quality of Life Assessment (WHOQOL)’, 1995)","noteIndex":0},"citationItems":[{"id":47766,"uris":["http://zotero.org/users/local/xUR4SMKa/items/P5FIUNCJ"],"itemData":{"id":47766,"type":"article-journal","abstract":"This paper describes the World Health Organization's project to develop a quality of life instrument (the WHOQOL). It outlines the reasons that the project was undertaken, the thinking that underlies the project, the method that has been followed in its development and the current status of the project. The WHOQOL assesses individuals' perception of their position in life in the context of the culture and value systems in which they live and in relation to their goals, expectations, standards and concerns. It has been developed collaboratively in several culturally diverse centres over four years. Piloting of the WHOQOL on some 4500 respondents in 15 cultural settings has been completed. On the basis of this data the revised WHOQOL Field Trial Form has been finalized, and field testing is currently in progress. The WHOQOL produces a multi-dimensional profile of scores across six domains and 24 sub-domains of quality of life.","collection-title":"Quality of Life in Social Science and Medicine","container-title":"Social Science &amp; Medicine","DOI":"10.1016/0277-9536(95)00112-K","ISSN":"0277-9536","issue":"10","journalAbbreviation":"Social Science &amp; Medicine","language":"en","page":"1403-1409","source":"ScienceDirect","title":"The World Health Organization quality of life assessment (WHOQOL): Position paper from the World Health Organization","title-short":"The World Health Organization quality of life assessment (WHOQOL)","volume":"41","issued":{"date-parts":[["1995",11,1]]}}}],"schema":"https://github.com/citation-style-language/schema/raw/master/csl-citation.json"} </w:instrText>
            </w:r>
            <w:r w:rsidRPr="00BD2AA5">
              <w:rPr>
                <w:rFonts w:ascii="Times New Roman" w:hAnsi="Times New Roman" w:cs="Times New Roman"/>
                <w:sz w:val="24"/>
                <w:szCs w:val="24"/>
                <w:lang w:val="en-US"/>
              </w:rPr>
              <w:fldChar w:fldCharType="separate"/>
            </w:r>
            <w:r w:rsidRPr="00BD2AA5">
              <w:rPr>
                <w:rFonts w:ascii="Times New Roman" w:hAnsi="Times New Roman" w:cs="Times New Roman"/>
                <w:sz w:val="24"/>
                <w:szCs w:val="24"/>
              </w:rPr>
              <w:t>‘The World Health Organization Quality of Life Assessment (WHOQOL)’, 1995</w:t>
            </w:r>
            <w:r w:rsidRPr="00BD2AA5">
              <w:rPr>
                <w:rFonts w:ascii="Times New Roman" w:hAnsi="Times New Roman" w:cs="Times New Roman"/>
                <w:sz w:val="24"/>
                <w:szCs w:val="24"/>
                <w:lang w:val="en-US"/>
              </w:rPr>
              <w:fldChar w:fldCharType="end"/>
            </w:r>
          </w:p>
        </w:tc>
      </w:tr>
    </w:tbl>
    <w:p w14:paraId="2D3AE549" w14:textId="77777777" w:rsidR="00157803" w:rsidRPr="00D33E21" w:rsidRDefault="00157803" w:rsidP="00C870A0">
      <w:pPr>
        <w:spacing w:line="360" w:lineRule="auto"/>
        <w:rPr>
          <w:rFonts w:ascii="Times New Roman" w:hAnsi="Times New Roman" w:cs="Times New Roman"/>
          <w:b/>
          <w:bCs/>
          <w:sz w:val="24"/>
          <w:szCs w:val="24"/>
          <w:lang w:val="en-US"/>
        </w:rPr>
      </w:pPr>
    </w:p>
    <w:p w14:paraId="50DC4EB1" w14:textId="77777777" w:rsidR="00157803" w:rsidRPr="00D33E21" w:rsidRDefault="00157803" w:rsidP="00C870A0">
      <w:pPr>
        <w:spacing w:line="360" w:lineRule="auto"/>
        <w:rPr>
          <w:rFonts w:ascii="Times New Roman" w:hAnsi="Times New Roman" w:cs="Times New Roman"/>
          <w:b/>
          <w:bCs/>
          <w:sz w:val="24"/>
          <w:szCs w:val="24"/>
          <w:lang w:val="en-US"/>
        </w:rPr>
      </w:pPr>
    </w:p>
    <w:p w14:paraId="2A863329" w14:textId="77777777" w:rsidR="00157803" w:rsidRPr="00D33E21" w:rsidRDefault="00157803" w:rsidP="00C870A0">
      <w:pPr>
        <w:spacing w:line="360" w:lineRule="auto"/>
        <w:rPr>
          <w:rFonts w:ascii="Times New Roman" w:hAnsi="Times New Roman" w:cs="Times New Roman"/>
          <w:b/>
          <w:bCs/>
          <w:sz w:val="24"/>
          <w:szCs w:val="24"/>
          <w:lang w:val="en-US"/>
        </w:rPr>
      </w:pPr>
    </w:p>
    <w:p w14:paraId="374CAA68" w14:textId="77777777" w:rsidR="00146A47" w:rsidRPr="00D33E21" w:rsidRDefault="00146A47" w:rsidP="00C870A0">
      <w:pPr>
        <w:spacing w:line="360" w:lineRule="auto"/>
        <w:rPr>
          <w:rFonts w:ascii="Times New Roman" w:hAnsi="Times New Roman" w:cs="Times New Roman"/>
          <w:b/>
          <w:bCs/>
          <w:sz w:val="24"/>
          <w:szCs w:val="24"/>
          <w:lang w:val="en-US"/>
        </w:rPr>
      </w:pPr>
    </w:p>
    <w:p w14:paraId="03F79CDB" w14:textId="77777777" w:rsidR="00146A47" w:rsidRPr="00D33E21" w:rsidRDefault="00146A47" w:rsidP="00C870A0">
      <w:pPr>
        <w:spacing w:line="360" w:lineRule="auto"/>
        <w:rPr>
          <w:rFonts w:ascii="Times New Roman" w:hAnsi="Times New Roman" w:cs="Times New Roman"/>
          <w:b/>
          <w:bCs/>
          <w:sz w:val="24"/>
          <w:szCs w:val="24"/>
          <w:lang w:val="en-US"/>
        </w:rPr>
      </w:pPr>
    </w:p>
    <w:p w14:paraId="0D32A934" w14:textId="77777777" w:rsidR="00146A47" w:rsidRPr="00D33E21" w:rsidRDefault="00146A47" w:rsidP="00C870A0">
      <w:pPr>
        <w:spacing w:line="360" w:lineRule="auto"/>
        <w:rPr>
          <w:rFonts w:ascii="Times New Roman" w:hAnsi="Times New Roman" w:cs="Times New Roman"/>
          <w:b/>
          <w:bCs/>
          <w:sz w:val="24"/>
          <w:szCs w:val="24"/>
          <w:lang w:val="en-US"/>
        </w:rPr>
      </w:pPr>
    </w:p>
    <w:p w14:paraId="5550EFE4" w14:textId="77777777" w:rsidR="00146A47" w:rsidRPr="00D33E21" w:rsidRDefault="00146A47" w:rsidP="00C870A0">
      <w:pPr>
        <w:spacing w:line="360" w:lineRule="auto"/>
        <w:rPr>
          <w:rFonts w:ascii="Times New Roman" w:hAnsi="Times New Roman" w:cs="Times New Roman"/>
          <w:b/>
          <w:bCs/>
          <w:sz w:val="24"/>
          <w:szCs w:val="24"/>
          <w:lang w:val="en-US"/>
        </w:rPr>
      </w:pPr>
    </w:p>
    <w:p w14:paraId="04CE816B" w14:textId="77777777" w:rsidR="00146A47" w:rsidRPr="00D33E21" w:rsidRDefault="00146A47" w:rsidP="00C870A0">
      <w:pPr>
        <w:spacing w:line="360" w:lineRule="auto"/>
        <w:rPr>
          <w:rFonts w:ascii="Times New Roman" w:hAnsi="Times New Roman" w:cs="Times New Roman"/>
          <w:b/>
          <w:bCs/>
          <w:sz w:val="24"/>
          <w:szCs w:val="24"/>
          <w:lang w:val="en-US"/>
        </w:rPr>
      </w:pPr>
    </w:p>
    <w:p w14:paraId="30269BC9" w14:textId="77777777" w:rsidR="00146A47" w:rsidRPr="00D33E21" w:rsidRDefault="00146A47" w:rsidP="00C870A0">
      <w:pPr>
        <w:spacing w:line="360" w:lineRule="auto"/>
        <w:rPr>
          <w:rFonts w:ascii="Times New Roman" w:hAnsi="Times New Roman" w:cs="Times New Roman"/>
          <w:b/>
          <w:bCs/>
          <w:sz w:val="24"/>
          <w:szCs w:val="24"/>
          <w:lang w:val="en-US"/>
        </w:rPr>
      </w:pPr>
    </w:p>
    <w:p w14:paraId="4BC93D95" w14:textId="77777777" w:rsidR="00146A47" w:rsidRPr="00D33E21" w:rsidRDefault="00146A47" w:rsidP="00C870A0">
      <w:pPr>
        <w:spacing w:line="360" w:lineRule="auto"/>
        <w:rPr>
          <w:rFonts w:ascii="Times New Roman" w:hAnsi="Times New Roman" w:cs="Times New Roman"/>
          <w:b/>
          <w:bCs/>
          <w:sz w:val="24"/>
          <w:szCs w:val="24"/>
          <w:lang w:val="en-US"/>
        </w:rPr>
      </w:pPr>
    </w:p>
    <w:p w14:paraId="44E522F3" w14:textId="77777777" w:rsidR="00146A47" w:rsidRPr="00D33E21" w:rsidRDefault="00146A47" w:rsidP="00C870A0">
      <w:pPr>
        <w:spacing w:line="360" w:lineRule="auto"/>
        <w:rPr>
          <w:rFonts w:ascii="Times New Roman" w:hAnsi="Times New Roman" w:cs="Times New Roman"/>
          <w:b/>
          <w:bCs/>
          <w:sz w:val="24"/>
          <w:szCs w:val="24"/>
          <w:lang w:val="en-US"/>
        </w:rPr>
      </w:pPr>
    </w:p>
    <w:p w14:paraId="69DA870C" w14:textId="77777777" w:rsidR="00146A47" w:rsidRPr="00D33E21" w:rsidRDefault="00146A47" w:rsidP="00C870A0">
      <w:pPr>
        <w:spacing w:line="360" w:lineRule="auto"/>
        <w:rPr>
          <w:rFonts w:ascii="Times New Roman" w:hAnsi="Times New Roman" w:cs="Times New Roman"/>
          <w:b/>
          <w:bCs/>
          <w:sz w:val="24"/>
          <w:szCs w:val="24"/>
          <w:lang w:val="en-US"/>
        </w:rPr>
      </w:pPr>
    </w:p>
    <w:p w14:paraId="685C41C1" w14:textId="3BCAB5BA" w:rsidR="009C2C84" w:rsidRPr="00D33E21" w:rsidRDefault="009C2C84" w:rsidP="00186E2D">
      <w:pPr>
        <w:spacing w:line="360" w:lineRule="auto"/>
        <w:rPr>
          <w:rFonts w:ascii="Times New Roman" w:hAnsi="Times New Roman" w:cs="Times New Roman"/>
          <w:b/>
          <w:bCs/>
          <w:sz w:val="24"/>
          <w:szCs w:val="24"/>
          <w:lang w:val="en-US"/>
        </w:rPr>
      </w:pPr>
    </w:p>
    <w:p w14:paraId="2D801C6B" w14:textId="40F4E919" w:rsidR="00432B03" w:rsidRPr="00D33E21" w:rsidRDefault="00432B03" w:rsidP="009C2C84">
      <w:pPr>
        <w:spacing w:line="360" w:lineRule="auto"/>
        <w:rPr>
          <w:rFonts w:ascii="Times New Roman" w:hAnsi="Times New Roman" w:cs="Times New Roman"/>
          <w:sz w:val="24"/>
          <w:szCs w:val="24"/>
          <w:lang w:val="en-US"/>
        </w:rPr>
      </w:pPr>
    </w:p>
    <w:p w14:paraId="5466D1B4" w14:textId="5019F85E" w:rsidR="00E04AB7" w:rsidRPr="00D33E21" w:rsidRDefault="00E04AB7" w:rsidP="00FC65F6">
      <w:pPr>
        <w:keepNext/>
        <w:pageBreakBefore/>
        <w:spacing w:after="360" w:line="360" w:lineRule="auto"/>
        <w:jc w:val="both"/>
        <w:rPr>
          <w:rFonts w:ascii="Times New Roman" w:hAnsi="Times New Roman" w:cs="Times New Roman"/>
          <w:sz w:val="24"/>
          <w:szCs w:val="24"/>
          <w:lang w:val="en-GB"/>
        </w:rPr>
      </w:pPr>
    </w:p>
    <w:p w14:paraId="78F19D29" w14:textId="25FC533B" w:rsidR="005224FF" w:rsidRPr="00D33E21" w:rsidRDefault="005224FF" w:rsidP="009C2C84">
      <w:pPr>
        <w:spacing w:line="360" w:lineRule="auto"/>
        <w:rPr>
          <w:rFonts w:ascii="Times New Roman" w:hAnsi="Times New Roman" w:cs="Times New Roman"/>
          <w:b/>
          <w:bCs/>
          <w:sz w:val="24"/>
          <w:szCs w:val="24"/>
          <w:lang w:val="en-GB"/>
        </w:rPr>
      </w:pPr>
      <w:r w:rsidRPr="00D33E21">
        <w:rPr>
          <w:rFonts w:ascii="Times New Roman" w:hAnsi="Times New Roman" w:cs="Times New Roman"/>
          <w:b/>
          <w:bCs/>
          <w:sz w:val="24"/>
          <w:szCs w:val="24"/>
          <w:lang w:val="en-GB"/>
        </w:rPr>
        <w:t>1.</w:t>
      </w:r>
      <w:r w:rsidR="00696B1D" w:rsidRPr="00D33E21">
        <w:rPr>
          <w:rFonts w:ascii="Times New Roman" w:hAnsi="Times New Roman" w:cs="Times New Roman"/>
          <w:b/>
          <w:bCs/>
          <w:sz w:val="24"/>
          <w:szCs w:val="24"/>
          <w:lang w:val="en-GB"/>
        </w:rPr>
        <w:t>3</w:t>
      </w:r>
      <w:r w:rsidRPr="00D33E21">
        <w:rPr>
          <w:rFonts w:ascii="Times New Roman" w:hAnsi="Times New Roman" w:cs="Times New Roman"/>
          <w:b/>
          <w:bCs/>
          <w:sz w:val="24"/>
          <w:szCs w:val="24"/>
          <w:lang w:val="en-GB"/>
        </w:rPr>
        <w:t>. Risk of bias assessment.</w:t>
      </w:r>
    </w:p>
    <w:p w14:paraId="7F4AD911" w14:textId="26DAE3A5" w:rsidR="00E04AB7" w:rsidRPr="00D33E21" w:rsidRDefault="005224FF" w:rsidP="009C2C84">
      <w:pPr>
        <w:spacing w:line="360" w:lineRule="auto"/>
        <w:rPr>
          <w:rFonts w:ascii="Times New Roman" w:hAnsi="Times New Roman" w:cs="Times New Roman"/>
          <w:sz w:val="24"/>
          <w:szCs w:val="24"/>
          <w:lang w:val="en-GB"/>
        </w:rPr>
      </w:pPr>
      <w:r w:rsidRPr="00D33E21">
        <w:rPr>
          <w:rFonts w:ascii="Times New Roman" w:hAnsi="Times New Roman" w:cs="Times New Roman"/>
          <w:sz w:val="24"/>
          <w:szCs w:val="24"/>
          <w:lang w:val="en-GB"/>
        </w:rPr>
        <w:t>Table S</w:t>
      </w:r>
      <w:r w:rsidR="0065700D" w:rsidRPr="00D33E21">
        <w:rPr>
          <w:rFonts w:ascii="Times New Roman" w:hAnsi="Times New Roman" w:cs="Times New Roman"/>
          <w:sz w:val="24"/>
          <w:szCs w:val="24"/>
          <w:lang w:val="en-GB"/>
        </w:rPr>
        <w:t>T3</w:t>
      </w:r>
      <w:r w:rsidRPr="00D33E21">
        <w:rPr>
          <w:rFonts w:ascii="Times New Roman" w:hAnsi="Times New Roman" w:cs="Times New Roman"/>
          <w:sz w:val="24"/>
          <w:szCs w:val="24"/>
          <w:lang w:val="en-GB"/>
        </w:rPr>
        <w:t xml:space="preserve">. Risk of bias of </w:t>
      </w:r>
      <w:r w:rsidR="00E236D9" w:rsidRPr="00D33E21">
        <w:rPr>
          <w:rFonts w:ascii="Times New Roman" w:hAnsi="Times New Roman" w:cs="Times New Roman"/>
          <w:sz w:val="24"/>
          <w:szCs w:val="24"/>
          <w:lang w:val="en-GB"/>
        </w:rPr>
        <w:t xml:space="preserve">non-randomised trials (ROBINS-I), part I. </w:t>
      </w:r>
    </w:p>
    <w:tbl>
      <w:tblPr>
        <w:tblStyle w:val="TableGrid"/>
        <w:tblpPr w:leftFromText="180" w:rightFromText="180" w:vertAnchor="text" w:horzAnchor="margin" w:tblpY="300"/>
        <w:tblOverlap w:val="never"/>
        <w:tblW w:w="9857" w:type="dxa"/>
        <w:tblLayout w:type="fixed"/>
        <w:tblLook w:val="04A0" w:firstRow="1" w:lastRow="0" w:firstColumn="1" w:lastColumn="0" w:noHBand="0" w:noVBand="1"/>
      </w:tblPr>
      <w:tblGrid>
        <w:gridCol w:w="2052"/>
        <w:gridCol w:w="1924"/>
        <w:gridCol w:w="1778"/>
        <w:gridCol w:w="2161"/>
        <w:gridCol w:w="1942"/>
      </w:tblGrid>
      <w:tr w:rsidR="00D33E21" w:rsidRPr="00D33E21" w14:paraId="31ACE00F" w14:textId="77777777" w:rsidTr="00A27AC6">
        <w:trPr>
          <w:trHeight w:val="902"/>
        </w:trPr>
        <w:tc>
          <w:tcPr>
            <w:tcW w:w="2052" w:type="dxa"/>
          </w:tcPr>
          <w:p w14:paraId="191AC217" w14:textId="77777777" w:rsidR="00A27AC6" w:rsidRPr="00D33E21" w:rsidRDefault="00A27AC6" w:rsidP="00A27AC6">
            <w:pP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Study</w:t>
            </w:r>
          </w:p>
        </w:tc>
        <w:tc>
          <w:tcPr>
            <w:tcW w:w="1924" w:type="dxa"/>
          </w:tcPr>
          <w:p w14:paraId="32949EB5"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Confounding</w:t>
            </w:r>
          </w:p>
        </w:tc>
        <w:tc>
          <w:tcPr>
            <w:tcW w:w="1778" w:type="dxa"/>
          </w:tcPr>
          <w:p w14:paraId="0A9961FF"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Participant selection</w:t>
            </w:r>
          </w:p>
        </w:tc>
        <w:tc>
          <w:tcPr>
            <w:tcW w:w="2161" w:type="dxa"/>
          </w:tcPr>
          <w:p w14:paraId="395117C1"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Classification of interventions</w:t>
            </w:r>
          </w:p>
        </w:tc>
        <w:tc>
          <w:tcPr>
            <w:tcW w:w="1942" w:type="dxa"/>
          </w:tcPr>
          <w:p w14:paraId="77090FB7"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Deviation from interventions</w:t>
            </w:r>
          </w:p>
        </w:tc>
      </w:tr>
      <w:tr w:rsidR="00D33E21" w:rsidRPr="00D33E21" w14:paraId="0D86A279" w14:textId="77777777" w:rsidTr="00A27AC6">
        <w:trPr>
          <w:trHeight w:val="356"/>
        </w:trPr>
        <w:tc>
          <w:tcPr>
            <w:tcW w:w="2052" w:type="dxa"/>
          </w:tcPr>
          <w:p w14:paraId="501C6D99"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Barba et al., </w:t>
            </w:r>
          </w:p>
          <w:p w14:paraId="6DA571BA"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2018</w:t>
            </w:r>
          </w:p>
        </w:tc>
        <w:tc>
          <w:tcPr>
            <w:tcW w:w="1924" w:type="dxa"/>
            <w:shd w:val="clear" w:color="auto" w:fill="A8D08D" w:themeFill="accent6" w:themeFillTint="99"/>
          </w:tcPr>
          <w:p w14:paraId="7F08E307"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12FA8A7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309FBC7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7B0F1AD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70CA397B" w14:textId="77777777" w:rsidTr="00A27AC6">
        <w:trPr>
          <w:trHeight w:val="356"/>
        </w:trPr>
        <w:tc>
          <w:tcPr>
            <w:tcW w:w="2052" w:type="dxa"/>
          </w:tcPr>
          <w:p w14:paraId="0113BE1F"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Chirico et al., 2019</w:t>
            </w:r>
          </w:p>
        </w:tc>
        <w:tc>
          <w:tcPr>
            <w:tcW w:w="1924" w:type="dxa"/>
            <w:shd w:val="clear" w:color="auto" w:fill="F4B083" w:themeFill="accent2" w:themeFillTint="99"/>
          </w:tcPr>
          <w:p w14:paraId="6D716DA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FFD966" w:themeFill="accent4" w:themeFillTint="99"/>
          </w:tcPr>
          <w:p w14:paraId="33885099"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0F88D42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0F3EA19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3F4D1FF9" w14:textId="77777777" w:rsidTr="00A27AC6">
        <w:trPr>
          <w:trHeight w:val="356"/>
        </w:trPr>
        <w:tc>
          <w:tcPr>
            <w:tcW w:w="2052" w:type="dxa"/>
          </w:tcPr>
          <w:p w14:paraId="190C07CA"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De </w:t>
            </w:r>
            <w:proofErr w:type="spellStart"/>
            <w:r w:rsidRPr="00D33E21">
              <w:rPr>
                <w:rFonts w:ascii="Times New Roman" w:eastAsia="Times New Roman" w:hAnsi="Times New Roman" w:cs="Times New Roman"/>
                <w:sz w:val="24"/>
                <w:szCs w:val="24"/>
                <w:lang w:val="en-US" w:eastAsia="en-NL"/>
              </w:rPr>
              <w:t>Kort</w:t>
            </w:r>
            <w:proofErr w:type="spellEnd"/>
            <w:r w:rsidRPr="00D33E21">
              <w:rPr>
                <w:rFonts w:ascii="Times New Roman" w:eastAsia="Times New Roman" w:hAnsi="Times New Roman" w:cs="Times New Roman"/>
                <w:sz w:val="24"/>
                <w:szCs w:val="24"/>
                <w:lang w:val="en-US" w:eastAsia="en-NL"/>
              </w:rPr>
              <w:t xml:space="preserve"> et al., </w:t>
            </w:r>
          </w:p>
          <w:p w14:paraId="7D939DA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2010</w:t>
            </w:r>
          </w:p>
        </w:tc>
        <w:tc>
          <w:tcPr>
            <w:tcW w:w="1924" w:type="dxa"/>
            <w:shd w:val="clear" w:color="auto" w:fill="F4B083" w:themeFill="accent2" w:themeFillTint="99"/>
          </w:tcPr>
          <w:p w14:paraId="2313341C"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32C2CB2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75F8346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4DFEB40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539332F8" w14:textId="77777777" w:rsidTr="00A27AC6">
        <w:trPr>
          <w:trHeight w:val="177"/>
        </w:trPr>
        <w:tc>
          <w:tcPr>
            <w:tcW w:w="2052" w:type="dxa"/>
          </w:tcPr>
          <w:p w14:paraId="0CD06C7A"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Denk et al., </w:t>
            </w:r>
          </w:p>
          <w:p w14:paraId="32DE2FB4"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2015</w:t>
            </w:r>
          </w:p>
        </w:tc>
        <w:tc>
          <w:tcPr>
            <w:tcW w:w="1924" w:type="dxa"/>
            <w:shd w:val="clear" w:color="auto" w:fill="F4B083" w:themeFill="accent2" w:themeFillTint="99"/>
          </w:tcPr>
          <w:p w14:paraId="10D8ECC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6CFF4BD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190DDCB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43D8146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5C56C5EF" w14:textId="77777777" w:rsidTr="00A27AC6">
        <w:trPr>
          <w:trHeight w:val="177"/>
        </w:trPr>
        <w:tc>
          <w:tcPr>
            <w:tcW w:w="2052" w:type="dxa"/>
          </w:tcPr>
          <w:p w14:paraId="51172A7C"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Falkenberg et al., 2019</w:t>
            </w:r>
          </w:p>
        </w:tc>
        <w:tc>
          <w:tcPr>
            <w:tcW w:w="1924" w:type="dxa"/>
            <w:shd w:val="clear" w:color="auto" w:fill="F4B083" w:themeFill="accent2" w:themeFillTint="99"/>
          </w:tcPr>
          <w:p w14:paraId="00C5C17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3D9B098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FFD966" w:themeFill="accent4" w:themeFillTint="99"/>
          </w:tcPr>
          <w:p w14:paraId="7FCA6FF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1435505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2F9A6D60" w14:textId="77777777" w:rsidTr="00A27AC6">
        <w:trPr>
          <w:trHeight w:val="177"/>
        </w:trPr>
        <w:tc>
          <w:tcPr>
            <w:tcW w:w="2052" w:type="dxa"/>
          </w:tcPr>
          <w:p w14:paraId="07F4367F"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Harrison et al., </w:t>
            </w:r>
          </w:p>
          <w:p w14:paraId="3EDB635B"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2020</w:t>
            </w:r>
          </w:p>
        </w:tc>
        <w:tc>
          <w:tcPr>
            <w:tcW w:w="1924" w:type="dxa"/>
            <w:shd w:val="clear" w:color="auto" w:fill="F4B083" w:themeFill="accent2" w:themeFillTint="99"/>
          </w:tcPr>
          <w:p w14:paraId="017F5CE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0E1B97E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53A05E07"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4A440C5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12B4A19F" w14:textId="77777777" w:rsidTr="00A27AC6">
        <w:trPr>
          <w:trHeight w:val="167"/>
        </w:trPr>
        <w:tc>
          <w:tcPr>
            <w:tcW w:w="2052" w:type="dxa"/>
          </w:tcPr>
          <w:p w14:paraId="5262DACF"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Madsen et al., </w:t>
            </w:r>
          </w:p>
          <w:p w14:paraId="3571165C"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2021</w:t>
            </w:r>
          </w:p>
        </w:tc>
        <w:tc>
          <w:tcPr>
            <w:tcW w:w="1924" w:type="dxa"/>
            <w:shd w:val="clear" w:color="auto" w:fill="F4B083" w:themeFill="accent2" w:themeFillTint="99"/>
          </w:tcPr>
          <w:p w14:paraId="4E73951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432CADF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241A9F32"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2C59F91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3F74F5A3" w14:textId="77777777" w:rsidTr="00A27AC6">
        <w:trPr>
          <w:trHeight w:val="177"/>
        </w:trPr>
        <w:tc>
          <w:tcPr>
            <w:tcW w:w="2052" w:type="dxa"/>
          </w:tcPr>
          <w:p w14:paraId="36A91D3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Mills et al., </w:t>
            </w:r>
          </w:p>
          <w:p w14:paraId="10D19EC5"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2007</w:t>
            </w:r>
          </w:p>
        </w:tc>
        <w:tc>
          <w:tcPr>
            <w:tcW w:w="1924" w:type="dxa"/>
            <w:shd w:val="clear" w:color="auto" w:fill="F4B083" w:themeFill="accent2" w:themeFillTint="99"/>
          </w:tcPr>
          <w:p w14:paraId="54C4A75C"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17554C5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3E5D756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226CB55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4CC7436F" w14:textId="77777777" w:rsidTr="00A27AC6">
        <w:trPr>
          <w:trHeight w:val="177"/>
        </w:trPr>
        <w:tc>
          <w:tcPr>
            <w:tcW w:w="2052" w:type="dxa"/>
          </w:tcPr>
          <w:p w14:paraId="050048CF"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Najjar et al., </w:t>
            </w:r>
          </w:p>
          <w:p w14:paraId="76F5D176"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2014</w:t>
            </w:r>
          </w:p>
        </w:tc>
        <w:tc>
          <w:tcPr>
            <w:tcW w:w="1924" w:type="dxa"/>
            <w:shd w:val="clear" w:color="auto" w:fill="F4B083" w:themeFill="accent2" w:themeFillTint="99"/>
          </w:tcPr>
          <w:p w14:paraId="4F7198C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53FEB5F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6D980DB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7D51F8EB"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77816413" w14:textId="77777777" w:rsidTr="00A27AC6">
        <w:trPr>
          <w:trHeight w:val="177"/>
        </w:trPr>
        <w:tc>
          <w:tcPr>
            <w:tcW w:w="2052" w:type="dxa"/>
          </w:tcPr>
          <w:p w14:paraId="1372E11A"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Rastad et al., </w:t>
            </w:r>
          </w:p>
          <w:p w14:paraId="39326BE0"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2011</w:t>
            </w:r>
          </w:p>
        </w:tc>
        <w:tc>
          <w:tcPr>
            <w:tcW w:w="1924" w:type="dxa"/>
            <w:shd w:val="clear" w:color="auto" w:fill="A8D08D" w:themeFill="accent6" w:themeFillTint="99"/>
          </w:tcPr>
          <w:p w14:paraId="5E614A8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55747122"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6F25149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7C94E77B"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39796EB2" w14:textId="77777777" w:rsidTr="00A27AC6">
        <w:trPr>
          <w:trHeight w:val="177"/>
        </w:trPr>
        <w:tc>
          <w:tcPr>
            <w:tcW w:w="2052" w:type="dxa"/>
          </w:tcPr>
          <w:p w14:paraId="39E919A0"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Smolders et al., 2012</w:t>
            </w:r>
          </w:p>
        </w:tc>
        <w:tc>
          <w:tcPr>
            <w:tcW w:w="1924" w:type="dxa"/>
            <w:shd w:val="clear" w:color="auto" w:fill="F4B083" w:themeFill="accent2" w:themeFillTint="99"/>
          </w:tcPr>
          <w:p w14:paraId="3E88D82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22DA3A6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28FE2A4D"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39A9930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3C626B3B" w14:textId="77777777" w:rsidTr="00A27AC6">
        <w:trPr>
          <w:trHeight w:val="177"/>
        </w:trPr>
        <w:tc>
          <w:tcPr>
            <w:tcW w:w="2052" w:type="dxa"/>
          </w:tcPr>
          <w:p w14:paraId="02987AA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Smolders et al.,</w:t>
            </w:r>
          </w:p>
          <w:p w14:paraId="2EA555C5"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2014</w:t>
            </w:r>
          </w:p>
        </w:tc>
        <w:tc>
          <w:tcPr>
            <w:tcW w:w="1924" w:type="dxa"/>
            <w:shd w:val="clear" w:color="auto" w:fill="F4B083" w:themeFill="accent2" w:themeFillTint="99"/>
          </w:tcPr>
          <w:p w14:paraId="17D833E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5C4BB40D"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5F474B1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4D18683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20DD0B07" w14:textId="77777777" w:rsidTr="00A27AC6">
        <w:trPr>
          <w:trHeight w:val="177"/>
        </w:trPr>
        <w:tc>
          <w:tcPr>
            <w:tcW w:w="2052" w:type="dxa"/>
          </w:tcPr>
          <w:p w14:paraId="26B8963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Stemer et al., </w:t>
            </w:r>
          </w:p>
          <w:p w14:paraId="1266B4E3"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2015</w:t>
            </w:r>
          </w:p>
        </w:tc>
        <w:tc>
          <w:tcPr>
            <w:tcW w:w="1924" w:type="dxa"/>
            <w:shd w:val="clear" w:color="auto" w:fill="FFD966" w:themeFill="accent4" w:themeFillTint="99"/>
          </w:tcPr>
          <w:p w14:paraId="09362F3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7EBD7CFB"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4670B7F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6D4F939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4B84DEA0" w14:textId="77777777" w:rsidTr="00A27AC6">
        <w:trPr>
          <w:trHeight w:val="177"/>
        </w:trPr>
        <w:tc>
          <w:tcPr>
            <w:tcW w:w="2052" w:type="dxa"/>
          </w:tcPr>
          <w:p w14:paraId="5AFCCE0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Turco et al., </w:t>
            </w:r>
          </w:p>
          <w:p w14:paraId="2F77DAA0"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2018</w:t>
            </w:r>
          </w:p>
        </w:tc>
        <w:tc>
          <w:tcPr>
            <w:tcW w:w="1924" w:type="dxa"/>
            <w:shd w:val="clear" w:color="auto" w:fill="FFD966" w:themeFill="accent4" w:themeFillTint="99"/>
          </w:tcPr>
          <w:p w14:paraId="240AF2E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5316874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224F869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5FEABDEC"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48A506F2" w14:textId="77777777" w:rsidTr="00A27AC6">
        <w:trPr>
          <w:trHeight w:val="177"/>
        </w:trPr>
        <w:tc>
          <w:tcPr>
            <w:tcW w:w="2052" w:type="dxa"/>
          </w:tcPr>
          <w:p w14:paraId="435D7C70"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West et al., </w:t>
            </w:r>
          </w:p>
          <w:p w14:paraId="747BA62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2019</w:t>
            </w:r>
          </w:p>
        </w:tc>
        <w:tc>
          <w:tcPr>
            <w:tcW w:w="1924" w:type="dxa"/>
            <w:shd w:val="clear" w:color="auto" w:fill="FFD966" w:themeFill="accent4" w:themeFillTint="99"/>
          </w:tcPr>
          <w:p w14:paraId="46A1513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778" w:type="dxa"/>
            <w:shd w:val="clear" w:color="auto" w:fill="A8D08D" w:themeFill="accent6" w:themeFillTint="99"/>
          </w:tcPr>
          <w:p w14:paraId="35B4EC4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161" w:type="dxa"/>
            <w:shd w:val="clear" w:color="auto" w:fill="A8D08D" w:themeFill="accent6" w:themeFillTint="99"/>
          </w:tcPr>
          <w:p w14:paraId="78D8C54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942" w:type="dxa"/>
            <w:shd w:val="clear" w:color="auto" w:fill="A8D08D" w:themeFill="accent6" w:themeFillTint="99"/>
          </w:tcPr>
          <w:p w14:paraId="2F14B65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bl>
    <w:p w14:paraId="04D7BD7C" w14:textId="77777777" w:rsidR="00A27AC6" w:rsidRPr="00D33E21" w:rsidRDefault="00A27AC6" w:rsidP="009C2C84">
      <w:pPr>
        <w:spacing w:line="360" w:lineRule="auto"/>
        <w:rPr>
          <w:rFonts w:ascii="Times New Roman" w:hAnsi="Times New Roman" w:cs="Times New Roman"/>
          <w:sz w:val="24"/>
          <w:szCs w:val="24"/>
          <w:lang w:val="en-GB"/>
        </w:rPr>
      </w:pPr>
    </w:p>
    <w:p w14:paraId="5B637DA2" w14:textId="38B4AB82" w:rsidR="00A25850" w:rsidRPr="00D33E21" w:rsidRDefault="00A25850" w:rsidP="009C2C84">
      <w:pPr>
        <w:spacing w:line="360" w:lineRule="auto"/>
        <w:rPr>
          <w:rFonts w:ascii="Times New Roman" w:hAnsi="Times New Roman" w:cs="Times New Roman"/>
          <w:sz w:val="24"/>
          <w:szCs w:val="24"/>
          <w:lang w:val="en-GB"/>
        </w:rPr>
      </w:pPr>
      <w:r w:rsidRPr="00D33E21">
        <w:rPr>
          <w:rFonts w:ascii="Times New Roman" w:hAnsi="Times New Roman" w:cs="Times New Roman"/>
          <w:i/>
          <w:iCs/>
          <w:sz w:val="24"/>
          <w:szCs w:val="24"/>
          <w:lang w:val="en-GB"/>
        </w:rPr>
        <w:t>Note</w:t>
      </w:r>
      <w:r w:rsidRPr="00D33E21">
        <w:rPr>
          <w:rFonts w:ascii="Times New Roman" w:hAnsi="Times New Roman" w:cs="Times New Roman"/>
          <w:sz w:val="24"/>
          <w:szCs w:val="24"/>
          <w:lang w:val="en-GB"/>
        </w:rPr>
        <w:t>. +: low risk of bias, ~: moderate risk of bias, -: serious risk of bias, --: critical risk of bias</w:t>
      </w:r>
      <w:r w:rsidR="00A27AC6" w:rsidRPr="00D33E21">
        <w:rPr>
          <w:rFonts w:ascii="Times New Roman" w:hAnsi="Times New Roman" w:cs="Times New Roman"/>
          <w:sz w:val="24"/>
          <w:szCs w:val="24"/>
          <w:lang w:val="en-GB"/>
        </w:rPr>
        <w:t>.</w:t>
      </w:r>
    </w:p>
    <w:p w14:paraId="1374CF8F" w14:textId="37821014" w:rsidR="00774893" w:rsidRPr="00D33E21" w:rsidRDefault="00774893" w:rsidP="00774893">
      <w:pPr>
        <w:keepNext/>
        <w:pageBreakBefore/>
        <w:spacing w:after="360" w:line="360" w:lineRule="auto"/>
        <w:jc w:val="both"/>
        <w:rPr>
          <w:rFonts w:ascii="Times New Roman" w:hAnsi="Times New Roman" w:cs="Times New Roman"/>
          <w:sz w:val="24"/>
          <w:szCs w:val="24"/>
          <w:lang w:val="en-GB"/>
        </w:rPr>
      </w:pPr>
      <w:r w:rsidRPr="00D33E21">
        <w:rPr>
          <w:rFonts w:ascii="Times New Roman" w:hAnsi="Times New Roman" w:cs="Times New Roman"/>
          <w:sz w:val="24"/>
          <w:szCs w:val="24"/>
          <w:lang w:val="en-GB"/>
        </w:rPr>
        <w:lastRenderedPageBreak/>
        <w:t>Table S</w:t>
      </w:r>
      <w:r w:rsidR="00DD2B10" w:rsidRPr="00D33E21">
        <w:rPr>
          <w:rFonts w:ascii="Times New Roman" w:hAnsi="Times New Roman" w:cs="Times New Roman"/>
          <w:sz w:val="24"/>
          <w:szCs w:val="24"/>
          <w:lang w:val="en-GB"/>
        </w:rPr>
        <w:t>T3</w:t>
      </w:r>
      <w:r w:rsidRPr="00D33E21">
        <w:rPr>
          <w:rFonts w:ascii="Times New Roman" w:hAnsi="Times New Roman" w:cs="Times New Roman"/>
          <w:sz w:val="24"/>
          <w:szCs w:val="24"/>
          <w:lang w:val="en-GB"/>
        </w:rPr>
        <w:t xml:space="preserve">. </w:t>
      </w:r>
      <w:r w:rsidR="00A27AC6" w:rsidRPr="00D33E21">
        <w:rPr>
          <w:rFonts w:ascii="Times New Roman" w:hAnsi="Times New Roman" w:cs="Times New Roman"/>
          <w:sz w:val="24"/>
          <w:szCs w:val="24"/>
          <w:lang w:val="en-GB"/>
        </w:rPr>
        <w:t>Risk of bias of non-randomised trials (ROBINS-I), p</w:t>
      </w:r>
      <w:r w:rsidRPr="00D33E21">
        <w:rPr>
          <w:rFonts w:ascii="Times New Roman" w:hAnsi="Times New Roman" w:cs="Times New Roman"/>
          <w:sz w:val="24"/>
          <w:szCs w:val="24"/>
          <w:lang w:val="en-GB"/>
        </w:rPr>
        <w:t xml:space="preserve">art II. </w:t>
      </w:r>
    </w:p>
    <w:tbl>
      <w:tblPr>
        <w:tblStyle w:val="TableGrid"/>
        <w:tblpPr w:leftFromText="180" w:rightFromText="180" w:vertAnchor="text" w:horzAnchor="margin" w:tblpY="20"/>
        <w:tblW w:w="9952" w:type="dxa"/>
        <w:tblLayout w:type="fixed"/>
        <w:tblLook w:val="04A0" w:firstRow="1" w:lastRow="0" w:firstColumn="1" w:lastColumn="0" w:noHBand="0" w:noVBand="1"/>
      </w:tblPr>
      <w:tblGrid>
        <w:gridCol w:w="2256"/>
        <w:gridCol w:w="1554"/>
        <w:gridCol w:w="2354"/>
        <w:gridCol w:w="1894"/>
        <w:gridCol w:w="1894"/>
      </w:tblGrid>
      <w:tr w:rsidR="00D33E21" w:rsidRPr="00D33E21" w14:paraId="7BD0C480" w14:textId="77777777" w:rsidTr="00A27AC6">
        <w:trPr>
          <w:trHeight w:val="1020"/>
        </w:trPr>
        <w:tc>
          <w:tcPr>
            <w:tcW w:w="2256" w:type="dxa"/>
          </w:tcPr>
          <w:p w14:paraId="0D53CC77" w14:textId="77777777" w:rsidR="00A27AC6" w:rsidRPr="00D33E21" w:rsidRDefault="00A27AC6" w:rsidP="00A27AC6">
            <w:pP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Study</w:t>
            </w:r>
          </w:p>
        </w:tc>
        <w:tc>
          <w:tcPr>
            <w:tcW w:w="1554" w:type="dxa"/>
          </w:tcPr>
          <w:p w14:paraId="62D7BB2F"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Missing data</w:t>
            </w:r>
          </w:p>
        </w:tc>
        <w:tc>
          <w:tcPr>
            <w:tcW w:w="2354" w:type="dxa"/>
          </w:tcPr>
          <w:p w14:paraId="0934DEA2"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Measurement of outcomes</w:t>
            </w:r>
          </w:p>
        </w:tc>
        <w:tc>
          <w:tcPr>
            <w:tcW w:w="1894" w:type="dxa"/>
          </w:tcPr>
          <w:p w14:paraId="4C4D9730"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Selection of reported results</w:t>
            </w:r>
          </w:p>
        </w:tc>
        <w:tc>
          <w:tcPr>
            <w:tcW w:w="1894" w:type="dxa"/>
          </w:tcPr>
          <w:p w14:paraId="57ADD7F7"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Overall</w:t>
            </w:r>
          </w:p>
          <w:p w14:paraId="4342FC2B" w14:textId="77777777" w:rsidR="00A27AC6" w:rsidRPr="00D33E21" w:rsidRDefault="00A27AC6" w:rsidP="00A27AC6">
            <w:pPr>
              <w:jc w:val="center"/>
              <w:rPr>
                <w:rFonts w:ascii="Times New Roman" w:eastAsia="Times New Roman" w:hAnsi="Times New Roman" w:cs="Times New Roman"/>
                <w:b/>
                <w:bCs/>
                <w:sz w:val="24"/>
                <w:szCs w:val="24"/>
                <w:lang w:val="en-US" w:eastAsia="en-NL"/>
              </w:rPr>
            </w:pPr>
            <w:r w:rsidRPr="00D33E21">
              <w:rPr>
                <w:rFonts w:ascii="Times New Roman" w:eastAsia="Times New Roman" w:hAnsi="Times New Roman" w:cs="Times New Roman"/>
                <w:b/>
                <w:bCs/>
                <w:sz w:val="24"/>
                <w:szCs w:val="24"/>
                <w:lang w:val="en-US" w:eastAsia="en-NL"/>
              </w:rPr>
              <w:t>risk</w:t>
            </w:r>
          </w:p>
        </w:tc>
      </w:tr>
      <w:tr w:rsidR="00D33E21" w:rsidRPr="00D33E21" w14:paraId="2F77A173" w14:textId="77777777" w:rsidTr="00A27AC6">
        <w:trPr>
          <w:trHeight w:val="403"/>
        </w:trPr>
        <w:tc>
          <w:tcPr>
            <w:tcW w:w="2256" w:type="dxa"/>
          </w:tcPr>
          <w:p w14:paraId="130F5C43"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Barba et al., </w:t>
            </w:r>
          </w:p>
          <w:p w14:paraId="4F53304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2018</w:t>
            </w:r>
          </w:p>
        </w:tc>
        <w:tc>
          <w:tcPr>
            <w:tcW w:w="1554" w:type="dxa"/>
            <w:shd w:val="clear" w:color="auto" w:fill="A8D08D" w:themeFill="accent6" w:themeFillTint="99"/>
          </w:tcPr>
          <w:p w14:paraId="456F3D7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5796419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3A5E461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4DB4E30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484B88DE" w14:textId="77777777" w:rsidTr="00A27AC6">
        <w:trPr>
          <w:trHeight w:val="403"/>
        </w:trPr>
        <w:tc>
          <w:tcPr>
            <w:tcW w:w="2256" w:type="dxa"/>
          </w:tcPr>
          <w:p w14:paraId="1B797AF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Chirico et al.,</w:t>
            </w:r>
          </w:p>
          <w:p w14:paraId="1E6E31F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2019</w:t>
            </w:r>
          </w:p>
        </w:tc>
        <w:tc>
          <w:tcPr>
            <w:tcW w:w="1554" w:type="dxa"/>
            <w:shd w:val="clear" w:color="auto" w:fill="A8D08D" w:themeFill="accent6" w:themeFillTint="99"/>
          </w:tcPr>
          <w:p w14:paraId="047E9B7C"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081F889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3CC8BB17"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7BBE22D7"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722732BA" w14:textId="77777777" w:rsidTr="00A27AC6">
        <w:trPr>
          <w:trHeight w:val="403"/>
        </w:trPr>
        <w:tc>
          <w:tcPr>
            <w:tcW w:w="2256" w:type="dxa"/>
          </w:tcPr>
          <w:p w14:paraId="14CE82BE"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De </w:t>
            </w:r>
            <w:proofErr w:type="spellStart"/>
            <w:r w:rsidRPr="00D33E21">
              <w:rPr>
                <w:rFonts w:ascii="Times New Roman" w:eastAsia="Times New Roman" w:hAnsi="Times New Roman" w:cs="Times New Roman"/>
                <w:sz w:val="24"/>
                <w:szCs w:val="24"/>
                <w:lang w:val="en-US" w:eastAsia="en-NL"/>
              </w:rPr>
              <w:t>Kort</w:t>
            </w:r>
            <w:proofErr w:type="spellEnd"/>
            <w:r w:rsidRPr="00D33E21">
              <w:rPr>
                <w:rFonts w:ascii="Times New Roman" w:eastAsia="Times New Roman" w:hAnsi="Times New Roman" w:cs="Times New Roman"/>
                <w:sz w:val="24"/>
                <w:szCs w:val="24"/>
                <w:lang w:val="en-US" w:eastAsia="en-NL"/>
              </w:rPr>
              <w:t xml:space="preserve"> et al., </w:t>
            </w:r>
          </w:p>
          <w:p w14:paraId="517A818C"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2010</w:t>
            </w:r>
          </w:p>
        </w:tc>
        <w:tc>
          <w:tcPr>
            <w:tcW w:w="1554" w:type="dxa"/>
            <w:shd w:val="clear" w:color="auto" w:fill="A8D08D" w:themeFill="accent6" w:themeFillTint="99"/>
          </w:tcPr>
          <w:p w14:paraId="63C8BF7C"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2766D9E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2FC2554D"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4D4F316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645AFD4D" w14:textId="77777777" w:rsidTr="00A27AC6">
        <w:trPr>
          <w:trHeight w:val="201"/>
        </w:trPr>
        <w:tc>
          <w:tcPr>
            <w:tcW w:w="2256" w:type="dxa"/>
          </w:tcPr>
          <w:p w14:paraId="64D2028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Denk et al., </w:t>
            </w:r>
          </w:p>
          <w:p w14:paraId="67B6EF4B"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2015</w:t>
            </w:r>
          </w:p>
        </w:tc>
        <w:tc>
          <w:tcPr>
            <w:tcW w:w="1554" w:type="dxa"/>
            <w:shd w:val="clear" w:color="auto" w:fill="A8D08D" w:themeFill="accent6" w:themeFillTint="99"/>
          </w:tcPr>
          <w:p w14:paraId="700707A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58BE8C9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A8D08D" w:themeFill="accent6" w:themeFillTint="99"/>
          </w:tcPr>
          <w:p w14:paraId="2123F909"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7C159DFD"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73B9ADFD" w14:textId="77777777" w:rsidTr="00A27AC6">
        <w:trPr>
          <w:trHeight w:val="201"/>
        </w:trPr>
        <w:tc>
          <w:tcPr>
            <w:tcW w:w="2256" w:type="dxa"/>
          </w:tcPr>
          <w:p w14:paraId="11B45FB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Falkenberg et al., 2019</w:t>
            </w:r>
          </w:p>
        </w:tc>
        <w:tc>
          <w:tcPr>
            <w:tcW w:w="1554" w:type="dxa"/>
            <w:shd w:val="clear" w:color="auto" w:fill="A8D08D" w:themeFill="accent6" w:themeFillTint="99"/>
          </w:tcPr>
          <w:p w14:paraId="4FC7F8A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459AA8A2"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59442EC2"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27C2B58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0ADC4085" w14:textId="77777777" w:rsidTr="00A27AC6">
        <w:trPr>
          <w:trHeight w:val="201"/>
        </w:trPr>
        <w:tc>
          <w:tcPr>
            <w:tcW w:w="2256" w:type="dxa"/>
          </w:tcPr>
          <w:p w14:paraId="3554AF7B"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Harrison et al., </w:t>
            </w:r>
          </w:p>
          <w:p w14:paraId="0CDCE32B"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2020</w:t>
            </w:r>
          </w:p>
        </w:tc>
        <w:tc>
          <w:tcPr>
            <w:tcW w:w="1554" w:type="dxa"/>
            <w:shd w:val="clear" w:color="auto" w:fill="A8D08D" w:themeFill="accent6" w:themeFillTint="99"/>
          </w:tcPr>
          <w:p w14:paraId="1103A82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545707EE"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29D829E7"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64CC40BB"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668F120B" w14:textId="77777777" w:rsidTr="00A27AC6">
        <w:trPr>
          <w:trHeight w:val="190"/>
        </w:trPr>
        <w:tc>
          <w:tcPr>
            <w:tcW w:w="2256" w:type="dxa"/>
          </w:tcPr>
          <w:p w14:paraId="3EA3E816"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Madsen et al., </w:t>
            </w:r>
          </w:p>
          <w:p w14:paraId="310B6F8E"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2021</w:t>
            </w:r>
          </w:p>
        </w:tc>
        <w:tc>
          <w:tcPr>
            <w:tcW w:w="1554" w:type="dxa"/>
            <w:shd w:val="clear" w:color="auto" w:fill="FFD966" w:themeFill="accent4" w:themeFillTint="99"/>
          </w:tcPr>
          <w:p w14:paraId="1EC3731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4B228D99"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079EFD6D"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796D061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1162768D" w14:textId="77777777" w:rsidTr="00A27AC6">
        <w:trPr>
          <w:trHeight w:val="201"/>
        </w:trPr>
        <w:tc>
          <w:tcPr>
            <w:tcW w:w="2256" w:type="dxa"/>
          </w:tcPr>
          <w:p w14:paraId="19B415AD"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Mills et al., </w:t>
            </w:r>
          </w:p>
          <w:p w14:paraId="2CB053FB"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2007</w:t>
            </w:r>
          </w:p>
        </w:tc>
        <w:tc>
          <w:tcPr>
            <w:tcW w:w="1554" w:type="dxa"/>
            <w:shd w:val="clear" w:color="auto" w:fill="A8D08D" w:themeFill="accent6" w:themeFillTint="99"/>
          </w:tcPr>
          <w:p w14:paraId="03929EA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2ADC1CD2"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A8D08D" w:themeFill="accent6" w:themeFillTint="99"/>
          </w:tcPr>
          <w:p w14:paraId="594A5CB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14D3835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669E46C1" w14:textId="77777777" w:rsidTr="00A27AC6">
        <w:trPr>
          <w:trHeight w:val="201"/>
        </w:trPr>
        <w:tc>
          <w:tcPr>
            <w:tcW w:w="2256" w:type="dxa"/>
          </w:tcPr>
          <w:p w14:paraId="096ABFD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Najjar et al., </w:t>
            </w:r>
          </w:p>
          <w:p w14:paraId="5F4D581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2014</w:t>
            </w:r>
          </w:p>
        </w:tc>
        <w:tc>
          <w:tcPr>
            <w:tcW w:w="1554" w:type="dxa"/>
            <w:shd w:val="clear" w:color="auto" w:fill="A8D08D" w:themeFill="accent6" w:themeFillTint="99"/>
          </w:tcPr>
          <w:p w14:paraId="35386549"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4F92649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3E297169"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56F0955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007685B5" w14:textId="77777777" w:rsidTr="00A27AC6">
        <w:trPr>
          <w:trHeight w:val="201"/>
        </w:trPr>
        <w:tc>
          <w:tcPr>
            <w:tcW w:w="2256" w:type="dxa"/>
          </w:tcPr>
          <w:p w14:paraId="610D48A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Rastad et al., </w:t>
            </w:r>
          </w:p>
          <w:p w14:paraId="55A8459E"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2011</w:t>
            </w:r>
          </w:p>
        </w:tc>
        <w:tc>
          <w:tcPr>
            <w:tcW w:w="1554" w:type="dxa"/>
            <w:shd w:val="clear" w:color="auto" w:fill="A8D08D" w:themeFill="accent6" w:themeFillTint="99"/>
          </w:tcPr>
          <w:p w14:paraId="3383A547"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5C68575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A8D08D" w:themeFill="accent6" w:themeFillTint="99"/>
          </w:tcPr>
          <w:p w14:paraId="29EB16B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3AD46013"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3CB85808" w14:textId="77777777" w:rsidTr="00A27AC6">
        <w:trPr>
          <w:trHeight w:val="201"/>
        </w:trPr>
        <w:tc>
          <w:tcPr>
            <w:tcW w:w="2256" w:type="dxa"/>
          </w:tcPr>
          <w:p w14:paraId="5DF42B3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Smolders et al., </w:t>
            </w:r>
          </w:p>
          <w:p w14:paraId="7B2A1113"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2012</w:t>
            </w:r>
          </w:p>
        </w:tc>
        <w:tc>
          <w:tcPr>
            <w:tcW w:w="1554" w:type="dxa"/>
            <w:shd w:val="clear" w:color="auto" w:fill="A8D08D" w:themeFill="accent6" w:themeFillTint="99"/>
          </w:tcPr>
          <w:p w14:paraId="17DE117F"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3D51F7E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0CA0065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721F7AD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5B77F7AF" w14:textId="77777777" w:rsidTr="00A27AC6">
        <w:trPr>
          <w:trHeight w:val="201"/>
        </w:trPr>
        <w:tc>
          <w:tcPr>
            <w:tcW w:w="2256" w:type="dxa"/>
          </w:tcPr>
          <w:p w14:paraId="07160127"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Smolders et al.,</w:t>
            </w:r>
          </w:p>
          <w:p w14:paraId="7236EB43"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2014</w:t>
            </w:r>
          </w:p>
        </w:tc>
        <w:tc>
          <w:tcPr>
            <w:tcW w:w="1554" w:type="dxa"/>
            <w:shd w:val="clear" w:color="auto" w:fill="A8D08D" w:themeFill="accent6" w:themeFillTint="99"/>
          </w:tcPr>
          <w:p w14:paraId="3FEC6F1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6C6E81AC"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667185C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2C267C36" w14:textId="77777777" w:rsidR="00A27AC6" w:rsidRPr="00D33E21" w:rsidRDefault="00A27AC6" w:rsidP="00A27AC6">
            <w:pPr>
              <w:jc w:val="center"/>
              <w:rPr>
                <w:rFonts w:ascii="Times New Roman" w:eastAsia="Times New Roman" w:hAnsi="Times New Roman" w:cs="Times New Roman"/>
                <w:sz w:val="24"/>
                <w:szCs w:val="24"/>
                <w:highlight w:val="yellow"/>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491A1FDE" w14:textId="77777777" w:rsidTr="00A27AC6">
        <w:trPr>
          <w:trHeight w:val="201"/>
        </w:trPr>
        <w:tc>
          <w:tcPr>
            <w:tcW w:w="2256" w:type="dxa"/>
          </w:tcPr>
          <w:p w14:paraId="2465ED23"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Stemer et al., </w:t>
            </w:r>
          </w:p>
          <w:p w14:paraId="75471527"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2015</w:t>
            </w:r>
          </w:p>
        </w:tc>
        <w:tc>
          <w:tcPr>
            <w:tcW w:w="1554" w:type="dxa"/>
            <w:shd w:val="clear" w:color="auto" w:fill="A8D08D" w:themeFill="accent6" w:themeFillTint="99"/>
          </w:tcPr>
          <w:p w14:paraId="4303774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770386E0"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5D5A466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6B4B76D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1F0DC711" w14:textId="77777777" w:rsidTr="00A27AC6">
        <w:trPr>
          <w:trHeight w:val="201"/>
        </w:trPr>
        <w:tc>
          <w:tcPr>
            <w:tcW w:w="2256" w:type="dxa"/>
          </w:tcPr>
          <w:p w14:paraId="0A456FE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Turco et al., </w:t>
            </w:r>
          </w:p>
          <w:p w14:paraId="24E1B141"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2018</w:t>
            </w:r>
          </w:p>
        </w:tc>
        <w:tc>
          <w:tcPr>
            <w:tcW w:w="1554" w:type="dxa"/>
            <w:shd w:val="clear" w:color="auto" w:fill="A8D08D" w:themeFill="accent6" w:themeFillTint="99"/>
          </w:tcPr>
          <w:p w14:paraId="0159CC0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FD966" w:themeFill="accent4" w:themeFillTint="99"/>
          </w:tcPr>
          <w:p w14:paraId="6CF4F1F8"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0BF3B79A"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1FD73B61"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r w:rsidR="00D33E21" w:rsidRPr="00D33E21" w14:paraId="37B4CC05" w14:textId="77777777" w:rsidTr="00A27AC6">
        <w:trPr>
          <w:trHeight w:val="201"/>
        </w:trPr>
        <w:tc>
          <w:tcPr>
            <w:tcW w:w="2256" w:type="dxa"/>
          </w:tcPr>
          <w:p w14:paraId="6E9A8DF2"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 xml:space="preserve">West et al., </w:t>
            </w:r>
          </w:p>
          <w:p w14:paraId="3A4474A6" w14:textId="77777777" w:rsidR="00A27AC6" w:rsidRPr="00D33E21" w:rsidRDefault="00A27AC6" w:rsidP="00A27AC6">
            <w:pP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2019</w:t>
            </w:r>
          </w:p>
        </w:tc>
        <w:tc>
          <w:tcPr>
            <w:tcW w:w="1554" w:type="dxa"/>
            <w:shd w:val="clear" w:color="auto" w:fill="FFD966" w:themeFill="accent4" w:themeFillTint="99"/>
          </w:tcPr>
          <w:p w14:paraId="6F3BE855"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2354" w:type="dxa"/>
            <w:shd w:val="clear" w:color="auto" w:fill="F4B083" w:themeFill="accent2" w:themeFillTint="99"/>
          </w:tcPr>
          <w:p w14:paraId="684CF186"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FD966" w:themeFill="accent4" w:themeFillTint="99"/>
          </w:tcPr>
          <w:p w14:paraId="6ADA8A3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c>
          <w:tcPr>
            <w:tcW w:w="1894" w:type="dxa"/>
            <w:shd w:val="clear" w:color="auto" w:fill="F4B083" w:themeFill="accent2" w:themeFillTint="99"/>
          </w:tcPr>
          <w:p w14:paraId="5CF4D5A4" w14:textId="77777777" w:rsidR="00A27AC6" w:rsidRPr="00D33E21" w:rsidRDefault="00A27AC6" w:rsidP="00A27AC6">
            <w:pPr>
              <w:jc w:val="center"/>
              <w:rPr>
                <w:rFonts w:ascii="Times New Roman" w:eastAsia="Times New Roman" w:hAnsi="Times New Roman" w:cs="Times New Roman"/>
                <w:sz w:val="24"/>
                <w:szCs w:val="24"/>
                <w:lang w:val="en-US" w:eastAsia="en-NL"/>
              </w:rPr>
            </w:pPr>
            <w:r w:rsidRPr="00D33E21">
              <w:rPr>
                <w:rFonts w:ascii="Times New Roman" w:eastAsia="Times New Roman" w:hAnsi="Times New Roman" w:cs="Times New Roman"/>
                <w:sz w:val="24"/>
                <w:szCs w:val="24"/>
                <w:lang w:val="en-US" w:eastAsia="en-NL"/>
              </w:rPr>
              <w:t>-</w:t>
            </w:r>
          </w:p>
        </w:tc>
      </w:tr>
    </w:tbl>
    <w:p w14:paraId="6A9FD533" w14:textId="37BBBFAA" w:rsidR="00A27AC6" w:rsidRPr="00D33E21" w:rsidRDefault="00A27AC6" w:rsidP="00A27AC6">
      <w:pPr>
        <w:spacing w:line="360" w:lineRule="auto"/>
        <w:rPr>
          <w:rFonts w:ascii="Times New Roman" w:hAnsi="Times New Roman" w:cs="Times New Roman"/>
          <w:sz w:val="24"/>
          <w:szCs w:val="24"/>
          <w:lang w:val="en-GB"/>
        </w:rPr>
      </w:pPr>
      <w:r w:rsidRPr="00D33E21">
        <w:rPr>
          <w:rFonts w:ascii="Times New Roman" w:hAnsi="Times New Roman" w:cs="Times New Roman"/>
          <w:i/>
          <w:iCs/>
          <w:sz w:val="24"/>
          <w:szCs w:val="24"/>
          <w:lang w:val="en-GB"/>
        </w:rPr>
        <w:t>Note</w:t>
      </w:r>
      <w:r w:rsidRPr="00D33E21">
        <w:rPr>
          <w:rFonts w:ascii="Times New Roman" w:hAnsi="Times New Roman" w:cs="Times New Roman"/>
          <w:sz w:val="24"/>
          <w:szCs w:val="24"/>
          <w:lang w:val="en-GB"/>
        </w:rPr>
        <w:t>. +: low risk of bias, ~: moderate risk of bias, -: serious risk of bias, --: critical risk of bias.</w:t>
      </w:r>
    </w:p>
    <w:p w14:paraId="4EA9EB7B" w14:textId="77777777" w:rsidR="00432B03" w:rsidRPr="00D33E21" w:rsidRDefault="00432B03" w:rsidP="009C2C84">
      <w:pPr>
        <w:spacing w:line="360" w:lineRule="auto"/>
        <w:rPr>
          <w:rFonts w:ascii="Times New Roman" w:hAnsi="Times New Roman" w:cs="Times New Roman"/>
          <w:sz w:val="24"/>
          <w:szCs w:val="24"/>
          <w:lang w:val="en-GB"/>
        </w:rPr>
      </w:pPr>
    </w:p>
    <w:p w14:paraId="05986092" w14:textId="77777777" w:rsidR="005A0E14" w:rsidRPr="00D33E21" w:rsidRDefault="005A0E14" w:rsidP="009C2C84">
      <w:pPr>
        <w:spacing w:line="360" w:lineRule="auto"/>
        <w:rPr>
          <w:rFonts w:ascii="Times New Roman" w:hAnsi="Times New Roman" w:cs="Times New Roman"/>
          <w:sz w:val="24"/>
          <w:szCs w:val="24"/>
          <w:lang w:val="en-US"/>
        </w:rPr>
      </w:pPr>
    </w:p>
    <w:p w14:paraId="1C21AE15" w14:textId="77777777" w:rsidR="005A0E14" w:rsidRPr="00D33E21" w:rsidRDefault="005A0E14" w:rsidP="009C2C84">
      <w:pPr>
        <w:spacing w:line="360" w:lineRule="auto"/>
        <w:rPr>
          <w:rFonts w:ascii="Times New Roman" w:hAnsi="Times New Roman" w:cs="Times New Roman"/>
          <w:sz w:val="24"/>
          <w:szCs w:val="24"/>
          <w:lang w:val="en-US"/>
        </w:rPr>
      </w:pPr>
    </w:p>
    <w:p w14:paraId="7B0BA827" w14:textId="77777777" w:rsidR="00774893" w:rsidRPr="00D33E21" w:rsidRDefault="00774893" w:rsidP="009C2C84">
      <w:pPr>
        <w:spacing w:line="360" w:lineRule="auto"/>
        <w:rPr>
          <w:rFonts w:ascii="Times New Roman" w:hAnsi="Times New Roman" w:cs="Times New Roman"/>
          <w:sz w:val="24"/>
          <w:szCs w:val="24"/>
          <w:lang w:val="en-US"/>
        </w:rPr>
      </w:pPr>
    </w:p>
    <w:p w14:paraId="6BD9D852" w14:textId="2C89C0ED" w:rsidR="005D1BA1" w:rsidRPr="00D33E21" w:rsidRDefault="006A2F27" w:rsidP="00774893">
      <w:pPr>
        <w:keepNext/>
        <w:pageBreakBefore/>
        <w:spacing w:after="360" w:line="360" w:lineRule="auto"/>
        <w:jc w:val="both"/>
        <w:rPr>
          <w:rFonts w:ascii="Times New Roman" w:hAnsi="Times New Roman" w:cs="Times New Roman"/>
          <w:sz w:val="24"/>
          <w:szCs w:val="24"/>
          <w:lang w:val="en-GB"/>
        </w:rPr>
      </w:pPr>
      <w:r w:rsidRPr="00D33E21">
        <w:rPr>
          <w:rFonts w:ascii="Times New Roman" w:hAnsi="Times New Roman" w:cs="Times New Roman"/>
          <w:sz w:val="24"/>
          <w:szCs w:val="24"/>
          <w:lang w:val="en-GB"/>
        </w:rPr>
        <w:lastRenderedPageBreak/>
        <w:t xml:space="preserve">Table </w:t>
      </w:r>
      <w:r w:rsidR="00774893" w:rsidRPr="00D33E21">
        <w:rPr>
          <w:rFonts w:ascii="Times New Roman" w:hAnsi="Times New Roman" w:cs="Times New Roman"/>
          <w:sz w:val="24"/>
          <w:szCs w:val="24"/>
          <w:lang w:val="en-GB"/>
        </w:rPr>
        <w:t>S</w:t>
      </w:r>
      <w:r w:rsidR="00DD2B10" w:rsidRPr="00D33E21">
        <w:rPr>
          <w:rFonts w:ascii="Times New Roman" w:hAnsi="Times New Roman" w:cs="Times New Roman"/>
          <w:sz w:val="24"/>
          <w:szCs w:val="24"/>
          <w:lang w:val="en-GB"/>
        </w:rPr>
        <w:t>T4</w:t>
      </w:r>
      <w:r w:rsidR="00774893" w:rsidRPr="00D33E21">
        <w:rPr>
          <w:rFonts w:ascii="Times New Roman" w:hAnsi="Times New Roman" w:cs="Times New Roman"/>
          <w:sz w:val="24"/>
          <w:szCs w:val="24"/>
          <w:lang w:val="en-GB"/>
        </w:rPr>
        <w:t xml:space="preserve">. Risk of bias of </w:t>
      </w:r>
      <w:r w:rsidR="0075210A" w:rsidRPr="00D33E21">
        <w:rPr>
          <w:rFonts w:ascii="Times New Roman" w:hAnsi="Times New Roman" w:cs="Times New Roman"/>
          <w:sz w:val="24"/>
          <w:szCs w:val="24"/>
          <w:lang w:val="en-GB"/>
        </w:rPr>
        <w:t>randomized trials (</w:t>
      </w:r>
      <w:proofErr w:type="spellStart"/>
      <w:r w:rsidR="0075210A" w:rsidRPr="00D33E21">
        <w:rPr>
          <w:rFonts w:ascii="Times New Roman" w:hAnsi="Times New Roman" w:cs="Times New Roman"/>
          <w:sz w:val="24"/>
          <w:szCs w:val="24"/>
          <w:lang w:val="en-GB"/>
        </w:rPr>
        <w:t>RoB</w:t>
      </w:r>
      <w:proofErr w:type="spellEnd"/>
      <w:r w:rsidR="0075210A" w:rsidRPr="00D33E21">
        <w:rPr>
          <w:rFonts w:ascii="Times New Roman" w:hAnsi="Times New Roman" w:cs="Times New Roman"/>
          <w:sz w:val="24"/>
          <w:szCs w:val="24"/>
          <w:lang w:val="en-GB"/>
        </w:rPr>
        <w:t xml:space="preserve"> 2).</w:t>
      </w:r>
    </w:p>
    <w:tbl>
      <w:tblPr>
        <w:tblStyle w:val="TableGrid"/>
        <w:tblpPr w:leftFromText="180" w:rightFromText="180" w:vertAnchor="text" w:horzAnchor="margin" w:tblpXSpec="center" w:tblpY="279"/>
        <w:tblW w:w="10662" w:type="dxa"/>
        <w:tblLayout w:type="fixed"/>
        <w:tblCellMar>
          <w:left w:w="28" w:type="dxa"/>
          <w:right w:w="28" w:type="dxa"/>
        </w:tblCellMar>
        <w:tblLook w:val="04A0" w:firstRow="1" w:lastRow="0" w:firstColumn="1" w:lastColumn="0" w:noHBand="0" w:noVBand="1"/>
      </w:tblPr>
      <w:tblGrid>
        <w:gridCol w:w="2019"/>
        <w:gridCol w:w="1662"/>
        <w:gridCol w:w="1374"/>
        <w:gridCol w:w="1300"/>
        <w:gridCol w:w="1734"/>
        <w:gridCol w:w="1408"/>
        <w:gridCol w:w="1165"/>
      </w:tblGrid>
      <w:tr w:rsidR="00D33E21" w:rsidRPr="00D33E21" w14:paraId="07C159FA" w14:textId="77777777" w:rsidTr="00016240">
        <w:trPr>
          <w:trHeight w:val="597"/>
        </w:trPr>
        <w:tc>
          <w:tcPr>
            <w:tcW w:w="2019" w:type="dxa"/>
            <w:vAlign w:val="center"/>
          </w:tcPr>
          <w:p w14:paraId="7E3499D7" w14:textId="77777777" w:rsidR="002E4BD4" w:rsidRPr="00D33E21" w:rsidRDefault="002E4BD4" w:rsidP="002E4BD4">
            <w:pPr>
              <w:rPr>
                <w:rFonts w:ascii="Times New Roman" w:hAnsi="Times New Roman" w:cs="Times New Roman"/>
                <w:b/>
                <w:bCs/>
                <w:sz w:val="24"/>
                <w:szCs w:val="24"/>
                <w:lang w:eastAsia="de-AT"/>
              </w:rPr>
            </w:pPr>
            <w:r w:rsidRPr="00D33E21">
              <w:rPr>
                <w:rFonts w:ascii="Times New Roman" w:hAnsi="Times New Roman" w:cs="Times New Roman"/>
                <w:b/>
                <w:bCs/>
                <w:sz w:val="24"/>
                <w:szCs w:val="24"/>
              </w:rPr>
              <w:t>Study</w:t>
            </w:r>
          </w:p>
        </w:tc>
        <w:tc>
          <w:tcPr>
            <w:tcW w:w="1662" w:type="dxa"/>
            <w:tcBorders>
              <w:bottom w:val="single" w:sz="4" w:space="0" w:color="auto"/>
            </w:tcBorders>
            <w:vAlign w:val="center"/>
          </w:tcPr>
          <w:p w14:paraId="42FEC1C5"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Randomization process</w:t>
            </w:r>
          </w:p>
        </w:tc>
        <w:tc>
          <w:tcPr>
            <w:tcW w:w="1374" w:type="dxa"/>
            <w:tcBorders>
              <w:bottom w:val="single" w:sz="4" w:space="0" w:color="auto"/>
            </w:tcBorders>
            <w:tcMar>
              <w:left w:w="57" w:type="dxa"/>
              <w:right w:w="57" w:type="dxa"/>
            </w:tcMar>
            <w:vAlign w:val="center"/>
          </w:tcPr>
          <w:p w14:paraId="425C755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Adherence to intervention</w:t>
            </w:r>
          </w:p>
        </w:tc>
        <w:tc>
          <w:tcPr>
            <w:tcW w:w="1300" w:type="dxa"/>
            <w:tcBorders>
              <w:bottom w:val="single" w:sz="4" w:space="0" w:color="auto"/>
            </w:tcBorders>
            <w:vAlign w:val="center"/>
          </w:tcPr>
          <w:p w14:paraId="700F3F9B"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Missing outcome data</w:t>
            </w:r>
          </w:p>
        </w:tc>
        <w:tc>
          <w:tcPr>
            <w:tcW w:w="1734" w:type="dxa"/>
            <w:tcBorders>
              <w:bottom w:val="single" w:sz="4" w:space="0" w:color="auto"/>
            </w:tcBorders>
            <w:vAlign w:val="center"/>
          </w:tcPr>
          <w:p w14:paraId="140820D0"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Measurement of the outcome</w:t>
            </w:r>
          </w:p>
        </w:tc>
        <w:tc>
          <w:tcPr>
            <w:tcW w:w="1408" w:type="dxa"/>
            <w:tcBorders>
              <w:bottom w:val="single" w:sz="4" w:space="0" w:color="auto"/>
            </w:tcBorders>
            <w:vAlign w:val="center"/>
          </w:tcPr>
          <w:p w14:paraId="16DF76A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Selective outcome reporting</w:t>
            </w:r>
          </w:p>
        </w:tc>
        <w:tc>
          <w:tcPr>
            <w:tcW w:w="1165" w:type="dxa"/>
            <w:tcBorders>
              <w:bottom w:val="single" w:sz="4" w:space="0" w:color="auto"/>
            </w:tcBorders>
            <w:vAlign w:val="center"/>
          </w:tcPr>
          <w:p w14:paraId="15D782CB"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Overall risk</w:t>
            </w:r>
          </w:p>
        </w:tc>
      </w:tr>
      <w:tr w:rsidR="00D33E21" w:rsidRPr="00D33E21" w14:paraId="5160D31F" w14:textId="77777777" w:rsidTr="00016240">
        <w:trPr>
          <w:trHeight w:val="410"/>
        </w:trPr>
        <w:tc>
          <w:tcPr>
            <w:tcW w:w="2019" w:type="dxa"/>
            <w:vAlign w:val="bottom"/>
          </w:tcPr>
          <w:p w14:paraId="1FA57017"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Aan het Rot et al., 2017</w:t>
            </w:r>
          </w:p>
        </w:tc>
        <w:tc>
          <w:tcPr>
            <w:tcW w:w="1662" w:type="dxa"/>
            <w:shd w:val="clear" w:color="auto" w:fill="A8D08D" w:themeFill="accent6" w:themeFillTint="99"/>
            <w:vAlign w:val="center"/>
          </w:tcPr>
          <w:p w14:paraId="28C9D289"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619EA3B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1DFC7EE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7A9E07D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1B9F905C"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 xml:space="preserve">~ </w:t>
            </w:r>
          </w:p>
        </w:tc>
        <w:tc>
          <w:tcPr>
            <w:tcW w:w="1165" w:type="dxa"/>
            <w:shd w:val="clear" w:color="auto" w:fill="FFD966" w:themeFill="accent4" w:themeFillTint="99"/>
            <w:vAlign w:val="center"/>
          </w:tcPr>
          <w:p w14:paraId="5371D763"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21BFA43D" w14:textId="77777777" w:rsidTr="00016240">
        <w:trPr>
          <w:trHeight w:val="410"/>
        </w:trPr>
        <w:tc>
          <w:tcPr>
            <w:tcW w:w="2019" w:type="dxa"/>
            <w:vAlign w:val="bottom"/>
          </w:tcPr>
          <w:p w14:paraId="0A902428"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Bajaj et al., </w:t>
            </w:r>
          </w:p>
          <w:p w14:paraId="56C7C87B"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2021</w:t>
            </w:r>
          </w:p>
        </w:tc>
        <w:tc>
          <w:tcPr>
            <w:tcW w:w="1662" w:type="dxa"/>
            <w:shd w:val="clear" w:color="auto" w:fill="A8D08D" w:themeFill="accent6" w:themeFillTint="99"/>
            <w:vAlign w:val="center"/>
          </w:tcPr>
          <w:p w14:paraId="4962E82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727024D5"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53420054"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2613879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56453CA3"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39342D6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102F19DC" w14:textId="77777777" w:rsidTr="00016240">
        <w:trPr>
          <w:trHeight w:val="410"/>
        </w:trPr>
        <w:tc>
          <w:tcPr>
            <w:tcW w:w="2019" w:type="dxa"/>
            <w:vAlign w:val="bottom"/>
          </w:tcPr>
          <w:p w14:paraId="500C7261" w14:textId="77777777" w:rsidR="002E4BD4" w:rsidRPr="00D33E21" w:rsidRDefault="002E4BD4" w:rsidP="002E4BD4">
            <w:pPr>
              <w:rPr>
                <w:rFonts w:ascii="Times New Roman" w:hAnsi="Times New Roman" w:cs="Times New Roman"/>
                <w:sz w:val="24"/>
                <w:szCs w:val="24"/>
              </w:rPr>
            </w:pPr>
            <w:proofErr w:type="spellStart"/>
            <w:r w:rsidRPr="00D33E21">
              <w:rPr>
                <w:rFonts w:ascii="Times New Roman" w:hAnsi="Times New Roman" w:cs="Times New Roman"/>
                <w:sz w:val="24"/>
                <w:szCs w:val="24"/>
              </w:rPr>
              <w:t>Brunnstrom</w:t>
            </w:r>
            <w:proofErr w:type="spellEnd"/>
            <w:r w:rsidRPr="00D33E21">
              <w:rPr>
                <w:rFonts w:ascii="Times New Roman" w:hAnsi="Times New Roman" w:cs="Times New Roman"/>
                <w:sz w:val="24"/>
                <w:szCs w:val="24"/>
              </w:rPr>
              <w:t xml:space="preserve"> et al., 2004</w:t>
            </w:r>
          </w:p>
        </w:tc>
        <w:tc>
          <w:tcPr>
            <w:tcW w:w="1662" w:type="dxa"/>
            <w:shd w:val="clear" w:color="auto" w:fill="A8D08D" w:themeFill="accent6" w:themeFillTint="99"/>
            <w:vAlign w:val="center"/>
          </w:tcPr>
          <w:p w14:paraId="088CD240"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1D6AA104"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1EAFE009"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FFD966" w:themeFill="accent4" w:themeFillTint="99"/>
            <w:vAlign w:val="center"/>
          </w:tcPr>
          <w:p w14:paraId="5C327AFB"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17A4D47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2978891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0D4AA23E" w14:textId="77777777" w:rsidTr="00016240">
        <w:trPr>
          <w:trHeight w:val="410"/>
        </w:trPr>
        <w:tc>
          <w:tcPr>
            <w:tcW w:w="2019" w:type="dxa"/>
            <w:vAlign w:val="bottom"/>
          </w:tcPr>
          <w:p w14:paraId="6321E028" w14:textId="77777777" w:rsidR="00016240" w:rsidRPr="00D33E21" w:rsidRDefault="002E4BD4" w:rsidP="002E4BD4">
            <w:pPr>
              <w:rPr>
                <w:rFonts w:ascii="Times New Roman" w:hAnsi="Times New Roman" w:cs="Times New Roman"/>
                <w:sz w:val="24"/>
                <w:szCs w:val="24"/>
              </w:rPr>
            </w:pPr>
            <w:proofErr w:type="spellStart"/>
            <w:r w:rsidRPr="00D33E21">
              <w:rPr>
                <w:rFonts w:ascii="Times New Roman" w:hAnsi="Times New Roman" w:cs="Times New Roman"/>
                <w:sz w:val="24"/>
                <w:szCs w:val="24"/>
              </w:rPr>
              <w:t>Canazei</w:t>
            </w:r>
            <w:proofErr w:type="spellEnd"/>
            <w:r w:rsidRPr="00D33E21">
              <w:rPr>
                <w:rFonts w:ascii="Times New Roman" w:hAnsi="Times New Roman" w:cs="Times New Roman"/>
                <w:sz w:val="24"/>
                <w:szCs w:val="24"/>
              </w:rPr>
              <w:t xml:space="preserve"> et al., </w:t>
            </w:r>
          </w:p>
          <w:p w14:paraId="79FFC7BD" w14:textId="5E830349"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2019</w:t>
            </w:r>
          </w:p>
        </w:tc>
        <w:tc>
          <w:tcPr>
            <w:tcW w:w="1662" w:type="dxa"/>
            <w:shd w:val="clear" w:color="auto" w:fill="A8D08D" w:themeFill="accent6" w:themeFillTint="99"/>
            <w:vAlign w:val="center"/>
          </w:tcPr>
          <w:p w14:paraId="649E8E0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31BC743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25C46177"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F4B083" w:themeFill="accent2" w:themeFillTint="99"/>
            <w:vAlign w:val="center"/>
          </w:tcPr>
          <w:p w14:paraId="79DBDE2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02E59845"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4B083" w:themeFill="accent2" w:themeFillTint="99"/>
            <w:vAlign w:val="center"/>
          </w:tcPr>
          <w:p w14:paraId="3D0F415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7E3F38B0" w14:textId="77777777" w:rsidTr="00016240">
        <w:trPr>
          <w:trHeight w:val="410"/>
        </w:trPr>
        <w:tc>
          <w:tcPr>
            <w:tcW w:w="2019" w:type="dxa"/>
            <w:vAlign w:val="bottom"/>
          </w:tcPr>
          <w:p w14:paraId="3A0CCBDC" w14:textId="77777777" w:rsidR="00016240"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De Rui et al., </w:t>
            </w:r>
          </w:p>
          <w:p w14:paraId="033EE3C4" w14:textId="25A15A2A"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2015</w:t>
            </w:r>
          </w:p>
        </w:tc>
        <w:tc>
          <w:tcPr>
            <w:tcW w:w="1662" w:type="dxa"/>
            <w:shd w:val="clear" w:color="auto" w:fill="FFD966" w:themeFill="accent4" w:themeFillTint="99"/>
            <w:vAlign w:val="center"/>
          </w:tcPr>
          <w:p w14:paraId="1EB4955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10D315B7"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FFD966" w:themeFill="accent4" w:themeFillTint="99"/>
            <w:vAlign w:val="center"/>
          </w:tcPr>
          <w:p w14:paraId="0CF4BA7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F4B083" w:themeFill="accent2" w:themeFillTint="99"/>
            <w:vAlign w:val="center"/>
          </w:tcPr>
          <w:p w14:paraId="23A133E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7A51F1B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4B083" w:themeFill="accent2" w:themeFillTint="99"/>
            <w:vAlign w:val="center"/>
          </w:tcPr>
          <w:p w14:paraId="34B426B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0C0201A9" w14:textId="77777777" w:rsidTr="00016240">
        <w:trPr>
          <w:trHeight w:val="410"/>
        </w:trPr>
        <w:tc>
          <w:tcPr>
            <w:tcW w:w="2019" w:type="dxa"/>
            <w:vAlign w:val="bottom"/>
          </w:tcPr>
          <w:p w14:paraId="5A6EA6D5"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Kim et al., </w:t>
            </w:r>
          </w:p>
          <w:p w14:paraId="62030C9F"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2021</w:t>
            </w:r>
          </w:p>
        </w:tc>
        <w:tc>
          <w:tcPr>
            <w:tcW w:w="1662" w:type="dxa"/>
            <w:shd w:val="clear" w:color="auto" w:fill="FFD966" w:themeFill="accent4" w:themeFillTint="99"/>
            <w:vAlign w:val="center"/>
          </w:tcPr>
          <w:p w14:paraId="2A08286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1602957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7C2CC9D9"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5D487EF2"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A8D08D" w:themeFill="accent6" w:themeFillTint="99"/>
            <w:vAlign w:val="center"/>
          </w:tcPr>
          <w:p w14:paraId="413AE02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0AB63AF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764FC203" w14:textId="77777777" w:rsidTr="00016240">
        <w:trPr>
          <w:trHeight w:val="410"/>
        </w:trPr>
        <w:tc>
          <w:tcPr>
            <w:tcW w:w="2019" w:type="dxa"/>
            <w:vAlign w:val="bottom"/>
          </w:tcPr>
          <w:p w14:paraId="44066CA3"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Lee et al., </w:t>
            </w:r>
          </w:p>
          <w:p w14:paraId="4582848D"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2013</w:t>
            </w:r>
          </w:p>
        </w:tc>
        <w:tc>
          <w:tcPr>
            <w:tcW w:w="1662" w:type="dxa"/>
            <w:shd w:val="clear" w:color="auto" w:fill="A8D08D" w:themeFill="accent6" w:themeFillTint="99"/>
            <w:vAlign w:val="center"/>
          </w:tcPr>
          <w:p w14:paraId="3B23FF2C"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6F010EA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169CFEE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1FECC282"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58EECB1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5BF237B3"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2742AB15" w14:textId="77777777" w:rsidTr="00016240">
        <w:trPr>
          <w:trHeight w:val="410"/>
        </w:trPr>
        <w:tc>
          <w:tcPr>
            <w:tcW w:w="2019" w:type="dxa"/>
            <w:vAlign w:val="bottom"/>
          </w:tcPr>
          <w:p w14:paraId="401BD8E7" w14:textId="77777777" w:rsidR="00016240"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Martiny et al., </w:t>
            </w:r>
          </w:p>
          <w:p w14:paraId="6CD2F42F" w14:textId="17F57F28"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2005</w:t>
            </w:r>
          </w:p>
        </w:tc>
        <w:tc>
          <w:tcPr>
            <w:tcW w:w="1662" w:type="dxa"/>
            <w:shd w:val="clear" w:color="auto" w:fill="A8D08D" w:themeFill="accent6" w:themeFillTint="99"/>
            <w:vAlign w:val="center"/>
          </w:tcPr>
          <w:p w14:paraId="73EE9C1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23E729A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7635928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004435D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53D2547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46FE5D00"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03440224" w14:textId="77777777" w:rsidTr="00016240">
        <w:trPr>
          <w:trHeight w:val="410"/>
        </w:trPr>
        <w:tc>
          <w:tcPr>
            <w:tcW w:w="2019" w:type="dxa"/>
            <w:vAlign w:val="bottom"/>
          </w:tcPr>
          <w:p w14:paraId="14BCC7C3" w14:textId="77777777" w:rsidR="00016240"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Morton et al., </w:t>
            </w:r>
          </w:p>
          <w:p w14:paraId="43AA158D" w14:textId="075CF8AD"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2021</w:t>
            </w:r>
          </w:p>
        </w:tc>
        <w:tc>
          <w:tcPr>
            <w:tcW w:w="1662" w:type="dxa"/>
            <w:shd w:val="clear" w:color="auto" w:fill="A8D08D" w:themeFill="accent6" w:themeFillTint="99"/>
            <w:vAlign w:val="center"/>
          </w:tcPr>
          <w:p w14:paraId="6F09A2A7"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5FB1D81A"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FFD966" w:themeFill="accent4" w:themeFillTint="99"/>
            <w:vAlign w:val="center"/>
          </w:tcPr>
          <w:p w14:paraId="44BC4BF7"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06BB1980"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52CE0403"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447CCFF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2685A0CC" w14:textId="77777777" w:rsidTr="00016240">
        <w:trPr>
          <w:trHeight w:val="410"/>
        </w:trPr>
        <w:tc>
          <w:tcPr>
            <w:tcW w:w="2019" w:type="dxa"/>
            <w:vAlign w:val="bottom"/>
          </w:tcPr>
          <w:p w14:paraId="6312E1C3" w14:textId="56F53BF2"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Okkels et al., 2020</w:t>
            </w:r>
          </w:p>
        </w:tc>
        <w:tc>
          <w:tcPr>
            <w:tcW w:w="1662" w:type="dxa"/>
            <w:shd w:val="clear" w:color="auto" w:fill="A8D08D" w:themeFill="accent6" w:themeFillTint="99"/>
            <w:vAlign w:val="center"/>
          </w:tcPr>
          <w:p w14:paraId="666BE90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54D6C32C"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F4B083" w:themeFill="accent2" w:themeFillTint="99"/>
            <w:vAlign w:val="center"/>
          </w:tcPr>
          <w:p w14:paraId="4E0A59D5"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7E251AF7"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A8D08D" w:themeFill="accent6" w:themeFillTint="99"/>
            <w:vAlign w:val="center"/>
          </w:tcPr>
          <w:p w14:paraId="708866B8"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4B083" w:themeFill="accent2" w:themeFillTint="99"/>
            <w:vAlign w:val="center"/>
          </w:tcPr>
          <w:p w14:paraId="3BD99DC0"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36811B66" w14:textId="77777777" w:rsidTr="00016240">
        <w:trPr>
          <w:trHeight w:val="410"/>
        </w:trPr>
        <w:tc>
          <w:tcPr>
            <w:tcW w:w="2019" w:type="dxa"/>
            <w:vAlign w:val="bottom"/>
          </w:tcPr>
          <w:p w14:paraId="6F7687FA" w14:textId="77777777" w:rsidR="002E4BD4" w:rsidRPr="00D33E21" w:rsidRDefault="002E4BD4" w:rsidP="002E4BD4">
            <w:pPr>
              <w:rPr>
                <w:rFonts w:ascii="Times New Roman" w:hAnsi="Times New Roman" w:cs="Times New Roman"/>
                <w:sz w:val="24"/>
                <w:szCs w:val="24"/>
              </w:rPr>
            </w:pPr>
            <w:proofErr w:type="spellStart"/>
            <w:r w:rsidRPr="00D33E21">
              <w:rPr>
                <w:rFonts w:ascii="Times New Roman" w:hAnsi="Times New Roman" w:cs="Times New Roman"/>
                <w:sz w:val="24"/>
                <w:szCs w:val="24"/>
              </w:rPr>
              <w:t>Partonen</w:t>
            </w:r>
            <w:proofErr w:type="spellEnd"/>
            <w:r w:rsidRPr="00D33E21">
              <w:rPr>
                <w:rFonts w:ascii="Times New Roman" w:hAnsi="Times New Roman" w:cs="Times New Roman"/>
                <w:sz w:val="24"/>
                <w:szCs w:val="24"/>
              </w:rPr>
              <w:t xml:space="preserve"> et al., 1998</w:t>
            </w:r>
          </w:p>
        </w:tc>
        <w:tc>
          <w:tcPr>
            <w:tcW w:w="1662" w:type="dxa"/>
            <w:shd w:val="clear" w:color="auto" w:fill="A8D08D" w:themeFill="accent6" w:themeFillTint="99"/>
            <w:vAlign w:val="center"/>
          </w:tcPr>
          <w:p w14:paraId="314B61C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FFD966" w:themeFill="accent4" w:themeFillTint="99"/>
            <w:vAlign w:val="center"/>
          </w:tcPr>
          <w:p w14:paraId="33F3E98A"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2F531479"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FFD966" w:themeFill="accent4" w:themeFillTint="99"/>
            <w:vAlign w:val="center"/>
          </w:tcPr>
          <w:p w14:paraId="2145286C"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752C6F2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44B03229"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359EABED" w14:textId="77777777" w:rsidTr="00016240">
        <w:trPr>
          <w:trHeight w:val="410"/>
        </w:trPr>
        <w:tc>
          <w:tcPr>
            <w:tcW w:w="2019" w:type="dxa"/>
            <w:vAlign w:val="bottom"/>
          </w:tcPr>
          <w:p w14:paraId="1204DCFE"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Rutten et al., </w:t>
            </w:r>
          </w:p>
          <w:p w14:paraId="5F9EB3F2"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2019</w:t>
            </w:r>
          </w:p>
        </w:tc>
        <w:tc>
          <w:tcPr>
            <w:tcW w:w="1662" w:type="dxa"/>
            <w:shd w:val="clear" w:color="auto" w:fill="A8D08D" w:themeFill="accent6" w:themeFillTint="99"/>
            <w:vAlign w:val="center"/>
          </w:tcPr>
          <w:p w14:paraId="666A232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10D47481"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FFD966" w:themeFill="accent4" w:themeFillTint="99"/>
            <w:vAlign w:val="center"/>
          </w:tcPr>
          <w:p w14:paraId="418635B5"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54C7271C"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77344C83"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2C683AA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383D115E" w14:textId="77777777" w:rsidTr="00016240">
        <w:trPr>
          <w:trHeight w:val="410"/>
        </w:trPr>
        <w:tc>
          <w:tcPr>
            <w:tcW w:w="2019" w:type="dxa"/>
            <w:vAlign w:val="bottom"/>
          </w:tcPr>
          <w:p w14:paraId="233670BA" w14:textId="77777777" w:rsidR="002E4BD4" w:rsidRPr="00D33E21" w:rsidRDefault="002E4BD4" w:rsidP="002E4BD4">
            <w:pPr>
              <w:rPr>
                <w:rFonts w:ascii="Times New Roman" w:hAnsi="Times New Roman" w:cs="Times New Roman"/>
                <w:sz w:val="24"/>
                <w:szCs w:val="24"/>
              </w:rPr>
            </w:pPr>
            <w:proofErr w:type="spellStart"/>
            <w:r w:rsidRPr="00D33E21">
              <w:rPr>
                <w:rFonts w:ascii="Times New Roman" w:hAnsi="Times New Roman" w:cs="Times New Roman"/>
                <w:sz w:val="24"/>
                <w:szCs w:val="24"/>
              </w:rPr>
              <w:t>Starreveld</w:t>
            </w:r>
            <w:proofErr w:type="spellEnd"/>
            <w:r w:rsidRPr="00D33E21">
              <w:rPr>
                <w:rFonts w:ascii="Times New Roman" w:hAnsi="Times New Roman" w:cs="Times New Roman"/>
                <w:sz w:val="24"/>
                <w:szCs w:val="24"/>
              </w:rPr>
              <w:t xml:space="preserve"> et al., 2021</w:t>
            </w:r>
          </w:p>
        </w:tc>
        <w:tc>
          <w:tcPr>
            <w:tcW w:w="1662" w:type="dxa"/>
            <w:shd w:val="clear" w:color="auto" w:fill="A8D08D" w:themeFill="accent6" w:themeFillTint="99"/>
            <w:vAlign w:val="center"/>
          </w:tcPr>
          <w:p w14:paraId="7A8F49F0"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66146922"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38121B63"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A8D08D" w:themeFill="accent6" w:themeFillTint="99"/>
            <w:vAlign w:val="center"/>
          </w:tcPr>
          <w:p w14:paraId="29B17D3B"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191E193A"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 xml:space="preserve">~ </w:t>
            </w:r>
          </w:p>
        </w:tc>
        <w:tc>
          <w:tcPr>
            <w:tcW w:w="1165" w:type="dxa"/>
            <w:shd w:val="clear" w:color="auto" w:fill="FFD966" w:themeFill="accent4" w:themeFillTint="99"/>
            <w:vAlign w:val="center"/>
          </w:tcPr>
          <w:p w14:paraId="32BA82EA"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3BB08555" w14:textId="77777777" w:rsidTr="00016240">
        <w:trPr>
          <w:trHeight w:val="410"/>
        </w:trPr>
        <w:tc>
          <w:tcPr>
            <w:tcW w:w="2019" w:type="dxa"/>
            <w:vAlign w:val="bottom"/>
          </w:tcPr>
          <w:p w14:paraId="600526C2" w14:textId="77777777" w:rsidR="00AA04C6"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Sundararajan et al., </w:t>
            </w:r>
          </w:p>
          <w:p w14:paraId="19D00C22" w14:textId="083478A6"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2021</w:t>
            </w:r>
          </w:p>
        </w:tc>
        <w:tc>
          <w:tcPr>
            <w:tcW w:w="1662" w:type="dxa"/>
            <w:shd w:val="clear" w:color="auto" w:fill="A8D08D" w:themeFill="accent6" w:themeFillTint="99"/>
            <w:vAlign w:val="center"/>
          </w:tcPr>
          <w:p w14:paraId="5D6E24A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6582071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4857F6EB"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F4B083" w:themeFill="accent2" w:themeFillTint="99"/>
            <w:vAlign w:val="center"/>
          </w:tcPr>
          <w:p w14:paraId="71A87A39"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A8D08D" w:themeFill="accent6" w:themeFillTint="99"/>
            <w:vAlign w:val="center"/>
          </w:tcPr>
          <w:p w14:paraId="6765C947"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4B083" w:themeFill="accent2" w:themeFillTint="99"/>
            <w:vAlign w:val="center"/>
          </w:tcPr>
          <w:p w14:paraId="46E78A46"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r w:rsidR="00D33E21" w:rsidRPr="00D33E21" w14:paraId="25669C38" w14:textId="77777777" w:rsidTr="00016240">
        <w:trPr>
          <w:trHeight w:val="410"/>
        </w:trPr>
        <w:tc>
          <w:tcPr>
            <w:tcW w:w="2019" w:type="dxa"/>
            <w:vAlign w:val="bottom"/>
          </w:tcPr>
          <w:p w14:paraId="7DF7E8EA"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 xml:space="preserve">Taylor et al., </w:t>
            </w:r>
          </w:p>
          <w:p w14:paraId="2AAF4D73" w14:textId="77777777" w:rsidR="002E4BD4" w:rsidRPr="00D33E21" w:rsidRDefault="002E4BD4" w:rsidP="002E4BD4">
            <w:pPr>
              <w:rPr>
                <w:rFonts w:ascii="Times New Roman" w:hAnsi="Times New Roman" w:cs="Times New Roman"/>
                <w:sz w:val="24"/>
                <w:szCs w:val="24"/>
              </w:rPr>
            </w:pPr>
            <w:r w:rsidRPr="00D33E21">
              <w:rPr>
                <w:rFonts w:ascii="Times New Roman" w:hAnsi="Times New Roman" w:cs="Times New Roman"/>
                <w:sz w:val="24"/>
                <w:szCs w:val="24"/>
              </w:rPr>
              <w:t>2009</w:t>
            </w:r>
          </w:p>
        </w:tc>
        <w:tc>
          <w:tcPr>
            <w:tcW w:w="1662" w:type="dxa"/>
            <w:shd w:val="clear" w:color="auto" w:fill="A8D08D" w:themeFill="accent6" w:themeFillTint="99"/>
            <w:vAlign w:val="center"/>
          </w:tcPr>
          <w:p w14:paraId="223AF2BF"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74" w:type="dxa"/>
            <w:shd w:val="clear" w:color="auto" w:fill="A8D08D" w:themeFill="accent6" w:themeFillTint="99"/>
            <w:vAlign w:val="center"/>
          </w:tcPr>
          <w:p w14:paraId="4A7F452E"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300" w:type="dxa"/>
            <w:shd w:val="clear" w:color="auto" w:fill="A8D08D" w:themeFill="accent6" w:themeFillTint="99"/>
            <w:vAlign w:val="center"/>
          </w:tcPr>
          <w:p w14:paraId="0F8DCD9B"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734" w:type="dxa"/>
            <w:shd w:val="clear" w:color="auto" w:fill="FFD966" w:themeFill="accent4" w:themeFillTint="99"/>
            <w:vAlign w:val="center"/>
          </w:tcPr>
          <w:p w14:paraId="4E156942"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408" w:type="dxa"/>
            <w:shd w:val="clear" w:color="auto" w:fill="FFD966" w:themeFill="accent4" w:themeFillTint="99"/>
            <w:vAlign w:val="center"/>
          </w:tcPr>
          <w:p w14:paraId="2673DA6D"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c>
          <w:tcPr>
            <w:tcW w:w="1165" w:type="dxa"/>
            <w:shd w:val="clear" w:color="auto" w:fill="FFD966" w:themeFill="accent4" w:themeFillTint="99"/>
            <w:vAlign w:val="center"/>
          </w:tcPr>
          <w:p w14:paraId="458F4C15" w14:textId="77777777" w:rsidR="002E4BD4" w:rsidRPr="00D33E21" w:rsidRDefault="002E4BD4" w:rsidP="002E4BD4">
            <w:pPr>
              <w:jc w:val="center"/>
              <w:rPr>
                <w:rFonts w:ascii="Times New Roman" w:hAnsi="Times New Roman" w:cs="Times New Roman"/>
                <w:b/>
                <w:sz w:val="24"/>
                <w:szCs w:val="24"/>
              </w:rPr>
            </w:pPr>
            <w:r w:rsidRPr="00D33E21">
              <w:rPr>
                <w:rFonts w:ascii="Times New Roman" w:hAnsi="Times New Roman" w:cs="Times New Roman"/>
                <w:b/>
                <w:sz w:val="24"/>
                <w:szCs w:val="24"/>
              </w:rPr>
              <w:t>~</w:t>
            </w:r>
          </w:p>
        </w:tc>
      </w:tr>
    </w:tbl>
    <w:p w14:paraId="50C54F5F" w14:textId="77777777" w:rsidR="0075210A" w:rsidRPr="00D33E21" w:rsidRDefault="0075210A" w:rsidP="0075210A">
      <w:pPr>
        <w:keepNext/>
        <w:pageBreakBefore/>
        <w:spacing w:after="360" w:line="360" w:lineRule="auto"/>
        <w:jc w:val="both"/>
        <w:rPr>
          <w:rFonts w:ascii="Times New Roman" w:hAnsi="Times New Roman" w:cs="Times New Roman"/>
          <w:sz w:val="24"/>
          <w:szCs w:val="24"/>
          <w:lang w:val="en-GB"/>
        </w:rPr>
      </w:pPr>
      <w:r w:rsidRPr="00D33E21">
        <w:rPr>
          <w:rFonts w:ascii="Times New Roman" w:hAnsi="Times New Roman" w:cs="Times New Roman"/>
          <w:i/>
          <w:iCs/>
          <w:sz w:val="24"/>
          <w:szCs w:val="24"/>
          <w:lang w:val="en-US"/>
        </w:rPr>
        <w:lastRenderedPageBreak/>
        <w:t>Note</w:t>
      </w:r>
      <w:r w:rsidRPr="00D33E21">
        <w:rPr>
          <w:rFonts w:ascii="Times New Roman" w:hAnsi="Times New Roman" w:cs="Times New Roman"/>
          <w:sz w:val="24"/>
          <w:szCs w:val="24"/>
          <w:lang w:val="en-US"/>
        </w:rPr>
        <w:t xml:space="preserve">. </w:t>
      </w:r>
      <w:r w:rsidRPr="00D33E21">
        <w:rPr>
          <w:rFonts w:ascii="Times New Roman" w:hAnsi="Times New Roman" w:cs="Times New Roman"/>
          <w:sz w:val="24"/>
          <w:szCs w:val="24"/>
          <w:lang w:val="en-GB"/>
        </w:rPr>
        <w:t xml:space="preserve">+: low risk of bias, ~: some risk of bias, -: high risk of bias. </w:t>
      </w:r>
    </w:p>
    <w:p w14:paraId="7CF24B62" w14:textId="3C82D388" w:rsidR="00AB3CE0" w:rsidRPr="00D33E21" w:rsidRDefault="00AB3CE0" w:rsidP="009C2C84">
      <w:pPr>
        <w:spacing w:line="360" w:lineRule="auto"/>
        <w:rPr>
          <w:rFonts w:ascii="Times New Roman" w:hAnsi="Times New Roman" w:cs="Times New Roman"/>
          <w:sz w:val="24"/>
          <w:szCs w:val="24"/>
          <w:lang w:val="en-US"/>
        </w:rPr>
      </w:pPr>
    </w:p>
    <w:p w14:paraId="248192C3" w14:textId="4665E886" w:rsidR="00AE019F" w:rsidRPr="00D33E21" w:rsidRDefault="00AE019F" w:rsidP="00AE019F">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t>1.4 Publication bias</w:t>
      </w:r>
    </w:p>
    <w:p w14:paraId="329A0C23" w14:textId="6F393DA0" w:rsidR="00230487" w:rsidRPr="00D33E21" w:rsidRDefault="005A5391" w:rsidP="00856F59">
      <w:pPr>
        <w:spacing w:line="360" w:lineRule="auto"/>
        <w:rPr>
          <w:lang w:val="en-US"/>
        </w:rPr>
      </w:pPr>
      <w:r w:rsidRPr="00D33E21">
        <w:rPr>
          <w:noProof/>
          <w:lang w:val="en-US"/>
        </w:rPr>
        <w:drawing>
          <wp:inline distT="0" distB="0" distL="0" distR="0" wp14:anchorId="01FE16E5" wp14:editId="2FF8B78A">
            <wp:extent cx="5731510" cy="4297045"/>
            <wp:effectExtent l="0" t="0" r="2540" b="8255"/>
            <wp:docPr id="1365975004" name="Picture 1"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75004" name="Picture 1" descr="A graph with numbers and lines&#10;&#10;Description automatically generated with medium confidence"/>
                    <pic:cNvPicPr/>
                  </pic:nvPicPr>
                  <pic:blipFill>
                    <a:blip r:embed="rId6"/>
                    <a:stretch>
                      <a:fillRect/>
                    </a:stretch>
                  </pic:blipFill>
                  <pic:spPr>
                    <a:xfrm>
                      <a:off x="0" y="0"/>
                      <a:ext cx="5731510" cy="4297045"/>
                    </a:xfrm>
                    <a:prstGeom prst="rect">
                      <a:avLst/>
                    </a:prstGeom>
                  </pic:spPr>
                </pic:pic>
              </a:graphicData>
            </a:graphic>
          </wp:inline>
        </w:drawing>
      </w:r>
    </w:p>
    <w:p w14:paraId="0E968D79" w14:textId="5E5940BD" w:rsidR="00856F59" w:rsidRPr="00D33E21" w:rsidRDefault="00856F59" w:rsidP="00856F59">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 xml:space="preserve">Figure </w:t>
      </w:r>
      <w:r w:rsidR="0008704E" w:rsidRPr="00D33E21">
        <w:rPr>
          <w:rFonts w:ascii="Times New Roman" w:hAnsi="Times New Roman" w:cs="Times New Roman"/>
          <w:sz w:val="24"/>
          <w:szCs w:val="24"/>
          <w:lang w:val="en-US"/>
        </w:rPr>
        <w:t>S</w:t>
      </w:r>
      <w:r w:rsidR="00227FC4" w:rsidRPr="00D33E21">
        <w:rPr>
          <w:rFonts w:ascii="Times New Roman" w:hAnsi="Times New Roman" w:cs="Times New Roman"/>
          <w:sz w:val="24"/>
          <w:szCs w:val="24"/>
          <w:lang w:val="en-US"/>
        </w:rPr>
        <w:t>F</w:t>
      </w:r>
      <w:r w:rsidR="00CD3546" w:rsidRPr="00D33E21">
        <w:rPr>
          <w:rFonts w:ascii="Times New Roman" w:hAnsi="Times New Roman" w:cs="Times New Roman"/>
          <w:sz w:val="24"/>
          <w:szCs w:val="24"/>
          <w:lang w:val="en-US"/>
        </w:rPr>
        <w:t>1</w:t>
      </w:r>
      <w:r w:rsidRPr="00D33E21">
        <w:rPr>
          <w:rFonts w:ascii="Times New Roman" w:hAnsi="Times New Roman" w:cs="Times New Roman"/>
          <w:sz w:val="24"/>
          <w:szCs w:val="24"/>
          <w:lang w:val="en-US"/>
        </w:rPr>
        <w:t xml:space="preserve">. Histogram of the distribution of </w:t>
      </w:r>
      <w:r w:rsidRPr="00D33E21">
        <w:rPr>
          <w:rFonts w:ascii="Times New Roman" w:hAnsi="Times New Roman" w:cs="Times New Roman"/>
          <w:i/>
          <w:iCs/>
          <w:sz w:val="24"/>
          <w:szCs w:val="24"/>
          <w:lang w:val="en-US"/>
        </w:rPr>
        <w:t>p</w:t>
      </w:r>
      <w:r w:rsidRPr="00D33E21">
        <w:rPr>
          <w:rFonts w:ascii="Times New Roman" w:hAnsi="Times New Roman" w:cs="Times New Roman"/>
          <w:sz w:val="24"/>
          <w:szCs w:val="24"/>
          <w:lang w:val="en-US"/>
        </w:rPr>
        <w:t>-values split by study type</w:t>
      </w:r>
      <w:r w:rsidR="00891589" w:rsidRPr="00D33E21">
        <w:rPr>
          <w:rFonts w:ascii="Times New Roman" w:hAnsi="Times New Roman" w:cs="Times New Roman"/>
          <w:sz w:val="24"/>
          <w:szCs w:val="24"/>
          <w:lang w:val="en-US"/>
        </w:rPr>
        <w:tab/>
      </w:r>
      <w:r w:rsidR="00891589" w:rsidRPr="00D33E21">
        <w:rPr>
          <w:rFonts w:ascii="Times New Roman" w:hAnsi="Times New Roman" w:cs="Times New Roman"/>
          <w:sz w:val="24"/>
          <w:szCs w:val="24"/>
          <w:lang w:val="en-US"/>
        </w:rPr>
        <w:tab/>
        <w:t xml:space="preserve">          </w:t>
      </w:r>
      <w:r w:rsidR="00891589" w:rsidRPr="00D33E21">
        <w:rPr>
          <w:rFonts w:ascii="Times New Roman" w:hAnsi="Times New Roman" w:cs="Times New Roman"/>
          <w:i/>
          <w:iCs/>
          <w:sz w:val="24"/>
          <w:szCs w:val="24"/>
          <w:lang w:val="en-US"/>
        </w:rPr>
        <w:t>Note</w:t>
      </w:r>
      <w:r w:rsidR="00891589" w:rsidRPr="00D33E21">
        <w:rPr>
          <w:rFonts w:ascii="Times New Roman" w:hAnsi="Times New Roman" w:cs="Times New Roman"/>
          <w:sz w:val="24"/>
          <w:szCs w:val="24"/>
          <w:lang w:val="en-US"/>
        </w:rPr>
        <w:t>. C</w:t>
      </w:r>
      <w:r w:rsidRPr="00D33E21">
        <w:rPr>
          <w:rFonts w:ascii="Times New Roman" w:hAnsi="Times New Roman" w:cs="Times New Roman"/>
          <w:sz w:val="24"/>
          <w:szCs w:val="24"/>
          <w:lang w:val="en-US"/>
        </w:rPr>
        <w:t>ombined (</w:t>
      </w:r>
      <w:r w:rsidRPr="00D33E21">
        <w:rPr>
          <w:rFonts w:ascii="Times New Roman" w:hAnsi="Times New Roman" w:cs="Times New Roman"/>
          <w:i/>
          <w:iCs/>
          <w:sz w:val="24"/>
          <w:szCs w:val="24"/>
          <w:lang w:val="en-US"/>
        </w:rPr>
        <w:t>k</w:t>
      </w:r>
      <w:r w:rsidRPr="00D33E21">
        <w:rPr>
          <w:rFonts w:ascii="Times New Roman" w:hAnsi="Times New Roman" w:cs="Times New Roman"/>
          <w:sz w:val="24"/>
          <w:szCs w:val="24"/>
          <w:lang w:val="en-US"/>
        </w:rPr>
        <w:t xml:space="preserve"> = 68), interventional studies (</w:t>
      </w:r>
      <w:r w:rsidRPr="00D33E21">
        <w:rPr>
          <w:rFonts w:ascii="Times New Roman" w:hAnsi="Times New Roman" w:cs="Times New Roman"/>
          <w:i/>
          <w:iCs/>
          <w:sz w:val="24"/>
          <w:szCs w:val="24"/>
          <w:lang w:val="en-US"/>
        </w:rPr>
        <w:t>k</w:t>
      </w:r>
      <w:r w:rsidRPr="00D33E21">
        <w:rPr>
          <w:rFonts w:ascii="Times New Roman" w:hAnsi="Times New Roman" w:cs="Times New Roman"/>
          <w:sz w:val="24"/>
          <w:szCs w:val="24"/>
          <w:lang w:val="en-US"/>
        </w:rPr>
        <w:t xml:space="preserve"> = 44), and observational studies (</w:t>
      </w:r>
      <w:r w:rsidRPr="00D33E21">
        <w:rPr>
          <w:rFonts w:ascii="Times New Roman" w:hAnsi="Times New Roman" w:cs="Times New Roman"/>
          <w:i/>
          <w:iCs/>
          <w:sz w:val="24"/>
          <w:szCs w:val="24"/>
          <w:lang w:val="en-US"/>
        </w:rPr>
        <w:t>k</w:t>
      </w:r>
      <w:r w:rsidRPr="00D33E21">
        <w:rPr>
          <w:rFonts w:ascii="Times New Roman" w:hAnsi="Times New Roman" w:cs="Times New Roman"/>
          <w:sz w:val="24"/>
          <w:szCs w:val="24"/>
          <w:lang w:val="en-US"/>
        </w:rPr>
        <w:t xml:space="preserve"> = 24).</w:t>
      </w:r>
      <w:r w:rsidR="00891589" w:rsidRPr="00D33E21">
        <w:rPr>
          <w:rFonts w:ascii="Times New Roman" w:hAnsi="Times New Roman" w:cs="Times New Roman"/>
          <w:sz w:val="24"/>
          <w:szCs w:val="24"/>
          <w:lang w:val="en-US"/>
        </w:rPr>
        <w:t xml:space="preserve"> </w:t>
      </w:r>
      <w:r w:rsidRPr="00D33E21">
        <w:rPr>
          <w:rFonts w:ascii="Times New Roman" w:hAnsi="Times New Roman" w:cs="Times New Roman"/>
          <w:sz w:val="24"/>
          <w:szCs w:val="24"/>
          <w:lang w:val="en-US"/>
        </w:rPr>
        <w:t xml:space="preserve">The red dotted-line indicates a </w:t>
      </w:r>
      <w:r w:rsidRPr="00D33E21">
        <w:rPr>
          <w:rFonts w:ascii="Times New Roman" w:hAnsi="Times New Roman" w:cs="Times New Roman"/>
          <w:i/>
          <w:iCs/>
          <w:sz w:val="24"/>
          <w:szCs w:val="24"/>
          <w:lang w:val="en-US"/>
        </w:rPr>
        <w:t>p</w:t>
      </w:r>
      <w:r w:rsidRPr="00D33E21">
        <w:rPr>
          <w:rFonts w:ascii="Times New Roman" w:hAnsi="Times New Roman" w:cs="Times New Roman"/>
          <w:sz w:val="24"/>
          <w:szCs w:val="24"/>
          <w:lang w:val="en-US"/>
        </w:rPr>
        <w:t xml:space="preserve">-value of 0.05. </w:t>
      </w:r>
    </w:p>
    <w:p w14:paraId="7CB8BF83" w14:textId="56A70369" w:rsidR="001C1FC9" w:rsidRPr="00D33E21" w:rsidRDefault="001C1FC9" w:rsidP="009C2C84">
      <w:pPr>
        <w:spacing w:line="360" w:lineRule="auto"/>
        <w:rPr>
          <w:rFonts w:ascii="Times New Roman" w:hAnsi="Times New Roman" w:cs="Times New Roman"/>
          <w:sz w:val="24"/>
          <w:szCs w:val="24"/>
          <w:lang w:val="en-US"/>
        </w:rPr>
      </w:pPr>
    </w:p>
    <w:p w14:paraId="0F8CF5C4" w14:textId="77777777" w:rsidR="004B4A4A" w:rsidRDefault="004B4A4A" w:rsidP="001C1FC9">
      <w:pPr>
        <w:spacing w:line="360" w:lineRule="auto"/>
        <w:rPr>
          <w:rFonts w:ascii="Times New Roman" w:hAnsi="Times New Roman" w:cs="Times New Roman"/>
          <w:b/>
          <w:bCs/>
          <w:sz w:val="24"/>
          <w:szCs w:val="24"/>
          <w:lang w:val="en-US"/>
        </w:rPr>
      </w:pPr>
    </w:p>
    <w:p w14:paraId="34BFEFF4" w14:textId="77777777" w:rsidR="00FD638F" w:rsidRDefault="00FD638F" w:rsidP="001C1FC9">
      <w:pPr>
        <w:spacing w:line="360" w:lineRule="auto"/>
        <w:rPr>
          <w:rFonts w:ascii="Times New Roman" w:hAnsi="Times New Roman" w:cs="Times New Roman"/>
          <w:b/>
          <w:bCs/>
          <w:sz w:val="24"/>
          <w:szCs w:val="24"/>
          <w:lang w:val="en-US"/>
        </w:rPr>
      </w:pPr>
    </w:p>
    <w:p w14:paraId="3D767194" w14:textId="77777777" w:rsidR="00FD638F" w:rsidRDefault="00FD638F" w:rsidP="001C1FC9">
      <w:pPr>
        <w:spacing w:line="360" w:lineRule="auto"/>
        <w:rPr>
          <w:rFonts w:ascii="Times New Roman" w:hAnsi="Times New Roman" w:cs="Times New Roman"/>
          <w:b/>
          <w:bCs/>
          <w:sz w:val="24"/>
          <w:szCs w:val="24"/>
          <w:lang w:val="en-US"/>
        </w:rPr>
      </w:pPr>
    </w:p>
    <w:p w14:paraId="28DB17F2" w14:textId="77777777" w:rsidR="00FD638F" w:rsidRDefault="00FD638F" w:rsidP="001C1FC9">
      <w:pPr>
        <w:spacing w:line="360" w:lineRule="auto"/>
        <w:rPr>
          <w:rFonts w:ascii="Times New Roman" w:hAnsi="Times New Roman" w:cs="Times New Roman"/>
          <w:b/>
          <w:bCs/>
          <w:sz w:val="24"/>
          <w:szCs w:val="24"/>
          <w:lang w:val="en-US"/>
        </w:rPr>
      </w:pPr>
    </w:p>
    <w:p w14:paraId="3E9AEBF9" w14:textId="77777777" w:rsidR="00FD638F" w:rsidRPr="00D33E21" w:rsidRDefault="00FD638F" w:rsidP="001C1FC9">
      <w:pPr>
        <w:spacing w:line="360" w:lineRule="auto"/>
        <w:rPr>
          <w:rFonts w:ascii="Times New Roman" w:hAnsi="Times New Roman" w:cs="Times New Roman"/>
          <w:b/>
          <w:bCs/>
          <w:sz w:val="24"/>
          <w:szCs w:val="24"/>
          <w:lang w:val="en-US"/>
        </w:rPr>
      </w:pPr>
    </w:p>
    <w:p w14:paraId="413F76EB" w14:textId="11D5B526" w:rsidR="001C1FC9" w:rsidRDefault="001C1FC9" w:rsidP="001C1FC9">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lastRenderedPageBreak/>
        <w:t>1.4 Sensitivity analysis</w:t>
      </w:r>
    </w:p>
    <w:p w14:paraId="7CBD9A82" w14:textId="253F715B" w:rsidR="00FD638F" w:rsidRPr="00D33E21" w:rsidRDefault="00FD638F" w:rsidP="001C1FC9">
      <w:pPr>
        <w:spacing w:line="360" w:lineRule="auto"/>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0DEC663C" wp14:editId="78CC1F77">
            <wp:extent cx="5731510" cy="2298065"/>
            <wp:effectExtent l="0" t="0" r="2540" b="6985"/>
            <wp:docPr id="1164328409" name="Picture 1" descr="A graph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28409" name="Picture 1" descr="A graph with black and white lin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2298065"/>
                    </a:xfrm>
                    <a:prstGeom prst="rect">
                      <a:avLst/>
                    </a:prstGeom>
                  </pic:spPr>
                </pic:pic>
              </a:graphicData>
            </a:graphic>
          </wp:inline>
        </w:drawing>
      </w:r>
    </w:p>
    <w:p w14:paraId="6BDC7549" w14:textId="7DDE9ABF" w:rsidR="001C1FC9" w:rsidRPr="00D33E21" w:rsidRDefault="00184BC9" w:rsidP="001C1FC9">
      <w:pPr>
        <w:spacing w:line="360" w:lineRule="auto"/>
        <w:rPr>
          <w:rFonts w:ascii="Times New Roman" w:hAnsi="Times New Roman" w:cs="Times New Roman"/>
          <w:sz w:val="24"/>
          <w:szCs w:val="24"/>
          <w:lang w:val="en-US"/>
        </w:rPr>
      </w:pPr>
      <w:r w:rsidRPr="00D33E21">
        <w:rPr>
          <w:rFonts w:ascii="Times New Roman" w:hAnsi="Times New Roman" w:cs="Times New Roman"/>
          <w:noProof/>
          <w:sz w:val="24"/>
          <w:szCs w:val="24"/>
          <w:lang w:val="en-US"/>
        </w:rPr>
        <w:drawing>
          <wp:anchor distT="0" distB="0" distL="114300" distR="114300" simplePos="0" relativeHeight="251674624" behindDoc="0" locked="0" layoutInCell="1" allowOverlap="1" wp14:anchorId="00A34111" wp14:editId="7F55A79C">
            <wp:simplePos x="0" y="0"/>
            <wp:positionH relativeFrom="margin">
              <wp:posOffset>-98425</wp:posOffset>
            </wp:positionH>
            <wp:positionV relativeFrom="margin">
              <wp:posOffset>3357245</wp:posOffset>
            </wp:positionV>
            <wp:extent cx="5731510" cy="3404235"/>
            <wp:effectExtent l="0" t="0" r="2540" b="5715"/>
            <wp:wrapSquare wrapText="bothSides"/>
            <wp:docPr id="488819637" name="Picture 1" descr="A blue and white pyramid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19637" name="Picture 1" descr="A blue and white pyramid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404235"/>
                    </a:xfrm>
                    <a:prstGeom prst="rect">
                      <a:avLst/>
                    </a:prstGeom>
                  </pic:spPr>
                </pic:pic>
              </a:graphicData>
            </a:graphic>
          </wp:anchor>
        </w:drawing>
      </w:r>
      <w:r w:rsidR="00B220A5" w:rsidRPr="00D33E21">
        <w:rPr>
          <w:rFonts w:ascii="Times New Roman" w:hAnsi="Times New Roman" w:cs="Times New Roman"/>
          <w:sz w:val="24"/>
          <w:szCs w:val="24"/>
          <w:lang w:val="en-US"/>
        </w:rPr>
        <w:t xml:space="preserve"> </w:t>
      </w:r>
      <w:r w:rsidR="001C1FC9" w:rsidRPr="00D33E21">
        <w:rPr>
          <w:rFonts w:ascii="Times New Roman" w:hAnsi="Times New Roman" w:cs="Times New Roman"/>
          <w:sz w:val="24"/>
          <w:szCs w:val="24"/>
          <w:lang w:val="en-US"/>
        </w:rPr>
        <w:t>Figure S</w:t>
      </w:r>
      <w:r w:rsidR="00064B31" w:rsidRPr="00D33E21">
        <w:rPr>
          <w:rFonts w:ascii="Times New Roman" w:hAnsi="Times New Roman" w:cs="Times New Roman"/>
          <w:sz w:val="24"/>
          <w:szCs w:val="24"/>
          <w:lang w:val="en-US"/>
        </w:rPr>
        <w:t>F</w:t>
      </w:r>
      <w:r w:rsidR="00CD3546" w:rsidRPr="00D33E21">
        <w:rPr>
          <w:rFonts w:ascii="Times New Roman" w:hAnsi="Times New Roman" w:cs="Times New Roman"/>
          <w:sz w:val="24"/>
          <w:szCs w:val="24"/>
          <w:lang w:val="en-US"/>
        </w:rPr>
        <w:t>2</w:t>
      </w:r>
      <w:r w:rsidR="001C1FC9" w:rsidRPr="00D33E21">
        <w:rPr>
          <w:rFonts w:ascii="Times New Roman" w:hAnsi="Times New Roman" w:cs="Times New Roman"/>
          <w:sz w:val="24"/>
          <w:szCs w:val="24"/>
          <w:lang w:val="en-US"/>
        </w:rPr>
        <w:t xml:space="preserve">. Forest plot for the sensitivity analysis. </w:t>
      </w:r>
    </w:p>
    <w:p w14:paraId="4FA6426E" w14:textId="2D57016E" w:rsidR="001C1FC9" w:rsidRPr="00D33E21" w:rsidRDefault="001C1FC9" w:rsidP="009C2C84">
      <w:pPr>
        <w:spacing w:line="360" w:lineRule="auto"/>
        <w:rPr>
          <w:rFonts w:ascii="Times New Roman" w:hAnsi="Times New Roman" w:cs="Times New Roman"/>
          <w:sz w:val="24"/>
          <w:szCs w:val="24"/>
          <w:lang w:val="en-US"/>
        </w:rPr>
      </w:pPr>
    </w:p>
    <w:p w14:paraId="5702AE24" w14:textId="2A7CB31C" w:rsidR="001C1FC9" w:rsidRPr="00D33E21" w:rsidRDefault="004B4A4A" w:rsidP="009C2C84">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Figure S</w:t>
      </w:r>
      <w:r w:rsidR="00064B31" w:rsidRPr="00D33E21">
        <w:rPr>
          <w:rFonts w:ascii="Times New Roman" w:hAnsi="Times New Roman" w:cs="Times New Roman"/>
          <w:sz w:val="24"/>
          <w:szCs w:val="24"/>
          <w:lang w:val="en-US"/>
        </w:rPr>
        <w:t>F</w:t>
      </w:r>
      <w:r w:rsidR="00CD3546" w:rsidRPr="00D33E21">
        <w:rPr>
          <w:rFonts w:ascii="Times New Roman" w:hAnsi="Times New Roman" w:cs="Times New Roman"/>
          <w:sz w:val="24"/>
          <w:szCs w:val="24"/>
          <w:lang w:val="en-US"/>
        </w:rPr>
        <w:t>3</w:t>
      </w:r>
      <w:r w:rsidRPr="00D33E21">
        <w:rPr>
          <w:rFonts w:ascii="Times New Roman" w:hAnsi="Times New Roman" w:cs="Times New Roman"/>
          <w:sz w:val="24"/>
          <w:szCs w:val="24"/>
          <w:lang w:val="en-US"/>
        </w:rPr>
        <w:t>. Contour-enhanced funnel plot. The black dots represent each individual study. The shaded regions represent various levels of statistical significance</w:t>
      </w:r>
    </w:p>
    <w:p w14:paraId="26E200B5" w14:textId="4456104A" w:rsidR="001C1FC9" w:rsidRDefault="001C1FC9" w:rsidP="009C2C84">
      <w:pPr>
        <w:spacing w:line="360" w:lineRule="auto"/>
        <w:rPr>
          <w:rFonts w:ascii="Times New Roman" w:hAnsi="Times New Roman" w:cs="Times New Roman"/>
          <w:sz w:val="24"/>
          <w:szCs w:val="24"/>
          <w:lang w:val="en-US"/>
        </w:rPr>
      </w:pPr>
    </w:p>
    <w:p w14:paraId="2B13FA70" w14:textId="77777777" w:rsidR="00184BC9" w:rsidRDefault="00184BC9" w:rsidP="009C2C84">
      <w:pPr>
        <w:spacing w:line="360" w:lineRule="auto"/>
        <w:rPr>
          <w:rFonts w:ascii="Times New Roman" w:hAnsi="Times New Roman" w:cs="Times New Roman"/>
          <w:sz w:val="24"/>
          <w:szCs w:val="24"/>
          <w:lang w:val="en-US"/>
        </w:rPr>
      </w:pPr>
    </w:p>
    <w:p w14:paraId="6F8BFABE" w14:textId="77777777" w:rsidR="00184BC9" w:rsidRPr="00D33E21" w:rsidRDefault="00184BC9" w:rsidP="009C2C84">
      <w:pPr>
        <w:spacing w:line="360" w:lineRule="auto"/>
        <w:rPr>
          <w:rFonts w:ascii="Times New Roman" w:hAnsi="Times New Roman" w:cs="Times New Roman"/>
          <w:sz w:val="24"/>
          <w:szCs w:val="24"/>
          <w:lang w:val="en-US"/>
        </w:rPr>
      </w:pPr>
    </w:p>
    <w:p w14:paraId="20AAEBF7" w14:textId="457AE51D" w:rsidR="00175AF6" w:rsidRPr="00D33E21" w:rsidRDefault="00175AF6" w:rsidP="00175AF6">
      <w:pPr>
        <w:spacing w:line="360" w:lineRule="auto"/>
        <w:rPr>
          <w:rFonts w:ascii="Times New Roman" w:hAnsi="Times New Roman" w:cs="Times New Roman"/>
          <w:b/>
          <w:bCs/>
          <w:sz w:val="24"/>
          <w:szCs w:val="24"/>
          <w:lang w:val="en-US"/>
        </w:rPr>
      </w:pPr>
      <w:r w:rsidRPr="00D33E21">
        <w:rPr>
          <w:rFonts w:ascii="Times New Roman" w:hAnsi="Times New Roman" w:cs="Times New Roman"/>
          <w:b/>
          <w:bCs/>
          <w:sz w:val="24"/>
          <w:szCs w:val="24"/>
          <w:lang w:val="en-US"/>
        </w:rPr>
        <w:lastRenderedPageBreak/>
        <w:t>1.5 Exploratory analysis</w:t>
      </w:r>
    </w:p>
    <w:p w14:paraId="47817FDE" w14:textId="0E9E31C9" w:rsidR="001C1FC9" w:rsidRPr="00D33E21" w:rsidRDefault="00C00C26" w:rsidP="009C2C84">
      <w:pPr>
        <w:spacing w:line="360" w:lineRule="auto"/>
        <w:rPr>
          <w:rFonts w:ascii="Times New Roman" w:hAnsi="Times New Roman" w:cs="Times New Roman"/>
          <w:sz w:val="24"/>
          <w:szCs w:val="24"/>
          <w:lang w:val="en-US"/>
        </w:rPr>
      </w:pPr>
      <w:r w:rsidRPr="00D33E21">
        <w:rPr>
          <w:noProof/>
        </w:rPr>
        <w:drawing>
          <wp:anchor distT="0" distB="0" distL="114300" distR="114300" simplePos="0" relativeHeight="251671552" behindDoc="0" locked="0" layoutInCell="1" allowOverlap="1" wp14:anchorId="65E8A9AF" wp14:editId="29C28B39">
            <wp:simplePos x="0" y="0"/>
            <wp:positionH relativeFrom="margin">
              <wp:posOffset>0</wp:posOffset>
            </wp:positionH>
            <wp:positionV relativeFrom="margin">
              <wp:posOffset>720090</wp:posOffset>
            </wp:positionV>
            <wp:extent cx="5760720" cy="3656330"/>
            <wp:effectExtent l="0" t="0" r="0" b="1270"/>
            <wp:wrapSquare wrapText="bothSides"/>
            <wp:docPr id="23" name="Picture 23" descr="A group of graph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oup of graphs with number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60720" cy="3656330"/>
                    </a:xfrm>
                    <a:prstGeom prst="rect">
                      <a:avLst/>
                    </a:prstGeom>
                  </pic:spPr>
                </pic:pic>
              </a:graphicData>
            </a:graphic>
          </wp:anchor>
        </w:drawing>
      </w:r>
    </w:p>
    <w:p w14:paraId="534E4F62" w14:textId="77777777" w:rsidR="001C1FC9" w:rsidRPr="00D33E21" w:rsidRDefault="001C1FC9" w:rsidP="009C2C84">
      <w:pPr>
        <w:spacing w:line="360" w:lineRule="auto"/>
        <w:rPr>
          <w:rFonts w:ascii="Times New Roman" w:hAnsi="Times New Roman" w:cs="Times New Roman"/>
          <w:sz w:val="24"/>
          <w:szCs w:val="24"/>
          <w:lang w:val="en-US"/>
        </w:rPr>
      </w:pPr>
    </w:p>
    <w:p w14:paraId="368552BB" w14:textId="4B17F32D" w:rsidR="001C1FC9" w:rsidRPr="00D33E21" w:rsidRDefault="00D75A64" w:rsidP="009C2C84">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Figure S</w:t>
      </w:r>
      <w:r w:rsidR="00CF7C21" w:rsidRPr="00D33E21">
        <w:rPr>
          <w:rFonts w:ascii="Times New Roman" w:hAnsi="Times New Roman" w:cs="Times New Roman"/>
          <w:sz w:val="24"/>
          <w:szCs w:val="24"/>
          <w:lang w:val="en-US"/>
        </w:rPr>
        <w:t>F</w:t>
      </w:r>
      <w:r w:rsidRPr="00D33E21">
        <w:rPr>
          <w:rFonts w:ascii="Times New Roman" w:hAnsi="Times New Roman" w:cs="Times New Roman"/>
          <w:sz w:val="24"/>
          <w:szCs w:val="24"/>
          <w:lang w:val="en-US"/>
        </w:rPr>
        <w:t xml:space="preserve">4. </w:t>
      </w:r>
      <w:proofErr w:type="spellStart"/>
      <w:r w:rsidRPr="00D33E21">
        <w:rPr>
          <w:rFonts w:ascii="Times New Roman" w:hAnsi="Times New Roman" w:cs="Times New Roman"/>
          <w:sz w:val="24"/>
          <w:szCs w:val="24"/>
          <w:lang w:val="en-US"/>
        </w:rPr>
        <w:t>Dotplots</w:t>
      </w:r>
      <w:proofErr w:type="spellEnd"/>
      <w:r w:rsidRPr="00D33E21">
        <w:rPr>
          <w:rFonts w:ascii="Times New Roman" w:hAnsi="Times New Roman" w:cs="Times New Roman"/>
          <w:sz w:val="24"/>
          <w:szCs w:val="24"/>
          <w:lang w:val="en-US"/>
        </w:rPr>
        <w:t xml:space="preserve"> with the effect size plotted against the </w:t>
      </w:r>
      <w:proofErr w:type="spellStart"/>
      <w:r w:rsidRPr="00D33E21">
        <w:rPr>
          <w:rFonts w:ascii="Times New Roman" w:hAnsi="Times New Roman" w:cs="Times New Roman"/>
          <w:sz w:val="24"/>
          <w:szCs w:val="24"/>
          <w:lang w:val="en-US"/>
        </w:rPr>
        <w:t>melanopic</w:t>
      </w:r>
      <w:proofErr w:type="spellEnd"/>
      <w:r w:rsidRPr="00D33E21">
        <w:rPr>
          <w:rFonts w:ascii="Times New Roman" w:hAnsi="Times New Roman" w:cs="Times New Roman"/>
          <w:sz w:val="24"/>
          <w:szCs w:val="24"/>
          <w:lang w:val="en-US"/>
        </w:rPr>
        <w:t xml:space="preserve"> lux (A), delta </w:t>
      </w:r>
      <w:proofErr w:type="spellStart"/>
      <w:r w:rsidRPr="00D33E21">
        <w:rPr>
          <w:rFonts w:ascii="Times New Roman" w:hAnsi="Times New Roman" w:cs="Times New Roman"/>
          <w:sz w:val="24"/>
          <w:szCs w:val="24"/>
          <w:lang w:val="en-US"/>
        </w:rPr>
        <w:t>melanopic</w:t>
      </w:r>
      <w:proofErr w:type="spellEnd"/>
      <w:r w:rsidRPr="00D33E21">
        <w:rPr>
          <w:rFonts w:ascii="Times New Roman" w:hAnsi="Times New Roman" w:cs="Times New Roman"/>
          <w:sz w:val="24"/>
          <w:szCs w:val="24"/>
          <w:lang w:val="en-US"/>
        </w:rPr>
        <w:t xml:space="preserve"> lux (B), the sample size (C) and the number of study days (D). The plot lines represent predictions from a linear model with 95% confidence level intervals (grey area).</w:t>
      </w:r>
    </w:p>
    <w:p w14:paraId="70DF8A6E" w14:textId="52ECBECD" w:rsidR="001C1FC9" w:rsidRPr="00D33E21" w:rsidRDefault="001C1FC9" w:rsidP="009C2C84">
      <w:pPr>
        <w:spacing w:line="360" w:lineRule="auto"/>
        <w:rPr>
          <w:rFonts w:ascii="Times New Roman" w:hAnsi="Times New Roman" w:cs="Times New Roman"/>
          <w:sz w:val="24"/>
          <w:szCs w:val="24"/>
          <w:lang w:val="en-US"/>
        </w:rPr>
      </w:pPr>
    </w:p>
    <w:p w14:paraId="7403BE16" w14:textId="77777777" w:rsidR="001C1FC9" w:rsidRPr="00D33E21" w:rsidRDefault="001C1FC9" w:rsidP="009C2C84">
      <w:pPr>
        <w:spacing w:line="360" w:lineRule="auto"/>
        <w:rPr>
          <w:rFonts w:ascii="Times New Roman" w:hAnsi="Times New Roman" w:cs="Times New Roman"/>
          <w:sz w:val="24"/>
          <w:szCs w:val="24"/>
          <w:lang w:val="en-US"/>
        </w:rPr>
      </w:pPr>
    </w:p>
    <w:p w14:paraId="77FF7403" w14:textId="77777777" w:rsidR="001C1FC9" w:rsidRPr="00D33E21" w:rsidRDefault="001C1FC9" w:rsidP="009C2C84">
      <w:pPr>
        <w:spacing w:line="360" w:lineRule="auto"/>
        <w:rPr>
          <w:rFonts w:ascii="Times New Roman" w:hAnsi="Times New Roman" w:cs="Times New Roman"/>
          <w:sz w:val="24"/>
          <w:szCs w:val="24"/>
          <w:lang w:val="en-US"/>
        </w:rPr>
      </w:pPr>
    </w:p>
    <w:p w14:paraId="4E2E4193" w14:textId="77777777" w:rsidR="007E552E" w:rsidRPr="00D33E21" w:rsidRDefault="007E552E" w:rsidP="009C2C84">
      <w:pPr>
        <w:spacing w:line="360" w:lineRule="auto"/>
        <w:rPr>
          <w:rFonts w:ascii="Times New Roman" w:hAnsi="Times New Roman" w:cs="Times New Roman"/>
          <w:sz w:val="24"/>
          <w:szCs w:val="24"/>
          <w:lang w:val="en-US"/>
        </w:rPr>
      </w:pPr>
    </w:p>
    <w:p w14:paraId="2D222EED" w14:textId="77777777" w:rsidR="007E552E" w:rsidRPr="00D33E21" w:rsidRDefault="007E552E" w:rsidP="009C2C84">
      <w:pPr>
        <w:spacing w:line="360" w:lineRule="auto"/>
        <w:rPr>
          <w:rFonts w:ascii="Times New Roman" w:hAnsi="Times New Roman" w:cs="Times New Roman"/>
          <w:sz w:val="24"/>
          <w:szCs w:val="24"/>
          <w:lang w:val="en-US"/>
        </w:rPr>
      </w:pPr>
    </w:p>
    <w:p w14:paraId="2742D106" w14:textId="77777777" w:rsidR="007E552E" w:rsidRPr="00D33E21" w:rsidRDefault="007E552E" w:rsidP="009C2C84">
      <w:pPr>
        <w:spacing w:line="360" w:lineRule="auto"/>
        <w:rPr>
          <w:rFonts w:ascii="Times New Roman" w:hAnsi="Times New Roman" w:cs="Times New Roman"/>
          <w:sz w:val="24"/>
          <w:szCs w:val="24"/>
          <w:lang w:val="en-US"/>
        </w:rPr>
      </w:pPr>
    </w:p>
    <w:p w14:paraId="100D4D77" w14:textId="77777777" w:rsidR="007E552E" w:rsidRPr="00D33E21" w:rsidRDefault="007E552E" w:rsidP="009C2C84">
      <w:pPr>
        <w:spacing w:line="360" w:lineRule="auto"/>
        <w:rPr>
          <w:rFonts w:ascii="Times New Roman" w:hAnsi="Times New Roman" w:cs="Times New Roman"/>
          <w:sz w:val="24"/>
          <w:szCs w:val="24"/>
          <w:lang w:val="en-US"/>
        </w:rPr>
      </w:pPr>
    </w:p>
    <w:p w14:paraId="5F5D5008" w14:textId="77777777" w:rsidR="007E552E" w:rsidRPr="00D33E21" w:rsidRDefault="007E552E" w:rsidP="009C2C84">
      <w:pPr>
        <w:spacing w:line="360" w:lineRule="auto"/>
        <w:rPr>
          <w:rFonts w:ascii="Times New Roman" w:hAnsi="Times New Roman" w:cs="Times New Roman"/>
          <w:sz w:val="24"/>
          <w:szCs w:val="24"/>
          <w:lang w:val="en-US"/>
        </w:rPr>
      </w:pPr>
    </w:p>
    <w:p w14:paraId="7DA6CBC8" w14:textId="77777777" w:rsidR="007E552E" w:rsidRPr="00D33E21" w:rsidRDefault="007E552E" w:rsidP="009C2C84">
      <w:pPr>
        <w:spacing w:line="360" w:lineRule="auto"/>
        <w:rPr>
          <w:rFonts w:ascii="Times New Roman" w:hAnsi="Times New Roman" w:cs="Times New Roman"/>
          <w:sz w:val="24"/>
          <w:szCs w:val="24"/>
          <w:lang w:val="en-US"/>
        </w:rPr>
      </w:pPr>
    </w:p>
    <w:p w14:paraId="1BC760BD" w14:textId="4AD6E6F6" w:rsidR="007E552E" w:rsidRPr="00D33E21" w:rsidRDefault="007E552E" w:rsidP="009C2C84">
      <w:pPr>
        <w:spacing w:line="360" w:lineRule="auto"/>
        <w:rPr>
          <w:rFonts w:ascii="Times New Roman" w:hAnsi="Times New Roman" w:cs="Times New Roman"/>
          <w:sz w:val="24"/>
          <w:szCs w:val="24"/>
          <w:lang w:val="en-US"/>
        </w:rPr>
      </w:pPr>
      <w:r w:rsidRPr="00D33E21">
        <w:rPr>
          <w:noProof/>
        </w:rPr>
        <w:lastRenderedPageBreak/>
        <w:drawing>
          <wp:anchor distT="0" distB="0" distL="114300" distR="114300" simplePos="0" relativeHeight="251673600" behindDoc="0" locked="0" layoutInCell="1" allowOverlap="1" wp14:anchorId="316753F8" wp14:editId="640D1A72">
            <wp:simplePos x="0" y="0"/>
            <wp:positionH relativeFrom="margin">
              <wp:posOffset>0</wp:posOffset>
            </wp:positionH>
            <wp:positionV relativeFrom="margin">
              <wp:posOffset>368300</wp:posOffset>
            </wp:positionV>
            <wp:extent cx="5760720" cy="3656330"/>
            <wp:effectExtent l="0" t="0" r="0" b="1270"/>
            <wp:wrapSquare wrapText="bothSides"/>
            <wp:docPr id="24" name="Picture 24" descr="A diagram of a diagram of a healthy and dissect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iagram of a diagram of a healthy and dissected&#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60720" cy="3656330"/>
                    </a:xfrm>
                    <a:prstGeom prst="rect">
                      <a:avLst/>
                    </a:prstGeom>
                  </pic:spPr>
                </pic:pic>
              </a:graphicData>
            </a:graphic>
          </wp:anchor>
        </w:drawing>
      </w:r>
    </w:p>
    <w:p w14:paraId="5A773BFC" w14:textId="4FE446A6" w:rsidR="00A933B8" w:rsidRPr="00D33E21" w:rsidRDefault="00A933B8" w:rsidP="00A933B8">
      <w:pPr>
        <w:spacing w:line="360" w:lineRule="auto"/>
        <w:rPr>
          <w:rFonts w:ascii="Times New Roman" w:hAnsi="Times New Roman" w:cs="Times New Roman"/>
          <w:sz w:val="24"/>
          <w:szCs w:val="24"/>
          <w:lang w:val="en-US"/>
        </w:rPr>
      </w:pPr>
      <w:r w:rsidRPr="00D33E21">
        <w:rPr>
          <w:rFonts w:ascii="Times New Roman" w:hAnsi="Times New Roman" w:cs="Times New Roman"/>
          <w:sz w:val="24"/>
          <w:szCs w:val="24"/>
          <w:lang w:val="en-US"/>
        </w:rPr>
        <w:t>Figure S</w:t>
      </w:r>
      <w:r w:rsidR="00FC7A2E" w:rsidRPr="00D33E21">
        <w:rPr>
          <w:rFonts w:ascii="Times New Roman" w:hAnsi="Times New Roman" w:cs="Times New Roman"/>
          <w:sz w:val="24"/>
          <w:szCs w:val="24"/>
          <w:lang w:val="en-US"/>
        </w:rPr>
        <w:t>F</w:t>
      </w:r>
      <w:r w:rsidRPr="00D33E21">
        <w:rPr>
          <w:rFonts w:ascii="Times New Roman" w:hAnsi="Times New Roman" w:cs="Times New Roman"/>
          <w:sz w:val="24"/>
          <w:szCs w:val="24"/>
          <w:lang w:val="en-US"/>
        </w:rPr>
        <w:t>5. Violin plots showing effect sizes in diseased (</w:t>
      </w:r>
      <w:r w:rsidRPr="00D33E21">
        <w:rPr>
          <w:rFonts w:ascii="Times New Roman" w:hAnsi="Times New Roman" w:cs="Times New Roman"/>
          <w:i/>
          <w:iCs/>
          <w:sz w:val="24"/>
          <w:szCs w:val="24"/>
          <w:lang w:val="en-US"/>
        </w:rPr>
        <w:t>k</w:t>
      </w:r>
      <w:r w:rsidRPr="00D33E21">
        <w:rPr>
          <w:rFonts w:ascii="Times New Roman" w:hAnsi="Times New Roman" w:cs="Times New Roman"/>
          <w:sz w:val="24"/>
          <w:szCs w:val="24"/>
          <w:lang w:val="en-US"/>
        </w:rPr>
        <w:t xml:space="preserve"> = 18) versus healthy (</w:t>
      </w:r>
      <w:r w:rsidRPr="00D33E21">
        <w:rPr>
          <w:rFonts w:ascii="Times New Roman" w:hAnsi="Times New Roman" w:cs="Times New Roman"/>
          <w:i/>
          <w:iCs/>
          <w:sz w:val="24"/>
          <w:szCs w:val="24"/>
          <w:lang w:val="en-US"/>
        </w:rPr>
        <w:t>k</w:t>
      </w:r>
      <w:r w:rsidRPr="00D33E21">
        <w:rPr>
          <w:rFonts w:ascii="Times New Roman" w:hAnsi="Times New Roman" w:cs="Times New Roman"/>
          <w:sz w:val="24"/>
          <w:szCs w:val="24"/>
          <w:lang w:val="en-US"/>
        </w:rPr>
        <w:t xml:space="preserve"> = 16) samples. </w:t>
      </w:r>
    </w:p>
    <w:p w14:paraId="20776DCA" w14:textId="77777777" w:rsidR="001C1FC9" w:rsidRPr="00D33E21" w:rsidRDefault="001C1FC9" w:rsidP="009C2C84">
      <w:pPr>
        <w:spacing w:line="360" w:lineRule="auto"/>
        <w:rPr>
          <w:rFonts w:ascii="Times New Roman" w:hAnsi="Times New Roman" w:cs="Times New Roman"/>
          <w:sz w:val="24"/>
          <w:szCs w:val="24"/>
          <w:lang w:val="en-US"/>
        </w:rPr>
      </w:pPr>
    </w:p>
    <w:p w14:paraId="56A698CB" w14:textId="7F84A8B2" w:rsidR="001C1FC9" w:rsidRPr="00D33E21" w:rsidRDefault="001C1FC9" w:rsidP="009C2C84">
      <w:pPr>
        <w:spacing w:line="360" w:lineRule="auto"/>
        <w:rPr>
          <w:rFonts w:ascii="Times New Roman" w:hAnsi="Times New Roman" w:cs="Times New Roman"/>
          <w:sz w:val="24"/>
          <w:szCs w:val="24"/>
          <w:lang w:val="en-US"/>
        </w:rPr>
      </w:pPr>
    </w:p>
    <w:p w14:paraId="540DA173" w14:textId="6F1F2C34" w:rsidR="001C1FC9" w:rsidRPr="00D33E21" w:rsidRDefault="001C1FC9" w:rsidP="009C2C84">
      <w:pPr>
        <w:spacing w:line="360" w:lineRule="auto"/>
        <w:rPr>
          <w:rFonts w:ascii="Times New Roman" w:hAnsi="Times New Roman" w:cs="Times New Roman"/>
          <w:sz w:val="24"/>
          <w:szCs w:val="24"/>
          <w:lang w:val="en-US"/>
        </w:rPr>
      </w:pPr>
    </w:p>
    <w:p w14:paraId="1ADD1C45" w14:textId="24426C87" w:rsidR="001C1FC9" w:rsidRDefault="001C1FC9" w:rsidP="009C2C84">
      <w:pPr>
        <w:spacing w:line="360" w:lineRule="auto"/>
        <w:rPr>
          <w:rFonts w:ascii="Times New Roman" w:hAnsi="Times New Roman" w:cs="Times New Roman"/>
          <w:sz w:val="24"/>
          <w:szCs w:val="24"/>
          <w:lang w:val="en-US"/>
        </w:rPr>
      </w:pPr>
    </w:p>
    <w:p w14:paraId="7C9DEF46" w14:textId="77777777" w:rsidR="00220CAF" w:rsidRDefault="00220CAF" w:rsidP="009C2C84">
      <w:pPr>
        <w:spacing w:line="360" w:lineRule="auto"/>
        <w:rPr>
          <w:rFonts w:ascii="Times New Roman" w:hAnsi="Times New Roman" w:cs="Times New Roman"/>
          <w:sz w:val="24"/>
          <w:szCs w:val="24"/>
          <w:lang w:val="en-US"/>
        </w:rPr>
      </w:pPr>
    </w:p>
    <w:p w14:paraId="307E764F" w14:textId="77777777" w:rsidR="00220CAF" w:rsidRDefault="00220CAF" w:rsidP="009C2C84">
      <w:pPr>
        <w:spacing w:line="360" w:lineRule="auto"/>
        <w:rPr>
          <w:rFonts w:ascii="Times New Roman" w:hAnsi="Times New Roman" w:cs="Times New Roman"/>
          <w:sz w:val="24"/>
          <w:szCs w:val="24"/>
          <w:lang w:val="en-US"/>
        </w:rPr>
      </w:pPr>
    </w:p>
    <w:p w14:paraId="1515932A" w14:textId="77777777" w:rsidR="00220CAF" w:rsidRDefault="00220CAF" w:rsidP="009C2C84">
      <w:pPr>
        <w:spacing w:line="360" w:lineRule="auto"/>
        <w:rPr>
          <w:rFonts w:ascii="Times New Roman" w:hAnsi="Times New Roman" w:cs="Times New Roman"/>
          <w:sz w:val="24"/>
          <w:szCs w:val="24"/>
          <w:lang w:val="en-US"/>
        </w:rPr>
      </w:pPr>
    </w:p>
    <w:p w14:paraId="6D629623" w14:textId="77777777" w:rsidR="00220CAF" w:rsidRDefault="00220CAF" w:rsidP="009C2C84">
      <w:pPr>
        <w:spacing w:line="360" w:lineRule="auto"/>
        <w:rPr>
          <w:rFonts w:ascii="Times New Roman" w:hAnsi="Times New Roman" w:cs="Times New Roman"/>
          <w:sz w:val="24"/>
          <w:szCs w:val="24"/>
          <w:lang w:val="en-US"/>
        </w:rPr>
      </w:pPr>
    </w:p>
    <w:p w14:paraId="3786FF05" w14:textId="77777777" w:rsidR="00220CAF" w:rsidRDefault="00220CAF" w:rsidP="009C2C84">
      <w:pPr>
        <w:spacing w:line="360" w:lineRule="auto"/>
        <w:rPr>
          <w:rFonts w:ascii="Times New Roman" w:hAnsi="Times New Roman" w:cs="Times New Roman"/>
          <w:sz w:val="24"/>
          <w:szCs w:val="24"/>
          <w:lang w:val="en-US"/>
        </w:rPr>
      </w:pPr>
    </w:p>
    <w:p w14:paraId="77EB4C40" w14:textId="77777777" w:rsidR="00220CAF" w:rsidRDefault="00220CAF" w:rsidP="009C2C84">
      <w:pPr>
        <w:spacing w:line="360" w:lineRule="auto"/>
        <w:rPr>
          <w:rFonts w:ascii="Times New Roman" w:hAnsi="Times New Roman" w:cs="Times New Roman"/>
          <w:sz w:val="24"/>
          <w:szCs w:val="24"/>
          <w:lang w:val="en-US"/>
        </w:rPr>
      </w:pPr>
    </w:p>
    <w:p w14:paraId="612FE885" w14:textId="77777777" w:rsidR="00220CAF" w:rsidRDefault="00220CAF" w:rsidP="009C2C84">
      <w:pPr>
        <w:spacing w:line="360" w:lineRule="auto"/>
        <w:rPr>
          <w:rFonts w:ascii="Times New Roman" w:hAnsi="Times New Roman" w:cs="Times New Roman"/>
          <w:sz w:val="24"/>
          <w:szCs w:val="24"/>
          <w:lang w:val="en-US"/>
        </w:rPr>
      </w:pPr>
    </w:p>
    <w:p w14:paraId="1DD4C38D" w14:textId="77777777" w:rsidR="00220CAF" w:rsidRDefault="00220CAF" w:rsidP="009C2C84">
      <w:pPr>
        <w:spacing w:line="360" w:lineRule="auto"/>
        <w:rPr>
          <w:rFonts w:ascii="Times New Roman" w:hAnsi="Times New Roman" w:cs="Times New Roman"/>
          <w:sz w:val="24"/>
          <w:szCs w:val="24"/>
          <w:lang w:val="en-US"/>
        </w:rPr>
      </w:pPr>
    </w:p>
    <w:p w14:paraId="7C6BBB7A" w14:textId="0CCE46E5" w:rsidR="00220CAF" w:rsidRPr="003519CD" w:rsidRDefault="00220CAF" w:rsidP="00220CAF">
      <w:pPr>
        <w:spacing w:line="360" w:lineRule="auto"/>
        <w:jc w:val="center"/>
        <w:rPr>
          <w:rFonts w:ascii="Times New Roman" w:hAnsi="Times New Roman" w:cs="Times New Roman"/>
          <w:b/>
          <w:bCs/>
          <w:sz w:val="24"/>
          <w:szCs w:val="24"/>
          <w:lang w:val="en-US"/>
        </w:rPr>
      </w:pPr>
      <w:r w:rsidRPr="003519CD">
        <w:rPr>
          <w:rFonts w:ascii="Times New Roman" w:hAnsi="Times New Roman" w:cs="Times New Roman"/>
          <w:b/>
          <w:bCs/>
          <w:sz w:val="24"/>
          <w:szCs w:val="24"/>
          <w:lang w:val="en-US"/>
        </w:rPr>
        <w:lastRenderedPageBreak/>
        <w:t>References</w:t>
      </w:r>
    </w:p>
    <w:p w14:paraId="3FD910B1"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Bowling, A. (2004). </w:t>
      </w:r>
      <w:r w:rsidRPr="003519CD">
        <w:rPr>
          <w:rFonts w:ascii="Times New Roman" w:hAnsi="Times New Roman" w:cs="Times New Roman"/>
          <w:i/>
          <w:iCs/>
        </w:rPr>
        <w:t>Measuring health. A review of quality of life measurement scales. Third edition</w:t>
      </w:r>
      <w:r w:rsidRPr="003519CD">
        <w:rPr>
          <w:rFonts w:ascii="Times New Roman" w:hAnsi="Times New Roman" w:cs="Times New Roman"/>
        </w:rPr>
        <w:t>.</w:t>
      </w:r>
    </w:p>
    <w:p w14:paraId="05621C70"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Campbell, A. (1976). Subjective measures of well-being. </w:t>
      </w:r>
      <w:r w:rsidRPr="003519CD">
        <w:rPr>
          <w:rFonts w:ascii="Times New Roman" w:hAnsi="Times New Roman" w:cs="Times New Roman"/>
          <w:i/>
          <w:iCs/>
        </w:rPr>
        <w:t>American Psychologist</w:t>
      </w:r>
      <w:r w:rsidRPr="003519CD">
        <w:rPr>
          <w:rFonts w:ascii="Times New Roman" w:hAnsi="Times New Roman" w:cs="Times New Roman"/>
        </w:rPr>
        <w:t xml:space="preserve">, </w:t>
      </w:r>
      <w:r w:rsidRPr="003519CD">
        <w:rPr>
          <w:rFonts w:ascii="Times New Roman" w:hAnsi="Times New Roman" w:cs="Times New Roman"/>
          <w:i/>
          <w:iCs/>
        </w:rPr>
        <w:t>31</w:t>
      </w:r>
      <w:r w:rsidRPr="003519CD">
        <w:rPr>
          <w:rFonts w:ascii="Times New Roman" w:hAnsi="Times New Roman" w:cs="Times New Roman"/>
        </w:rPr>
        <w:t xml:space="preserve">, 117–124. </w:t>
      </w:r>
      <w:hyperlink r:id="rId11" w:history="1">
        <w:r w:rsidRPr="003519CD">
          <w:rPr>
            <w:rFonts w:ascii="Times New Roman" w:hAnsi="Times New Roman" w:cs="Times New Roman"/>
          </w:rPr>
          <w:t>https://doi.org/10.1037/0003-066X.31.2.117</w:t>
        </w:r>
      </w:hyperlink>
    </w:p>
    <w:p w14:paraId="1FE9A8C4" w14:textId="77777777" w:rsidR="003519CD" w:rsidRPr="003519CD" w:rsidRDefault="003519CD" w:rsidP="003519CD">
      <w:pPr>
        <w:spacing w:line="480" w:lineRule="auto"/>
        <w:ind w:hanging="480"/>
        <w:rPr>
          <w:rFonts w:ascii="Times New Roman" w:hAnsi="Times New Roman" w:cs="Times New Roman"/>
        </w:rPr>
      </w:pPr>
      <w:proofErr w:type="spellStart"/>
      <w:r w:rsidRPr="003519CD">
        <w:rPr>
          <w:rFonts w:ascii="Times New Roman" w:hAnsi="Times New Roman" w:cs="Times New Roman"/>
        </w:rPr>
        <w:t>Cantril</w:t>
      </w:r>
      <w:proofErr w:type="spellEnd"/>
      <w:r w:rsidRPr="003519CD">
        <w:rPr>
          <w:rFonts w:ascii="Times New Roman" w:hAnsi="Times New Roman" w:cs="Times New Roman"/>
        </w:rPr>
        <w:t xml:space="preserve">, H. (1966). </w:t>
      </w:r>
      <w:r w:rsidRPr="003519CD">
        <w:rPr>
          <w:rFonts w:ascii="Times New Roman" w:hAnsi="Times New Roman" w:cs="Times New Roman"/>
          <w:i/>
          <w:iCs/>
        </w:rPr>
        <w:t>The pattern of human concerns</w:t>
      </w:r>
      <w:r w:rsidRPr="003519CD">
        <w:rPr>
          <w:rFonts w:ascii="Times New Roman" w:hAnsi="Times New Roman" w:cs="Times New Roman"/>
        </w:rPr>
        <w:t>. Rutgers University Press.</w:t>
      </w:r>
    </w:p>
    <w:p w14:paraId="61FC23E5"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Devlin, N., Parkin, D., &amp; Janssen, B. (2020). </w:t>
      </w:r>
      <w:r w:rsidRPr="003519CD">
        <w:rPr>
          <w:rFonts w:ascii="Times New Roman" w:hAnsi="Times New Roman" w:cs="Times New Roman"/>
          <w:i/>
          <w:iCs/>
        </w:rPr>
        <w:t>Methods for Analysing and Reporting EQ-5D Data</w:t>
      </w:r>
      <w:r w:rsidRPr="003519CD">
        <w:rPr>
          <w:rFonts w:ascii="Times New Roman" w:hAnsi="Times New Roman" w:cs="Times New Roman"/>
        </w:rPr>
        <w:t xml:space="preserve">. Springer International Publishing. </w:t>
      </w:r>
      <w:hyperlink r:id="rId12" w:history="1">
        <w:r w:rsidRPr="003519CD">
          <w:rPr>
            <w:rFonts w:ascii="Times New Roman" w:hAnsi="Times New Roman" w:cs="Times New Roman"/>
          </w:rPr>
          <w:t>https://doi.org/10.1007/978-3-030-47622-9</w:t>
        </w:r>
      </w:hyperlink>
    </w:p>
    <w:p w14:paraId="20F9E6FA"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Diener, E., Emmons, R. A., </w:t>
      </w:r>
      <w:proofErr w:type="spellStart"/>
      <w:r w:rsidRPr="003519CD">
        <w:rPr>
          <w:rFonts w:ascii="Times New Roman" w:hAnsi="Times New Roman" w:cs="Times New Roman"/>
        </w:rPr>
        <w:t>Larsem</w:t>
      </w:r>
      <w:proofErr w:type="spellEnd"/>
      <w:r w:rsidRPr="003519CD">
        <w:rPr>
          <w:rFonts w:ascii="Times New Roman" w:hAnsi="Times New Roman" w:cs="Times New Roman"/>
        </w:rPr>
        <w:t xml:space="preserve">, R. J., &amp; Griffin, S. (1985). The Satisfaction With Life Scale. </w:t>
      </w:r>
      <w:r w:rsidRPr="003519CD">
        <w:rPr>
          <w:rFonts w:ascii="Times New Roman" w:hAnsi="Times New Roman" w:cs="Times New Roman"/>
          <w:i/>
          <w:iCs/>
        </w:rPr>
        <w:t>Journal of Personality Assessment</w:t>
      </w:r>
      <w:r w:rsidRPr="003519CD">
        <w:rPr>
          <w:rFonts w:ascii="Times New Roman" w:hAnsi="Times New Roman" w:cs="Times New Roman"/>
        </w:rPr>
        <w:t xml:space="preserve">. </w:t>
      </w:r>
      <w:hyperlink r:id="rId13" w:history="1">
        <w:r w:rsidRPr="003519CD">
          <w:rPr>
            <w:rFonts w:ascii="Times New Roman" w:hAnsi="Times New Roman" w:cs="Times New Roman"/>
          </w:rPr>
          <w:t>https://doi.org/10.1207/s15327752jpa4901_13</w:t>
        </w:r>
      </w:hyperlink>
    </w:p>
    <w:p w14:paraId="2E1ED60B"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Endicott, J., Nee, J., Harrison, W., &amp; Blumenthal, R. (1993). Quality of life enjoyment and satisfaction questionnaire: A new measure. </w:t>
      </w:r>
      <w:r w:rsidRPr="003519CD">
        <w:rPr>
          <w:rFonts w:ascii="Times New Roman" w:hAnsi="Times New Roman" w:cs="Times New Roman"/>
          <w:i/>
          <w:iCs/>
        </w:rPr>
        <w:t>Psychopharmacology Bulletin</w:t>
      </w:r>
      <w:r w:rsidRPr="003519CD">
        <w:rPr>
          <w:rFonts w:ascii="Times New Roman" w:hAnsi="Times New Roman" w:cs="Times New Roman"/>
        </w:rPr>
        <w:t xml:space="preserve">, </w:t>
      </w:r>
      <w:r w:rsidRPr="003519CD">
        <w:rPr>
          <w:rFonts w:ascii="Times New Roman" w:hAnsi="Times New Roman" w:cs="Times New Roman"/>
          <w:i/>
          <w:iCs/>
        </w:rPr>
        <w:t>29</w:t>
      </w:r>
      <w:r w:rsidRPr="003519CD">
        <w:rPr>
          <w:rFonts w:ascii="Times New Roman" w:hAnsi="Times New Roman" w:cs="Times New Roman"/>
        </w:rPr>
        <w:t>(2), 321–326. Scopus.</w:t>
      </w:r>
    </w:p>
    <w:p w14:paraId="700639F0"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Ferrans, C. E., &amp; Powers, M. J. (1992). Psychometric assessment of the quality of life index. </w:t>
      </w:r>
      <w:r w:rsidRPr="003519CD">
        <w:rPr>
          <w:rFonts w:ascii="Times New Roman" w:hAnsi="Times New Roman" w:cs="Times New Roman"/>
          <w:i/>
          <w:iCs/>
        </w:rPr>
        <w:t>Research in Nursing &amp; Health</w:t>
      </w:r>
      <w:r w:rsidRPr="003519CD">
        <w:rPr>
          <w:rFonts w:ascii="Times New Roman" w:hAnsi="Times New Roman" w:cs="Times New Roman"/>
        </w:rPr>
        <w:t xml:space="preserve">, </w:t>
      </w:r>
      <w:r w:rsidRPr="003519CD">
        <w:rPr>
          <w:rFonts w:ascii="Times New Roman" w:hAnsi="Times New Roman" w:cs="Times New Roman"/>
          <w:i/>
          <w:iCs/>
        </w:rPr>
        <w:t>15</w:t>
      </w:r>
      <w:r w:rsidRPr="003519CD">
        <w:rPr>
          <w:rFonts w:ascii="Times New Roman" w:hAnsi="Times New Roman" w:cs="Times New Roman"/>
        </w:rPr>
        <w:t xml:space="preserve">(1), 29–38. </w:t>
      </w:r>
      <w:hyperlink r:id="rId14" w:history="1">
        <w:r w:rsidRPr="003519CD">
          <w:rPr>
            <w:rFonts w:ascii="Times New Roman" w:hAnsi="Times New Roman" w:cs="Times New Roman"/>
          </w:rPr>
          <w:t>https://doi.org/10.1002/nur.4770150106</w:t>
        </w:r>
      </w:hyperlink>
    </w:p>
    <w:p w14:paraId="39E99324" w14:textId="77777777" w:rsidR="003519CD" w:rsidRPr="003519CD" w:rsidRDefault="003519CD" w:rsidP="003519CD">
      <w:pPr>
        <w:spacing w:line="480" w:lineRule="auto"/>
        <w:ind w:hanging="480"/>
        <w:rPr>
          <w:rFonts w:ascii="Times New Roman" w:hAnsi="Times New Roman" w:cs="Times New Roman"/>
          <w:i/>
          <w:iCs/>
        </w:rPr>
      </w:pPr>
      <w:r w:rsidRPr="003519CD">
        <w:rPr>
          <w:rFonts w:ascii="Times New Roman" w:hAnsi="Times New Roman" w:cs="Times New Roman"/>
        </w:rPr>
        <w:t>Hobi V (1985)</w:t>
      </w:r>
      <w:r w:rsidRPr="003519CD">
        <w:rPr>
          <w:rFonts w:ascii="Times New Roman" w:hAnsi="Times New Roman" w:cs="Times New Roman"/>
          <w:i/>
          <w:iCs/>
        </w:rPr>
        <w:t xml:space="preserve"> Basler </w:t>
      </w:r>
      <w:proofErr w:type="spellStart"/>
      <w:r w:rsidRPr="003519CD">
        <w:rPr>
          <w:rFonts w:ascii="Times New Roman" w:hAnsi="Times New Roman" w:cs="Times New Roman"/>
          <w:i/>
          <w:iCs/>
        </w:rPr>
        <w:t>Befindlichkeits</w:t>
      </w:r>
      <w:proofErr w:type="spellEnd"/>
      <w:r w:rsidRPr="003519CD">
        <w:rPr>
          <w:rFonts w:ascii="Times New Roman" w:hAnsi="Times New Roman" w:cs="Times New Roman"/>
          <w:i/>
          <w:iCs/>
        </w:rPr>
        <w:t xml:space="preserve">-Skala. </w:t>
      </w:r>
      <w:r w:rsidRPr="003519CD">
        <w:rPr>
          <w:rFonts w:ascii="Times New Roman" w:hAnsi="Times New Roman" w:cs="Times New Roman"/>
        </w:rPr>
        <w:t>Beltz-Test, Weinheim, Switzerland</w:t>
      </w:r>
    </w:p>
    <w:p w14:paraId="50BE95BB"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Johnson, D. R., Vincent, A. S., Johnson, A. E., Gilliland, K., &amp; Schlegel, R. E. (2008). Reliability and construct validity of the Automated Neuropsychological Assessment Metrics (ANAM) mood scale. </w:t>
      </w:r>
      <w:r w:rsidRPr="003519CD">
        <w:rPr>
          <w:rFonts w:ascii="Times New Roman" w:hAnsi="Times New Roman" w:cs="Times New Roman"/>
          <w:i/>
          <w:iCs/>
        </w:rPr>
        <w:t>Archives of Clinical Neuropsychology: The Official Journal of the National Academy of Neuropsychologists</w:t>
      </w:r>
      <w:r w:rsidRPr="003519CD">
        <w:rPr>
          <w:rFonts w:ascii="Times New Roman" w:hAnsi="Times New Roman" w:cs="Times New Roman"/>
        </w:rPr>
        <w:t xml:space="preserve">, </w:t>
      </w:r>
      <w:r w:rsidRPr="003519CD">
        <w:rPr>
          <w:rFonts w:ascii="Times New Roman" w:hAnsi="Times New Roman" w:cs="Times New Roman"/>
          <w:i/>
          <w:iCs/>
        </w:rPr>
        <w:t>23</w:t>
      </w:r>
      <w:r w:rsidRPr="003519CD">
        <w:rPr>
          <w:rFonts w:ascii="Times New Roman" w:hAnsi="Times New Roman" w:cs="Times New Roman"/>
        </w:rPr>
        <w:t xml:space="preserve">(1), 73–85. </w:t>
      </w:r>
      <w:hyperlink r:id="rId15" w:history="1">
        <w:r w:rsidRPr="003519CD">
          <w:rPr>
            <w:rFonts w:ascii="Times New Roman" w:hAnsi="Times New Roman" w:cs="Times New Roman"/>
          </w:rPr>
          <w:t>https://doi.org/10.1016/j.acn.2007.10.001</w:t>
        </w:r>
      </w:hyperlink>
    </w:p>
    <w:p w14:paraId="3A8315FA"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Marks, Gary N., Nicole Fleming, Michael Long, and Julie McMillan. ‘Patterns of Participation in Year 12 and Higher Education in Australia: Trends and Issues. Research Report. Longitudinal Surveys of Australian Youth’. ACER Customer Service, Private Bag 55, Camberwell, Victoria 3124 Australia (Code: A117LSA, $40 Australian), December 2000. </w:t>
      </w:r>
      <w:hyperlink r:id="rId16" w:history="1">
        <w:r w:rsidRPr="003519CD">
          <w:rPr>
            <w:rStyle w:val="Hyperlink"/>
            <w:rFonts w:ascii="Times New Roman" w:hAnsi="Times New Roman" w:cs="Times New Roman"/>
            <w:color w:val="auto"/>
            <w:u w:val="none"/>
          </w:rPr>
          <w:t>https://eric.ed.gov/?id=ED470845</w:t>
        </w:r>
      </w:hyperlink>
      <w:r w:rsidRPr="003519CD">
        <w:rPr>
          <w:rFonts w:ascii="Times New Roman" w:hAnsi="Times New Roman" w:cs="Times New Roman"/>
        </w:rPr>
        <w:t>.</w:t>
      </w:r>
    </w:p>
    <w:p w14:paraId="51EEF900"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lastRenderedPageBreak/>
        <w:t xml:space="preserve">Matthews, K. A., Shumaker, S. A., Bowen, D. J., Langer, R. D., Hunt, J. R., Kaplan, R. M., &amp; </w:t>
      </w:r>
      <w:proofErr w:type="spellStart"/>
      <w:r w:rsidRPr="003519CD">
        <w:rPr>
          <w:rFonts w:ascii="Times New Roman" w:hAnsi="Times New Roman" w:cs="Times New Roman"/>
        </w:rPr>
        <w:t>Klesges</w:t>
      </w:r>
      <w:proofErr w:type="spellEnd"/>
      <w:r w:rsidRPr="003519CD">
        <w:rPr>
          <w:rFonts w:ascii="Times New Roman" w:hAnsi="Times New Roman" w:cs="Times New Roman"/>
        </w:rPr>
        <w:t xml:space="preserve">, R. C. (1997). Women’s Health Initiative. Why Now? What Is It? What’s New? </w:t>
      </w:r>
      <w:r w:rsidRPr="003519CD">
        <w:rPr>
          <w:rFonts w:ascii="Times New Roman" w:hAnsi="Times New Roman" w:cs="Times New Roman"/>
          <w:i/>
          <w:iCs/>
        </w:rPr>
        <w:t>American Psychologist</w:t>
      </w:r>
      <w:r w:rsidRPr="003519CD">
        <w:rPr>
          <w:rFonts w:ascii="Times New Roman" w:hAnsi="Times New Roman" w:cs="Times New Roman"/>
        </w:rPr>
        <w:t xml:space="preserve">, </w:t>
      </w:r>
      <w:r w:rsidRPr="003519CD">
        <w:rPr>
          <w:rFonts w:ascii="Times New Roman" w:hAnsi="Times New Roman" w:cs="Times New Roman"/>
          <w:i/>
          <w:iCs/>
        </w:rPr>
        <w:t>52</w:t>
      </w:r>
      <w:r w:rsidRPr="003519CD">
        <w:rPr>
          <w:rFonts w:ascii="Times New Roman" w:hAnsi="Times New Roman" w:cs="Times New Roman"/>
        </w:rPr>
        <w:t xml:space="preserve">(2), 101–116. Scopus. </w:t>
      </w:r>
      <w:hyperlink r:id="rId17" w:history="1">
        <w:r w:rsidRPr="003519CD">
          <w:rPr>
            <w:rFonts w:ascii="Times New Roman" w:hAnsi="Times New Roman" w:cs="Times New Roman"/>
          </w:rPr>
          <w:t>https://doi.org/10.1037/0003-066X.52.2.101</w:t>
        </w:r>
      </w:hyperlink>
    </w:p>
    <w:p w14:paraId="57D36564"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McCormack, H. M., Horne, D. J. de L., &amp; </w:t>
      </w:r>
      <w:proofErr w:type="spellStart"/>
      <w:r w:rsidRPr="003519CD">
        <w:rPr>
          <w:rFonts w:ascii="Times New Roman" w:hAnsi="Times New Roman" w:cs="Times New Roman"/>
        </w:rPr>
        <w:t>Sheather</w:t>
      </w:r>
      <w:proofErr w:type="spellEnd"/>
      <w:r w:rsidRPr="003519CD">
        <w:rPr>
          <w:rFonts w:ascii="Times New Roman" w:hAnsi="Times New Roman" w:cs="Times New Roman"/>
        </w:rPr>
        <w:t xml:space="preserve">, S. (1988). Clinical applications of visual analogue scales: A critical review. </w:t>
      </w:r>
      <w:r w:rsidRPr="003519CD">
        <w:rPr>
          <w:rFonts w:ascii="Times New Roman" w:hAnsi="Times New Roman" w:cs="Times New Roman"/>
          <w:i/>
          <w:iCs/>
        </w:rPr>
        <w:t>Psychological Medicine</w:t>
      </w:r>
      <w:r w:rsidRPr="003519CD">
        <w:rPr>
          <w:rFonts w:ascii="Times New Roman" w:hAnsi="Times New Roman" w:cs="Times New Roman"/>
        </w:rPr>
        <w:t xml:space="preserve">, </w:t>
      </w:r>
      <w:r w:rsidRPr="003519CD">
        <w:rPr>
          <w:rFonts w:ascii="Times New Roman" w:hAnsi="Times New Roman" w:cs="Times New Roman"/>
          <w:i/>
          <w:iCs/>
        </w:rPr>
        <w:t>18</w:t>
      </w:r>
      <w:r w:rsidRPr="003519CD">
        <w:rPr>
          <w:rFonts w:ascii="Times New Roman" w:hAnsi="Times New Roman" w:cs="Times New Roman"/>
        </w:rPr>
        <w:t xml:space="preserve">(4), 1007–1019. </w:t>
      </w:r>
      <w:hyperlink r:id="rId18" w:history="1">
        <w:r w:rsidRPr="003519CD">
          <w:rPr>
            <w:rFonts w:ascii="Times New Roman" w:hAnsi="Times New Roman" w:cs="Times New Roman"/>
          </w:rPr>
          <w:t>https://doi.org/10.1017/S0033291700009934</w:t>
        </w:r>
      </w:hyperlink>
    </w:p>
    <w:p w14:paraId="63E598D9" w14:textId="77777777" w:rsidR="003519CD" w:rsidRPr="003519CD" w:rsidRDefault="003519CD" w:rsidP="003519CD">
      <w:pPr>
        <w:spacing w:line="480" w:lineRule="auto"/>
        <w:ind w:hanging="480"/>
        <w:rPr>
          <w:rFonts w:ascii="Times New Roman" w:hAnsi="Times New Roman" w:cs="Times New Roman"/>
        </w:rPr>
      </w:pPr>
      <w:proofErr w:type="spellStart"/>
      <w:r w:rsidRPr="003519CD">
        <w:rPr>
          <w:rFonts w:ascii="Times New Roman" w:hAnsi="Times New Roman" w:cs="Times New Roman"/>
        </w:rPr>
        <w:t>Pevalin</w:t>
      </w:r>
      <w:proofErr w:type="spellEnd"/>
      <w:r w:rsidRPr="003519CD">
        <w:rPr>
          <w:rFonts w:ascii="Times New Roman" w:hAnsi="Times New Roman" w:cs="Times New Roman"/>
        </w:rPr>
        <w:t xml:space="preserve">, D. J. (2000). Multiple applications of the GHQ-12 in a general population sample: An investigation of long-term retest effects. </w:t>
      </w:r>
      <w:r w:rsidRPr="003519CD">
        <w:rPr>
          <w:rFonts w:ascii="Times New Roman" w:hAnsi="Times New Roman" w:cs="Times New Roman"/>
          <w:i/>
          <w:iCs/>
        </w:rPr>
        <w:t>Social Psychiatry and Psychiatric Epidemiology</w:t>
      </w:r>
      <w:r w:rsidRPr="003519CD">
        <w:rPr>
          <w:rFonts w:ascii="Times New Roman" w:hAnsi="Times New Roman" w:cs="Times New Roman"/>
        </w:rPr>
        <w:t xml:space="preserve">, </w:t>
      </w:r>
      <w:r w:rsidRPr="003519CD">
        <w:rPr>
          <w:rFonts w:ascii="Times New Roman" w:hAnsi="Times New Roman" w:cs="Times New Roman"/>
          <w:i/>
          <w:iCs/>
        </w:rPr>
        <w:t>35</w:t>
      </w:r>
      <w:r w:rsidRPr="003519CD">
        <w:rPr>
          <w:rFonts w:ascii="Times New Roman" w:hAnsi="Times New Roman" w:cs="Times New Roman"/>
        </w:rPr>
        <w:t xml:space="preserve">(11), 508–512. </w:t>
      </w:r>
      <w:hyperlink r:id="rId19" w:history="1">
        <w:r w:rsidRPr="003519CD">
          <w:rPr>
            <w:rFonts w:ascii="Times New Roman" w:hAnsi="Times New Roman" w:cs="Times New Roman"/>
          </w:rPr>
          <w:t>https://doi.org/10.1007/s001270050272</w:t>
        </w:r>
      </w:hyperlink>
    </w:p>
    <w:p w14:paraId="7A25AFC5"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Posner, J., Russell, J. A., &amp; Peterson, B. S. (2005). The circumplex model of affect: An integrative approach to affective neuroscience, cognitive development, and psychopathology. </w:t>
      </w:r>
      <w:r w:rsidRPr="003519CD">
        <w:rPr>
          <w:rFonts w:ascii="Times New Roman" w:hAnsi="Times New Roman" w:cs="Times New Roman"/>
          <w:i/>
          <w:iCs/>
        </w:rPr>
        <w:t>Development and Psychopathology</w:t>
      </w:r>
      <w:r w:rsidRPr="003519CD">
        <w:rPr>
          <w:rFonts w:ascii="Times New Roman" w:hAnsi="Times New Roman" w:cs="Times New Roman"/>
        </w:rPr>
        <w:t xml:space="preserve">, </w:t>
      </w:r>
      <w:r w:rsidRPr="003519CD">
        <w:rPr>
          <w:rFonts w:ascii="Times New Roman" w:hAnsi="Times New Roman" w:cs="Times New Roman"/>
          <w:i/>
          <w:iCs/>
        </w:rPr>
        <w:t>17</w:t>
      </w:r>
      <w:r w:rsidRPr="003519CD">
        <w:rPr>
          <w:rFonts w:ascii="Times New Roman" w:hAnsi="Times New Roman" w:cs="Times New Roman"/>
        </w:rPr>
        <w:t xml:space="preserve">(03). </w:t>
      </w:r>
      <w:hyperlink r:id="rId20" w:history="1">
        <w:r w:rsidRPr="003519CD">
          <w:rPr>
            <w:rFonts w:ascii="Times New Roman" w:hAnsi="Times New Roman" w:cs="Times New Roman"/>
          </w:rPr>
          <w:t>https://doi.org/10.1017/S0954579405050340</w:t>
        </w:r>
      </w:hyperlink>
    </w:p>
    <w:p w14:paraId="12D50AD6"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Ryff, C. D. (1989). Happiness is everything, or is it? Explorations on the meaning of psychological well-being. </w:t>
      </w:r>
      <w:r w:rsidRPr="003519CD">
        <w:rPr>
          <w:rFonts w:ascii="Times New Roman" w:hAnsi="Times New Roman" w:cs="Times New Roman"/>
          <w:i/>
          <w:iCs/>
        </w:rPr>
        <w:t>Journal of Personality and Social Psychology</w:t>
      </w:r>
      <w:r w:rsidRPr="003519CD">
        <w:rPr>
          <w:rFonts w:ascii="Times New Roman" w:hAnsi="Times New Roman" w:cs="Times New Roman"/>
        </w:rPr>
        <w:t xml:space="preserve">, </w:t>
      </w:r>
      <w:r w:rsidRPr="003519CD">
        <w:rPr>
          <w:rFonts w:ascii="Times New Roman" w:hAnsi="Times New Roman" w:cs="Times New Roman"/>
          <w:i/>
          <w:iCs/>
        </w:rPr>
        <w:t>57</w:t>
      </w:r>
      <w:r w:rsidRPr="003519CD">
        <w:rPr>
          <w:rFonts w:ascii="Times New Roman" w:hAnsi="Times New Roman" w:cs="Times New Roman"/>
        </w:rPr>
        <w:t xml:space="preserve">, 1069–1081. </w:t>
      </w:r>
      <w:hyperlink r:id="rId21" w:history="1">
        <w:r w:rsidRPr="003519CD">
          <w:rPr>
            <w:rFonts w:ascii="Times New Roman" w:hAnsi="Times New Roman" w:cs="Times New Roman"/>
          </w:rPr>
          <w:t>https://doi.org/10.1037/0022-3514.57.6.1069</w:t>
        </w:r>
      </w:hyperlink>
    </w:p>
    <w:p w14:paraId="120D675F"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Tennant, R., Hiller, L., Fishwick, R., Platt, S., Joseph, S., Weich, S., Parkinson, J., Secker, J., &amp; Stewart-Brown, S. (2007). The Warwick-Edinburgh Mental Well-being Scale (WEMWBS): Development and UK validation. </w:t>
      </w:r>
      <w:r w:rsidRPr="003519CD">
        <w:rPr>
          <w:rFonts w:ascii="Times New Roman" w:hAnsi="Times New Roman" w:cs="Times New Roman"/>
          <w:i/>
          <w:iCs/>
        </w:rPr>
        <w:t>Health and Quality of Life Outcomes</w:t>
      </w:r>
      <w:r w:rsidRPr="003519CD">
        <w:rPr>
          <w:rFonts w:ascii="Times New Roman" w:hAnsi="Times New Roman" w:cs="Times New Roman"/>
        </w:rPr>
        <w:t xml:space="preserve">, </w:t>
      </w:r>
      <w:r w:rsidRPr="003519CD">
        <w:rPr>
          <w:rFonts w:ascii="Times New Roman" w:hAnsi="Times New Roman" w:cs="Times New Roman"/>
          <w:i/>
          <w:iCs/>
        </w:rPr>
        <w:t>5</w:t>
      </w:r>
      <w:r w:rsidRPr="003519CD">
        <w:rPr>
          <w:rFonts w:ascii="Times New Roman" w:hAnsi="Times New Roman" w:cs="Times New Roman"/>
        </w:rPr>
        <w:t xml:space="preserve">(1), 63. </w:t>
      </w:r>
      <w:hyperlink r:id="rId22" w:history="1">
        <w:r w:rsidRPr="003519CD">
          <w:rPr>
            <w:rFonts w:ascii="Times New Roman" w:hAnsi="Times New Roman" w:cs="Times New Roman"/>
          </w:rPr>
          <w:t>https://doi.org/10.1186/1477-7525-5-63</w:t>
        </w:r>
      </w:hyperlink>
    </w:p>
    <w:p w14:paraId="274360C2"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The World Health Organization quality of life assessment (WHOQOL): Position paper from the World Health Organization. (1995). </w:t>
      </w:r>
      <w:r w:rsidRPr="003519CD">
        <w:rPr>
          <w:rFonts w:ascii="Times New Roman" w:hAnsi="Times New Roman" w:cs="Times New Roman"/>
          <w:i/>
          <w:iCs/>
        </w:rPr>
        <w:t>Social Science &amp; Medicine</w:t>
      </w:r>
      <w:r w:rsidRPr="003519CD">
        <w:rPr>
          <w:rFonts w:ascii="Times New Roman" w:hAnsi="Times New Roman" w:cs="Times New Roman"/>
        </w:rPr>
        <w:t xml:space="preserve">, </w:t>
      </w:r>
      <w:r w:rsidRPr="003519CD">
        <w:rPr>
          <w:rFonts w:ascii="Times New Roman" w:hAnsi="Times New Roman" w:cs="Times New Roman"/>
          <w:i/>
          <w:iCs/>
        </w:rPr>
        <w:t>41</w:t>
      </w:r>
      <w:r w:rsidRPr="003519CD">
        <w:rPr>
          <w:rFonts w:ascii="Times New Roman" w:hAnsi="Times New Roman" w:cs="Times New Roman"/>
        </w:rPr>
        <w:t xml:space="preserve">(10), 1403–1409. </w:t>
      </w:r>
      <w:hyperlink r:id="rId23" w:history="1">
        <w:r w:rsidRPr="003519CD">
          <w:rPr>
            <w:rFonts w:ascii="Times New Roman" w:hAnsi="Times New Roman" w:cs="Times New Roman"/>
          </w:rPr>
          <w:t>https://doi.org/10.1016/0277-9536(95)00112-K</w:t>
        </w:r>
      </w:hyperlink>
    </w:p>
    <w:p w14:paraId="5EE3C39F"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Thompson, E. (2007). Positive and Negative Affect Schedule (PANAS) Development and Validation of an Internationally Reliable Short-Form of the. </w:t>
      </w:r>
      <w:r w:rsidRPr="003519CD">
        <w:rPr>
          <w:rFonts w:ascii="Times New Roman" w:hAnsi="Times New Roman" w:cs="Times New Roman"/>
          <w:i/>
          <w:iCs/>
        </w:rPr>
        <w:t>Journal of Cross-Cultural Psychology</w:t>
      </w:r>
      <w:r w:rsidRPr="003519CD">
        <w:rPr>
          <w:rFonts w:ascii="Times New Roman" w:hAnsi="Times New Roman" w:cs="Times New Roman"/>
        </w:rPr>
        <w:t xml:space="preserve">, </w:t>
      </w:r>
      <w:r w:rsidRPr="003519CD">
        <w:rPr>
          <w:rFonts w:ascii="Times New Roman" w:hAnsi="Times New Roman" w:cs="Times New Roman"/>
          <w:i/>
          <w:iCs/>
        </w:rPr>
        <w:t>38</w:t>
      </w:r>
      <w:r w:rsidRPr="003519CD">
        <w:rPr>
          <w:rFonts w:ascii="Times New Roman" w:hAnsi="Times New Roman" w:cs="Times New Roman"/>
        </w:rPr>
        <w:t xml:space="preserve">. </w:t>
      </w:r>
      <w:hyperlink r:id="rId24" w:history="1">
        <w:r w:rsidRPr="003519CD">
          <w:rPr>
            <w:rFonts w:ascii="Times New Roman" w:hAnsi="Times New Roman" w:cs="Times New Roman"/>
          </w:rPr>
          <w:t>https://doi.org/10.1177/0022022106297301</w:t>
        </w:r>
      </w:hyperlink>
    </w:p>
    <w:p w14:paraId="62D4A019"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lastRenderedPageBreak/>
        <w:t xml:space="preserve">Topp, C. W., Østergaard, S. D., Søndergaard, S., &amp; Bech, P. (2015). The WHO-5 Well-Being Index: A systematic review of the literature. </w:t>
      </w:r>
      <w:r w:rsidRPr="003519CD">
        <w:rPr>
          <w:rFonts w:ascii="Times New Roman" w:hAnsi="Times New Roman" w:cs="Times New Roman"/>
          <w:i/>
          <w:iCs/>
        </w:rPr>
        <w:t>Psychotherapy and Psychosomatics</w:t>
      </w:r>
      <w:r w:rsidRPr="003519CD">
        <w:rPr>
          <w:rFonts w:ascii="Times New Roman" w:hAnsi="Times New Roman" w:cs="Times New Roman"/>
        </w:rPr>
        <w:t xml:space="preserve">, </w:t>
      </w:r>
      <w:r w:rsidRPr="003519CD">
        <w:rPr>
          <w:rFonts w:ascii="Times New Roman" w:hAnsi="Times New Roman" w:cs="Times New Roman"/>
          <w:i/>
          <w:iCs/>
        </w:rPr>
        <w:t>84</w:t>
      </w:r>
      <w:r w:rsidRPr="003519CD">
        <w:rPr>
          <w:rFonts w:ascii="Times New Roman" w:hAnsi="Times New Roman" w:cs="Times New Roman"/>
        </w:rPr>
        <w:t xml:space="preserve">(3), 167–176. </w:t>
      </w:r>
      <w:hyperlink r:id="rId25" w:history="1">
        <w:r w:rsidRPr="003519CD">
          <w:rPr>
            <w:rFonts w:ascii="Times New Roman" w:hAnsi="Times New Roman" w:cs="Times New Roman"/>
          </w:rPr>
          <w:t>https://doi.org/10.1159/000376585</w:t>
        </w:r>
      </w:hyperlink>
    </w:p>
    <w:p w14:paraId="120ECA28" w14:textId="77777777" w:rsidR="003519CD" w:rsidRPr="003519CD" w:rsidRDefault="003519CD" w:rsidP="003519CD">
      <w:pPr>
        <w:spacing w:line="480" w:lineRule="auto"/>
        <w:ind w:hanging="480"/>
        <w:rPr>
          <w:rFonts w:ascii="Times New Roman" w:hAnsi="Times New Roman" w:cs="Times New Roman"/>
        </w:rPr>
      </w:pPr>
      <w:r w:rsidRPr="003519CD">
        <w:rPr>
          <w:rFonts w:ascii="Times New Roman" w:hAnsi="Times New Roman" w:cs="Times New Roman"/>
        </w:rPr>
        <w:t xml:space="preserve">Ware, J. E., &amp; </w:t>
      </w:r>
      <w:proofErr w:type="spellStart"/>
      <w:r w:rsidRPr="003519CD">
        <w:rPr>
          <w:rFonts w:ascii="Times New Roman" w:hAnsi="Times New Roman" w:cs="Times New Roman"/>
        </w:rPr>
        <w:t>Sherbourne</w:t>
      </w:r>
      <w:proofErr w:type="spellEnd"/>
      <w:r w:rsidRPr="003519CD">
        <w:rPr>
          <w:rFonts w:ascii="Times New Roman" w:hAnsi="Times New Roman" w:cs="Times New Roman"/>
        </w:rPr>
        <w:t xml:space="preserve">, C. D. (1992). The MOS 36-item short-form health survey (SF-36). I. Conceptual framework and item selection. </w:t>
      </w:r>
      <w:r w:rsidRPr="003519CD">
        <w:rPr>
          <w:rFonts w:ascii="Times New Roman" w:hAnsi="Times New Roman" w:cs="Times New Roman"/>
          <w:i/>
          <w:iCs/>
        </w:rPr>
        <w:t>Medical Care</w:t>
      </w:r>
      <w:r w:rsidRPr="003519CD">
        <w:rPr>
          <w:rFonts w:ascii="Times New Roman" w:hAnsi="Times New Roman" w:cs="Times New Roman"/>
        </w:rPr>
        <w:t xml:space="preserve">, </w:t>
      </w:r>
      <w:r w:rsidRPr="003519CD">
        <w:rPr>
          <w:rFonts w:ascii="Times New Roman" w:hAnsi="Times New Roman" w:cs="Times New Roman"/>
          <w:i/>
          <w:iCs/>
        </w:rPr>
        <w:t>30</w:t>
      </w:r>
      <w:r w:rsidRPr="003519CD">
        <w:rPr>
          <w:rFonts w:ascii="Times New Roman" w:hAnsi="Times New Roman" w:cs="Times New Roman"/>
        </w:rPr>
        <w:t>(6), 473–483.</w:t>
      </w:r>
    </w:p>
    <w:p w14:paraId="5C6E29A9" w14:textId="77777777" w:rsidR="003519CD" w:rsidRPr="003322B6" w:rsidRDefault="003519CD" w:rsidP="003519CD"/>
    <w:p w14:paraId="194B8CC3" w14:textId="4F52D984" w:rsidR="001C1FC9" w:rsidRPr="00D33E21" w:rsidRDefault="001C1FC9" w:rsidP="009C2C84">
      <w:pPr>
        <w:spacing w:line="360" w:lineRule="auto"/>
        <w:rPr>
          <w:rFonts w:ascii="Times New Roman" w:hAnsi="Times New Roman" w:cs="Times New Roman"/>
          <w:sz w:val="24"/>
          <w:szCs w:val="24"/>
          <w:lang w:val="en-US"/>
        </w:rPr>
      </w:pPr>
    </w:p>
    <w:p w14:paraId="4C2A9904" w14:textId="5C7EC03B" w:rsidR="001C1FC9" w:rsidRPr="00D33E21" w:rsidRDefault="001C1FC9" w:rsidP="009C2C84">
      <w:pPr>
        <w:spacing w:line="360" w:lineRule="auto"/>
        <w:rPr>
          <w:rFonts w:ascii="Times New Roman" w:hAnsi="Times New Roman" w:cs="Times New Roman"/>
          <w:sz w:val="24"/>
          <w:szCs w:val="24"/>
          <w:lang w:val="en-US"/>
        </w:rPr>
      </w:pPr>
    </w:p>
    <w:p w14:paraId="558DECC2" w14:textId="33888655" w:rsidR="001C1FC9" w:rsidRPr="00D33E21" w:rsidRDefault="001C1FC9" w:rsidP="009C2C84">
      <w:pPr>
        <w:spacing w:line="360" w:lineRule="auto"/>
        <w:rPr>
          <w:rFonts w:ascii="Times New Roman" w:hAnsi="Times New Roman" w:cs="Times New Roman"/>
          <w:sz w:val="24"/>
          <w:szCs w:val="24"/>
          <w:lang w:val="en-US"/>
        </w:rPr>
      </w:pPr>
    </w:p>
    <w:p w14:paraId="38C9CB53" w14:textId="6F978B0F" w:rsidR="001C1FC9" w:rsidRPr="00D33E21" w:rsidRDefault="001C1FC9" w:rsidP="009C2C84">
      <w:pPr>
        <w:spacing w:line="360" w:lineRule="auto"/>
        <w:rPr>
          <w:rFonts w:ascii="Times New Roman" w:hAnsi="Times New Roman" w:cs="Times New Roman"/>
          <w:sz w:val="24"/>
          <w:szCs w:val="24"/>
          <w:lang w:val="en-US"/>
        </w:rPr>
      </w:pPr>
    </w:p>
    <w:p w14:paraId="396856E1" w14:textId="25EFC974" w:rsidR="001C1FC9" w:rsidRPr="00D33E21" w:rsidRDefault="001C1FC9" w:rsidP="009C2C84">
      <w:pPr>
        <w:spacing w:line="360" w:lineRule="auto"/>
        <w:rPr>
          <w:rFonts w:ascii="Times New Roman" w:hAnsi="Times New Roman" w:cs="Times New Roman"/>
          <w:sz w:val="24"/>
          <w:szCs w:val="24"/>
          <w:lang w:val="en-US"/>
        </w:rPr>
      </w:pPr>
    </w:p>
    <w:p w14:paraId="27708449" w14:textId="77777777" w:rsidR="001C1FC9" w:rsidRPr="00D33E21" w:rsidRDefault="001C1FC9" w:rsidP="009C2C84">
      <w:pPr>
        <w:spacing w:line="360" w:lineRule="auto"/>
        <w:rPr>
          <w:rFonts w:ascii="Times New Roman" w:hAnsi="Times New Roman" w:cs="Times New Roman"/>
          <w:sz w:val="24"/>
          <w:szCs w:val="24"/>
          <w:lang w:val="en-US"/>
        </w:rPr>
      </w:pPr>
    </w:p>
    <w:p w14:paraId="7E72AD81" w14:textId="77777777" w:rsidR="001C1FC9" w:rsidRPr="00D33E21" w:rsidRDefault="001C1FC9" w:rsidP="009C2C84">
      <w:pPr>
        <w:spacing w:line="360" w:lineRule="auto"/>
        <w:rPr>
          <w:rFonts w:ascii="Times New Roman" w:hAnsi="Times New Roman" w:cs="Times New Roman"/>
          <w:sz w:val="24"/>
          <w:szCs w:val="24"/>
          <w:lang w:val="en-US"/>
        </w:rPr>
      </w:pPr>
    </w:p>
    <w:p w14:paraId="48E9C002" w14:textId="77777777" w:rsidR="001C1FC9" w:rsidRPr="00D33E21" w:rsidRDefault="001C1FC9" w:rsidP="009C2C84">
      <w:pPr>
        <w:spacing w:line="360" w:lineRule="auto"/>
        <w:rPr>
          <w:rFonts w:ascii="Times New Roman" w:hAnsi="Times New Roman" w:cs="Times New Roman"/>
          <w:sz w:val="24"/>
          <w:szCs w:val="24"/>
          <w:lang w:val="en-US"/>
        </w:rPr>
      </w:pPr>
    </w:p>
    <w:sectPr w:rsidR="001C1FC9" w:rsidRPr="00D33E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6188D"/>
    <w:multiLevelType w:val="multilevel"/>
    <w:tmpl w:val="2D9ADB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64329F"/>
    <w:multiLevelType w:val="hybridMultilevel"/>
    <w:tmpl w:val="772C37A2"/>
    <w:lvl w:ilvl="0" w:tplc="BD781986">
      <w:start w:val="1"/>
      <w:numFmt w:val="decimal"/>
      <w:lvlText w:val="%1."/>
      <w:lvlJc w:val="left"/>
      <w:pPr>
        <w:tabs>
          <w:tab w:val="num" w:pos="720"/>
        </w:tabs>
        <w:ind w:left="720" w:hanging="360"/>
      </w:pPr>
      <w:rPr>
        <w:b w:val="0"/>
        <w:bCs w:val="0"/>
        <w:vertAlign w:val="baseline"/>
      </w:rPr>
    </w:lvl>
    <w:lvl w:ilvl="1" w:tplc="0B0AE806">
      <w:start w:val="1"/>
      <w:numFmt w:val="decimal"/>
      <w:lvlText w:val="%2."/>
      <w:lvlJc w:val="left"/>
      <w:pPr>
        <w:tabs>
          <w:tab w:val="num" w:pos="1440"/>
        </w:tabs>
        <w:ind w:left="1440" w:hanging="360"/>
      </w:pPr>
    </w:lvl>
    <w:lvl w:ilvl="2" w:tplc="D412516E">
      <w:start w:val="1"/>
      <w:numFmt w:val="decimal"/>
      <w:lvlText w:val="%3."/>
      <w:lvlJc w:val="left"/>
      <w:pPr>
        <w:tabs>
          <w:tab w:val="num" w:pos="2160"/>
        </w:tabs>
        <w:ind w:left="2160" w:hanging="360"/>
      </w:pPr>
    </w:lvl>
    <w:lvl w:ilvl="3" w:tplc="4B789AC2">
      <w:start w:val="1"/>
      <w:numFmt w:val="decimal"/>
      <w:lvlText w:val="%4."/>
      <w:lvlJc w:val="left"/>
      <w:pPr>
        <w:tabs>
          <w:tab w:val="num" w:pos="2880"/>
        </w:tabs>
        <w:ind w:left="2880" w:hanging="360"/>
      </w:pPr>
    </w:lvl>
    <w:lvl w:ilvl="4" w:tplc="72E67E3A">
      <w:start w:val="1"/>
      <w:numFmt w:val="decimal"/>
      <w:lvlText w:val="%5."/>
      <w:lvlJc w:val="left"/>
      <w:pPr>
        <w:tabs>
          <w:tab w:val="num" w:pos="3600"/>
        </w:tabs>
        <w:ind w:left="3600" w:hanging="360"/>
      </w:pPr>
    </w:lvl>
    <w:lvl w:ilvl="5" w:tplc="F85CA3D2">
      <w:start w:val="1"/>
      <w:numFmt w:val="decimal"/>
      <w:lvlText w:val="%6."/>
      <w:lvlJc w:val="left"/>
      <w:pPr>
        <w:tabs>
          <w:tab w:val="num" w:pos="4320"/>
        </w:tabs>
        <w:ind w:left="4320" w:hanging="360"/>
      </w:pPr>
    </w:lvl>
    <w:lvl w:ilvl="6" w:tplc="605AC66E">
      <w:start w:val="1"/>
      <w:numFmt w:val="decimal"/>
      <w:lvlText w:val="%7."/>
      <w:lvlJc w:val="left"/>
      <w:pPr>
        <w:tabs>
          <w:tab w:val="num" w:pos="5040"/>
        </w:tabs>
        <w:ind w:left="5040" w:hanging="360"/>
      </w:pPr>
    </w:lvl>
    <w:lvl w:ilvl="7" w:tplc="2728A084">
      <w:start w:val="1"/>
      <w:numFmt w:val="decimal"/>
      <w:lvlText w:val="%8."/>
      <w:lvlJc w:val="left"/>
      <w:pPr>
        <w:tabs>
          <w:tab w:val="num" w:pos="5760"/>
        </w:tabs>
        <w:ind w:left="5760" w:hanging="360"/>
      </w:pPr>
    </w:lvl>
    <w:lvl w:ilvl="8" w:tplc="56FED624">
      <w:start w:val="1"/>
      <w:numFmt w:val="decimal"/>
      <w:lvlText w:val="%9."/>
      <w:lvlJc w:val="left"/>
      <w:pPr>
        <w:tabs>
          <w:tab w:val="num" w:pos="6480"/>
        </w:tabs>
        <w:ind w:left="6480" w:hanging="360"/>
      </w:pPr>
    </w:lvl>
  </w:abstractNum>
  <w:abstractNum w:abstractNumId="2" w15:restartNumberingAfterBreak="0">
    <w:nsid w:val="493A7272"/>
    <w:multiLevelType w:val="hybridMultilevel"/>
    <w:tmpl w:val="B6C88E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CE36743"/>
    <w:multiLevelType w:val="hybridMultilevel"/>
    <w:tmpl w:val="130AE2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7D25599"/>
    <w:multiLevelType w:val="hybridMultilevel"/>
    <w:tmpl w:val="310261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6E0FDD"/>
    <w:multiLevelType w:val="multilevel"/>
    <w:tmpl w:val="735AAB86"/>
    <w:lvl w:ilvl="0">
      <w:start w:val="1"/>
      <w:numFmt w:val="decimal"/>
      <w:lvlText w:val="%1"/>
      <w:lvlJc w:val="left"/>
      <w:pPr>
        <w:ind w:left="360" w:hanging="360"/>
      </w:pPr>
      <w:rPr>
        <w:rFonts w:hint="default"/>
      </w:rPr>
    </w:lvl>
    <w:lvl w:ilvl="1">
      <w:numFmt w:val="bullet"/>
      <w:lvlText w:val="-"/>
      <w:lvlJc w:val="left"/>
      <w:pPr>
        <w:ind w:left="360" w:hanging="360"/>
      </w:pPr>
      <w:rPr>
        <w:rFonts w:ascii="Calibri" w:eastAsiaTheme="minorHAns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9841749"/>
    <w:multiLevelType w:val="hybridMultilevel"/>
    <w:tmpl w:val="F3280F14"/>
    <w:lvl w:ilvl="0" w:tplc="5D6AFF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689396">
    <w:abstractNumId w:val="0"/>
  </w:num>
  <w:num w:numId="2" w16cid:durableId="1032917305">
    <w:abstractNumId w:val="5"/>
  </w:num>
  <w:num w:numId="3" w16cid:durableId="1249655961">
    <w:abstractNumId w:val="6"/>
  </w:num>
  <w:num w:numId="4" w16cid:durableId="110709543">
    <w:abstractNumId w:val="2"/>
  </w:num>
  <w:num w:numId="5" w16cid:durableId="1194804428">
    <w:abstractNumId w:val="4"/>
  </w:num>
  <w:num w:numId="6" w16cid:durableId="1389962061">
    <w:abstractNumId w:val="3"/>
  </w:num>
  <w:num w:numId="7" w16cid:durableId="828204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A5"/>
    <w:rsid w:val="00016240"/>
    <w:rsid w:val="000425C7"/>
    <w:rsid w:val="00054474"/>
    <w:rsid w:val="00055AB4"/>
    <w:rsid w:val="00064B31"/>
    <w:rsid w:val="0008704E"/>
    <w:rsid w:val="000A2A01"/>
    <w:rsid w:val="000A574B"/>
    <w:rsid w:val="000B090B"/>
    <w:rsid w:val="000C75AA"/>
    <w:rsid w:val="000E1EC2"/>
    <w:rsid w:val="000E34E8"/>
    <w:rsid w:val="000F049A"/>
    <w:rsid w:val="000F0BA1"/>
    <w:rsid w:val="000F4FA9"/>
    <w:rsid w:val="00111C2A"/>
    <w:rsid w:val="00115021"/>
    <w:rsid w:val="00115B1E"/>
    <w:rsid w:val="001340A1"/>
    <w:rsid w:val="00146A47"/>
    <w:rsid w:val="001564D1"/>
    <w:rsid w:val="00157803"/>
    <w:rsid w:val="001658E6"/>
    <w:rsid w:val="00165F8D"/>
    <w:rsid w:val="00172466"/>
    <w:rsid w:val="00175AF6"/>
    <w:rsid w:val="00184BC9"/>
    <w:rsid w:val="00186E2D"/>
    <w:rsid w:val="00187D0D"/>
    <w:rsid w:val="001A3C1E"/>
    <w:rsid w:val="001C1FC9"/>
    <w:rsid w:val="001C7930"/>
    <w:rsid w:val="001D118B"/>
    <w:rsid w:val="001D1D95"/>
    <w:rsid w:val="001E4CDE"/>
    <w:rsid w:val="001F0F15"/>
    <w:rsid w:val="00216156"/>
    <w:rsid w:val="00220CAF"/>
    <w:rsid w:val="0022218B"/>
    <w:rsid w:val="00227FC4"/>
    <w:rsid w:val="00230487"/>
    <w:rsid w:val="00253BCD"/>
    <w:rsid w:val="00257A53"/>
    <w:rsid w:val="00261422"/>
    <w:rsid w:val="00267619"/>
    <w:rsid w:val="00271790"/>
    <w:rsid w:val="00290D7D"/>
    <w:rsid w:val="002A2F74"/>
    <w:rsid w:val="002A4776"/>
    <w:rsid w:val="002C3A42"/>
    <w:rsid w:val="002E1DA0"/>
    <w:rsid w:val="002E4BD4"/>
    <w:rsid w:val="002F3738"/>
    <w:rsid w:val="002F536E"/>
    <w:rsid w:val="00300B25"/>
    <w:rsid w:val="00327703"/>
    <w:rsid w:val="0033279C"/>
    <w:rsid w:val="0033525A"/>
    <w:rsid w:val="003359EB"/>
    <w:rsid w:val="003519CD"/>
    <w:rsid w:val="003552D4"/>
    <w:rsid w:val="00356449"/>
    <w:rsid w:val="003631AC"/>
    <w:rsid w:val="0037269F"/>
    <w:rsid w:val="00382F26"/>
    <w:rsid w:val="003847BF"/>
    <w:rsid w:val="003B0F67"/>
    <w:rsid w:val="003B364F"/>
    <w:rsid w:val="003D4EED"/>
    <w:rsid w:val="003E48EE"/>
    <w:rsid w:val="003F215D"/>
    <w:rsid w:val="003F7304"/>
    <w:rsid w:val="003F7762"/>
    <w:rsid w:val="00420918"/>
    <w:rsid w:val="00432B03"/>
    <w:rsid w:val="00436C42"/>
    <w:rsid w:val="00450720"/>
    <w:rsid w:val="00463FB3"/>
    <w:rsid w:val="00464606"/>
    <w:rsid w:val="00473D03"/>
    <w:rsid w:val="00480BAF"/>
    <w:rsid w:val="004850BC"/>
    <w:rsid w:val="00497782"/>
    <w:rsid w:val="004A149E"/>
    <w:rsid w:val="004B4A4A"/>
    <w:rsid w:val="004E224B"/>
    <w:rsid w:val="004F2282"/>
    <w:rsid w:val="004F73C5"/>
    <w:rsid w:val="005224FF"/>
    <w:rsid w:val="005264DD"/>
    <w:rsid w:val="0053476E"/>
    <w:rsid w:val="00542E98"/>
    <w:rsid w:val="00545060"/>
    <w:rsid w:val="00575818"/>
    <w:rsid w:val="005874A6"/>
    <w:rsid w:val="005A0E14"/>
    <w:rsid w:val="005A5391"/>
    <w:rsid w:val="005D1BA1"/>
    <w:rsid w:val="005D6C20"/>
    <w:rsid w:val="005F639D"/>
    <w:rsid w:val="00615859"/>
    <w:rsid w:val="00621563"/>
    <w:rsid w:val="00640985"/>
    <w:rsid w:val="00651E82"/>
    <w:rsid w:val="0065700D"/>
    <w:rsid w:val="00660B90"/>
    <w:rsid w:val="00663BC1"/>
    <w:rsid w:val="00665FC3"/>
    <w:rsid w:val="00696B1D"/>
    <w:rsid w:val="006A0B68"/>
    <w:rsid w:val="006A2F27"/>
    <w:rsid w:val="006A6863"/>
    <w:rsid w:val="006C5B97"/>
    <w:rsid w:val="006D6399"/>
    <w:rsid w:val="006E21B0"/>
    <w:rsid w:val="00714BA8"/>
    <w:rsid w:val="00745386"/>
    <w:rsid w:val="0075210A"/>
    <w:rsid w:val="0075629B"/>
    <w:rsid w:val="0076381B"/>
    <w:rsid w:val="00765C0B"/>
    <w:rsid w:val="00774893"/>
    <w:rsid w:val="007763C7"/>
    <w:rsid w:val="00777F8B"/>
    <w:rsid w:val="007A179C"/>
    <w:rsid w:val="007C0DC7"/>
    <w:rsid w:val="007E247E"/>
    <w:rsid w:val="007E552E"/>
    <w:rsid w:val="007E72D8"/>
    <w:rsid w:val="007F082B"/>
    <w:rsid w:val="00800FE2"/>
    <w:rsid w:val="00802316"/>
    <w:rsid w:val="00842715"/>
    <w:rsid w:val="00856F59"/>
    <w:rsid w:val="00862D5E"/>
    <w:rsid w:val="00873D2D"/>
    <w:rsid w:val="00887C6C"/>
    <w:rsid w:val="00891589"/>
    <w:rsid w:val="008B601D"/>
    <w:rsid w:val="008C6FA6"/>
    <w:rsid w:val="008D7345"/>
    <w:rsid w:val="008E2997"/>
    <w:rsid w:val="00910AFB"/>
    <w:rsid w:val="00912951"/>
    <w:rsid w:val="00914506"/>
    <w:rsid w:val="009627BB"/>
    <w:rsid w:val="0096374C"/>
    <w:rsid w:val="00992059"/>
    <w:rsid w:val="00994702"/>
    <w:rsid w:val="009A141A"/>
    <w:rsid w:val="009A3759"/>
    <w:rsid w:val="009C2C84"/>
    <w:rsid w:val="009D5C92"/>
    <w:rsid w:val="009E1F84"/>
    <w:rsid w:val="009E3BBC"/>
    <w:rsid w:val="00A07561"/>
    <w:rsid w:val="00A129A5"/>
    <w:rsid w:val="00A24EB8"/>
    <w:rsid w:val="00A253D8"/>
    <w:rsid w:val="00A25850"/>
    <w:rsid w:val="00A27AC6"/>
    <w:rsid w:val="00A40977"/>
    <w:rsid w:val="00A547A5"/>
    <w:rsid w:val="00A57BFC"/>
    <w:rsid w:val="00A6267A"/>
    <w:rsid w:val="00A643C9"/>
    <w:rsid w:val="00A67ED2"/>
    <w:rsid w:val="00A75253"/>
    <w:rsid w:val="00A933B8"/>
    <w:rsid w:val="00AA04C6"/>
    <w:rsid w:val="00AA154E"/>
    <w:rsid w:val="00AA55E9"/>
    <w:rsid w:val="00AB3CE0"/>
    <w:rsid w:val="00AC2345"/>
    <w:rsid w:val="00AD22F1"/>
    <w:rsid w:val="00AE019F"/>
    <w:rsid w:val="00B022FB"/>
    <w:rsid w:val="00B03EFC"/>
    <w:rsid w:val="00B16098"/>
    <w:rsid w:val="00B220A5"/>
    <w:rsid w:val="00B2247C"/>
    <w:rsid w:val="00B32472"/>
    <w:rsid w:val="00B34362"/>
    <w:rsid w:val="00B37CA2"/>
    <w:rsid w:val="00B4107F"/>
    <w:rsid w:val="00B45397"/>
    <w:rsid w:val="00B70BD6"/>
    <w:rsid w:val="00B8789B"/>
    <w:rsid w:val="00B93E82"/>
    <w:rsid w:val="00B944AF"/>
    <w:rsid w:val="00BA0232"/>
    <w:rsid w:val="00BA0E85"/>
    <w:rsid w:val="00BA144B"/>
    <w:rsid w:val="00BB62A2"/>
    <w:rsid w:val="00BD202F"/>
    <w:rsid w:val="00BD2AA5"/>
    <w:rsid w:val="00BE0145"/>
    <w:rsid w:val="00BE3545"/>
    <w:rsid w:val="00BE4044"/>
    <w:rsid w:val="00BE5AFE"/>
    <w:rsid w:val="00BF4D89"/>
    <w:rsid w:val="00C00C26"/>
    <w:rsid w:val="00C120B6"/>
    <w:rsid w:val="00C24CDE"/>
    <w:rsid w:val="00C3367B"/>
    <w:rsid w:val="00C35472"/>
    <w:rsid w:val="00C7331A"/>
    <w:rsid w:val="00C82166"/>
    <w:rsid w:val="00C870A0"/>
    <w:rsid w:val="00C91B3C"/>
    <w:rsid w:val="00C972B8"/>
    <w:rsid w:val="00CB70C3"/>
    <w:rsid w:val="00CC14B6"/>
    <w:rsid w:val="00CC5258"/>
    <w:rsid w:val="00CC6697"/>
    <w:rsid w:val="00CD3546"/>
    <w:rsid w:val="00CD431C"/>
    <w:rsid w:val="00CF3610"/>
    <w:rsid w:val="00CF7C21"/>
    <w:rsid w:val="00D217BF"/>
    <w:rsid w:val="00D23529"/>
    <w:rsid w:val="00D302F9"/>
    <w:rsid w:val="00D30B73"/>
    <w:rsid w:val="00D31CC5"/>
    <w:rsid w:val="00D33E21"/>
    <w:rsid w:val="00D5397A"/>
    <w:rsid w:val="00D607A9"/>
    <w:rsid w:val="00D639F3"/>
    <w:rsid w:val="00D75A64"/>
    <w:rsid w:val="00D76B9D"/>
    <w:rsid w:val="00DA2F5E"/>
    <w:rsid w:val="00DB006D"/>
    <w:rsid w:val="00DC0C98"/>
    <w:rsid w:val="00DC5172"/>
    <w:rsid w:val="00DC580F"/>
    <w:rsid w:val="00DC69BD"/>
    <w:rsid w:val="00DD2B10"/>
    <w:rsid w:val="00DD6CE9"/>
    <w:rsid w:val="00DE1C82"/>
    <w:rsid w:val="00DE609E"/>
    <w:rsid w:val="00DF443E"/>
    <w:rsid w:val="00DF72B1"/>
    <w:rsid w:val="00DF7F23"/>
    <w:rsid w:val="00E04AB7"/>
    <w:rsid w:val="00E059DC"/>
    <w:rsid w:val="00E07B7C"/>
    <w:rsid w:val="00E123CD"/>
    <w:rsid w:val="00E236D9"/>
    <w:rsid w:val="00E24363"/>
    <w:rsid w:val="00E53776"/>
    <w:rsid w:val="00E739C4"/>
    <w:rsid w:val="00E811D5"/>
    <w:rsid w:val="00E9255C"/>
    <w:rsid w:val="00E93576"/>
    <w:rsid w:val="00E951B4"/>
    <w:rsid w:val="00EA3E07"/>
    <w:rsid w:val="00EA5754"/>
    <w:rsid w:val="00EB6DDD"/>
    <w:rsid w:val="00EC5C1D"/>
    <w:rsid w:val="00EF4C7B"/>
    <w:rsid w:val="00F11864"/>
    <w:rsid w:val="00F24720"/>
    <w:rsid w:val="00F62A43"/>
    <w:rsid w:val="00F9794C"/>
    <w:rsid w:val="00FA220D"/>
    <w:rsid w:val="00FA4229"/>
    <w:rsid w:val="00FC65F6"/>
    <w:rsid w:val="00FC7A2E"/>
    <w:rsid w:val="00FD638F"/>
    <w:rsid w:val="00FD65C1"/>
    <w:rsid w:val="00FD7750"/>
    <w:rsid w:val="00FE19E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2C9A"/>
  <w15:chartTrackingRefBased/>
  <w15:docId w15:val="{62FF52EE-B5A4-4730-B174-C556DB4A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6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754"/>
    <w:pPr>
      <w:ind w:left="720"/>
      <w:contextualSpacing/>
    </w:pPr>
  </w:style>
  <w:style w:type="paragraph" w:styleId="Revision">
    <w:name w:val="Revision"/>
    <w:hidden/>
    <w:uiPriority w:val="99"/>
    <w:semiHidden/>
    <w:rsid w:val="00B34362"/>
    <w:pPr>
      <w:spacing w:after="0" w:line="240" w:lineRule="auto"/>
    </w:pPr>
  </w:style>
  <w:style w:type="character" w:styleId="CommentReference">
    <w:name w:val="annotation reference"/>
    <w:basedOn w:val="DefaultParagraphFont"/>
    <w:uiPriority w:val="99"/>
    <w:semiHidden/>
    <w:unhideWhenUsed/>
    <w:rsid w:val="00E07B7C"/>
    <w:rPr>
      <w:sz w:val="16"/>
      <w:szCs w:val="16"/>
    </w:rPr>
  </w:style>
  <w:style w:type="paragraph" w:styleId="CommentText">
    <w:name w:val="annotation text"/>
    <w:basedOn w:val="Normal"/>
    <w:link w:val="CommentTextChar"/>
    <w:uiPriority w:val="99"/>
    <w:semiHidden/>
    <w:unhideWhenUsed/>
    <w:rsid w:val="00E07B7C"/>
    <w:pPr>
      <w:spacing w:line="240" w:lineRule="auto"/>
    </w:pPr>
    <w:rPr>
      <w:sz w:val="20"/>
      <w:szCs w:val="20"/>
    </w:rPr>
  </w:style>
  <w:style w:type="character" w:customStyle="1" w:styleId="CommentTextChar">
    <w:name w:val="Comment Text Char"/>
    <w:basedOn w:val="DefaultParagraphFont"/>
    <w:link w:val="CommentText"/>
    <w:uiPriority w:val="99"/>
    <w:semiHidden/>
    <w:rsid w:val="00E07B7C"/>
    <w:rPr>
      <w:sz w:val="20"/>
      <w:szCs w:val="20"/>
    </w:rPr>
  </w:style>
  <w:style w:type="paragraph" w:styleId="CommentSubject">
    <w:name w:val="annotation subject"/>
    <w:basedOn w:val="CommentText"/>
    <w:next w:val="CommentText"/>
    <w:link w:val="CommentSubjectChar"/>
    <w:uiPriority w:val="99"/>
    <w:semiHidden/>
    <w:unhideWhenUsed/>
    <w:rsid w:val="00E07B7C"/>
    <w:rPr>
      <w:b/>
      <w:bCs/>
    </w:rPr>
  </w:style>
  <w:style w:type="character" w:customStyle="1" w:styleId="CommentSubjectChar">
    <w:name w:val="Comment Subject Char"/>
    <w:basedOn w:val="CommentTextChar"/>
    <w:link w:val="CommentSubject"/>
    <w:uiPriority w:val="99"/>
    <w:semiHidden/>
    <w:rsid w:val="00E07B7C"/>
    <w:rPr>
      <w:b/>
      <w:bCs/>
      <w:sz w:val="20"/>
      <w:szCs w:val="20"/>
    </w:rPr>
  </w:style>
  <w:style w:type="character" w:styleId="Hyperlink">
    <w:name w:val="Hyperlink"/>
    <w:basedOn w:val="DefaultParagraphFont"/>
    <w:uiPriority w:val="99"/>
    <w:unhideWhenUsed/>
    <w:rsid w:val="00436C42"/>
    <w:rPr>
      <w:color w:val="0000FF"/>
      <w:u w:val="single"/>
    </w:rPr>
  </w:style>
  <w:style w:type="character" w:styleId="FollowedHyperlink">
    <w:name w:val="FollowedHyperlink"/>
    <w:basedOn w:val="DefaultParagraphFont"/>
    <w:uiPriority w:val="99"/>
    <w:semiHidden/>
    <w:unhideWhenUsed/>
    <w:rsid w:val="00A75253"/>
    <w:rPr>
      <w:color w:val="954F72" w:themeColor="followedHyperlink"/>
      <w:u w:val="single"/>
    </w:rPr>
  </w:style>
  <w:style w:type="paragraph" w:customStyle="1" w:styleId="Default">
    <w:name w:val="Default"/>
    <w:rsid w:val="00420918"/>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207/s15327752jpa4901_13" TargetMode="External"/><Relationship Id="rId18" Type="http://schemas.openxmlformats.org/officeDocument/2006/relationships/hyperlink" Target="https://doi.org/10.1017/S00332917000099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37/0022-3514.57.6.1069" TargetMode="External"/><Relationship Id="rId7" Type="http://schemas.openxmlformats.org/officeDocument/2006/relationships/image" Target="media/image2.png"/><Relationship Id="rId12" Type="http://schemas.openxmlformats.org/officeDocument/2006/relationships/hyperlink" Target="https://doi.org/10.1007/978-3-030-47622-9" TargetMode="External"/><Relationship Id="rId17" Type="http://schemas.openxmlformats.org/officeDocument/2006/relationships/hyperlink" Target="https://doi.org/10.1037/0003-066X.52.2.101" TargetMode="External"/><Relationship Id="rId25" Type="http://schemas.openxmlformats.org/officeDocument/2006/relationships/hyperlink" Target="https://doi.org/10.1159/000376585" TargetMode="External"/><Relationship Id="rId2" Type="http://schemas.openxmlformats.org/officeDocument/2006/relationships/numbering" Target="numbering.xml"/><Relationship Id="rId16" Type="http://schemas.openxmlformats.org/officeDocument/2006/relationships/hyperlink" Target="https://eric.ed.gov/?id=ED470845" TargetMode="External"/><Relationship Id="rId20" Type="http://schemas.openxmlformats.org/officeDocument/2006/relationships/hyperlink" Target="https://doi.org/10.1017/S095457940505034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037/0003-066X.31.2.117" TargetMode="External"/><Relationship Id="rId24" Type="http://schemas.openxmlformats.org/officeDocument/2006/relationships/hyperlink" Target="https://doi.org/10.1177/0022022106297301" TargetMode="External"/><Relationship Id="rId5" Type="http://schemas.openxmlformats.org/officeDocument/2006/relationships/webSettings" Target="webSettings.xml"/><Relationship Id="rId15" Type="http://schemas.openxmlformats.org/officeDocument/2006/relationships/hyperlink" Target="https://doi.org/10.1016/j.acn.2007.10.001" TargetMode="External"/><Relationship Id="rId23" Type="http://schemas.openxmlformats.org/officeDocument/2006/relationships/hyperlink" Target="https://doi.org/10.1016/0277-9536(95)00112-K" TargetMode="External"/><Relationship Id="rId10" Type="http://schemas.openxmlformats.org/officeDocument/2006/relationships/image" Target="media/image5.png"/><Relationship Id="rId19" Type="http://schemas.openxmlformats.org/officeDocument/2006/relationships/hyperlink" Target="https://doi.org/10.1007/s001270050272"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doi.org/10.1002/nur.4770150106" TargetMode="External"/><Relationship Id="rId22" Type="http://schemas.openxmlformats.org/officeDocument/2006/relationships/hyperlink" Target="https://doi.org/10.1186/1477-7525-5-6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0C546-4F60-4F76-9A86-3D6F4BAB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13</Pages>
  <Words>6977</Words>
  <Characters>39774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46658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Landvreugd, A. (Anne)</dc:creator>
  <cp:keywords/>
  <dc:description/>
  <cp:lastModifiedBy>Landvreugd, A. (Anne)</cp:lastModifiedBy>
  <cp:revision>271</cp:revision>
  <dcterms:created xsi:type="dcterms:W3CDTF">2023-03-28T11:41:00Z</dcterms:created>
  <dcterms:modified xsi:type="dcterms:W3CDTF">2024-11-28T10:40:00Z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b86e72d3-6d33-4d13-9c93-c86a847ead6c</vt:lpwstr>
  </property>
  <property fmtid="{D5CDD505-2E9C-101B-9397-08002B2CF9AE}" pid="3" name="ZOTERO_PREF_1">
    <vt:lpwstr>&lt;data data-version="3" zotero-version="6.0.26"&gt;&lt;session id="RtFb80vr"/&gt;&lt;style id="http://www.zotero.org/styles/apa" locale="en-GB"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ies>
</file>