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571F" w:rsidRDefault="00E8571F" w:rsidP="00E8571F">
      <w:pPr>
        <w:widowControl w:val="0"/>
        <w:autoSpaceDE w:val="0"/>
        <w:autoSpaceDN w:val="0"/>
        <w:adjustRightInd w:val="0"/>
        <w:spacing w:after="0" w:line="480" w:lineRule="auto"/>
        <w:rPr>
          <w:rFonts w:cs="Calibri"/>
          <w:lang w:val="en-US"/>
        </w:rPr>
      </w:pPr>
      <w:bookmarkStart w:id="0" w:name="_GoBack"/>
      <w:bookmarkEnd w:id="0"/>
      <w:r>
        <w:rPr>
          <w:rFonts w:cs="Calibri"/>
          <w:noProof/>
          <w:lang w:val="en-US"/>
        </w:rPr>
        <w:drawing>
          <wp:inline distT="0" distB="0" distL="0" distR="0" wp14:anchorId="13B4C4A0" wp14:editId="18E7F3BC">
            <wp:extent cx="5757545" cy="8139430"/>
            <wp:effectExtent l="0" t="0" r="0" b="0"/>
            <wp:docPr id="8" name="Picture 8" descr="Artboard 8@4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Artboard 8@4x"/>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57545" cy="8139430"/>
                    </a:xfrm>
                    <a:prstGeom prst="rect">
                      <a:avLst/>
                    </a:prstGeom>
                    <a:noFill/>
                    <a:ln>
                      <a:noFill/>
                    </a:ln>
                  </pic:spPr>
                </pic:pic>
              </a:graphicData>
            </a:graphic>
          </wp:inline>
        </w:drawing>
      </w:r>
      <w:r>
        <w:rPr>
          <w:rFonts w:cs="Calibri"/>
          <w:b/>
          <w:lang w:val="en-US"/>
        </w:rPr>
        <w:t xml:space="preserve">Supplementary Figure 1. </w:t>
      </w:r>
      <w:r>
        <w:rPr>
          <w:rFonts w:cs="Calibri"/>
          <w:lang w:val="en-US"/>
        </w:rPr>
        <w:t>Cartoon illustrating the different measurements obtained to describe the migratory behavior of TEB cells and ductal cells in the pubertal mammary gland. See also Figure 1.</w:t>
      </w:r>
    </w:p>
    <w:p w:rsidR="00E8571F" w:rsidRDefault="00E8571F" w:rsidP="00E8571F">
      <w:pPr>
        <w:widowControl w:val="0"/>
        <w:autoSpaceDE w:val="0"/>
        <w:autoSpaceDN w:val="0"/>
        <w:adjustRightInd w:val="0"/>
        <w:spacing w:after="0" w:line="480" w:lineRule="auto"/>
        <w:jc w:val="both"/>
        <w:rPr>
          <w:rFonts w:cs="Calibri"/>
          <w:lang w:val="en-US"/>
        </w:rPr>
      </w:pPr>
      <w:r>
        <w:rPr>
          <w:rFonts w:cs="Calibri"/>
          <w:lang w:val="en-US"/>
        </w:rPr>
        <w:br w:type="page"/>
      </w:r>
      <w:r>
        <w:rPr>
          <w:rFonts w:cs="Calibri"/>
          <w:noProof/>
          <w:lang w:val="en-US"/>
        </w:rPr>
        <w:lastRenderedPageBreak/>
        <w:drawing>
          <wp:inline distT="0" distB="0" distL="0" distR="0" wp14:anchorId="132D2FA8" wp14:editId="478A0737">
            <wp:extent cx="5757545" cy="8139430"/>
            <wp:effectExtent l="0" t="0" r="0" b="0"/>
            <wp:docPr id="9"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7545" cy="8139430"/>
                    </a:xfrm>
                    <a:prstGeom prst="rect">
                      <a:avLst/>
                    </a:prstGeom>
                    <a:noFill/>
                    <a:ln>
                      <a:noFill/>
                    </a:ln>
                  </pic:spPr>
                </pic:pic>
              </a:graphicData>
            </a:graphic>
          </wp:inline>
        </w:drawing>
      </w:r>
      <w:r>
        <w:rPr>
          <w:rFonts w:cs="Calibri"/>
          <w:lang w:val="en-US"/>
        </w:rPr>
        <w:br w:type="page"/>
      </w:r>
      <w:r w:rsidRPr="004A5ED1">
        <w:rPr>
          <w:rFonts w:cs="Calibri"/>
          <w:b/>
          <w:lang w:val="en-US"/>
        </w:rPr>
        <w:lastRenderedPageBreak/>
        <w:t>Supplementary Figure 2: Details and design of the</w:t>
      </w:r>
      <w:r>
        <w:rPr>
          <w:rFonts w:cs="Calibri"/>
          <w:b/>
          <w:lang w:val="en-US"/>
        </w:rPr>
        <w:t xml:space="preserve"> </w:t>
      </w:r>
      <w:r w:rsidRPr="004A5ED1">
        <w:rPr>
          <w:rFonts w:cs="Calibri"/>
          <w:b/>
          <w:lang w:val="en-US"/>
        </w:rPr>
        <w:t>mammary imaging window</w:t>
      </w:r>
      <w:r>
        <w:rPr>
          <w:rFonts w:cs="Calibri"/>
          <w:b/>
          <w:lang w:val="en-US"/>
        </w:rPr>
        <w:t xml:space="preserve"> with replaceable lid</w:t>
      </w:r>
      <w:r w:rsidRPr="004A5ED1">
        <w:rPr>
          <w:rFonts w:cs="Calibri"/>
          <w:b/>
          <w:lang w:val="en-US"/>
        </w:rPr>
        <w:t>.</w:t>
      </w:r>
      <w:r>
        <w:rPr>
          <w:rFonts w:cs="Calibri"/>
          <w:b/>
          <w:lang w:val="en-US"/>
        </w:rPr>
        <w:t xml:space="preserve"> (a) </w:t>
      </w:r>
      <w:r>
        <w:rPr>
          <w:rFonts w:cs="Calibri"/>
          <w:lang w:val="en-US"/>
        </w:rPr>
        <w:t xml:space="preserve">Top view and side view of the replaceable insert of the mammary imaging window. The insert consists of a titanium ring with four slanting projections that fit within the window. A 10 mm round </w:t>
      </w:r>
      <w:proofErr w:type="spellStart"/>
      <w:r>
        <w:rPr>
          <w:rFonts w:cs="Calibri"/>
          <w:lang w:val="en-US"/>
        </w:rPr>
        <w:t>coverglass</w:t>
      </w:r>
      <w:proofErr w:type="spellEnd"/>
      <w:r>
        <w:rPr>
          <w:rFonts w:cs="Calibri"/>
          <w:lang w:val="en-US"/>
        </w:rPr>
        <w:t xml:space="preserve"> can be glued on top of the ring. </w:t>
      </w:r>
      <w:r>
        <w:rPr>
          <w:rFonts w:cs="Calibri"/>
          <w:b/>
          <w:lang w:val="en-US"/>
        </w:rPr>
        <w:t xml:space="preserve">(b) </w:t>
      </w:r>
      <w:r w:rsidRPr="004A5ED1">
        <w:rPr>
          <w:rFonts w:cs="Calibri"/>
          <w:lang w:val="en-US"/>
        </w:rPr>
        <w:t>Top view and side view of the mammary imaging window</w:t>
      </w:r>
      <w:r>
        <w:rPr>
          <w:rFonts w:cs="Calibri"/>
          <w:lang w:val="en-US"/>
        </w:rPr>
        <w:t xml:space="preserve">. The mammary imaging window consists of an outer ring (larger) and inner ring (smaller, which will be inside the mouse) </w:t>
      </w:r>
      <w:r w:rsidRPr="004A5ED1">
        <w:rPr>
          <w:rFonts w:cs="Calibri"/>
          <w:lang w:val="en-US"/>
        </w:rPr>
        <w:t>with a groove</w:t>
      </w:r>
      <w:r>
        <w:rPr>
          <w:rFonts w:cs="Calibri"/>
          <w:lang w:val="en-US"/>
        </w:rPr>
        <w:t xml:space="preserve"> in between</w:t>
      </w:r>
      <w:r w:rsidRPr="004A5ED1">
        <w:rPr>
          <w:rFonts w:cs="Calibri"/>
          <w:lang w:val="en-US"/>
        </w:rPr>
        <w:t xml:space="preserve"> </w:t>
      </w:r>
      <w:r>
        <w:rPr>
          <w:rFonts w:cs="Calibri"/>
          <w:lang w:val="en-US"/>
        </w:rPr>
        <w:t>to secure the window within the skin of the mouse. The outer ring has a small groove</w:t>
      </w:r>
      <w:r w:rsidRPr="004A5ED1">
        <w:rPr>
          <w:rFonts w:cs="Calibri"/>
          <w:lang w:val="en-US"/>
        </w:rPr>
        <w:t xml:space="preserve"> that fits the projections of the li</w:t>
      </w:r>
      <w:r>
        <w:rPr>
          <w:rFonts w:cs="Calibri"/>
          <w:lang w:val="en-US"/>
        </w:rPr>
        <w:t>d</w:t>
      </w:r>
      <w:r w:rsidRPr="004A5ED1">
        <w:rPr>
          <w:rFonts w:cs="Calibri"/>
          <w:lang w:val="en-US"/>
        </w:rPr>
        <w:t>.</w:t>
      </w:r>
      <w:r>
        <w:rPr>
          <w:rFonts w:cs="Calibri"/>
          <w:lang w:val="en-US"/>
        </w:rPr>
        <w:t xml:space="preserve"> </w:t>
      </w:r>
      <w:r>
        <w:rPr>
          <w:rFonts w:cs="Calibri"/>
          <w:b/>
          <w:lang w:val="en-US"/>
        </w:rPr>
        <w:t xml:space="preserve">(c) </w:t>
      </w:r>
      <w:r>
        <w:rPr>
          <w:rFonts w:cs="Calibri"/>
          <w:lang w:val="en-US"/>
        </w:rPr>
        <w:t xml:space="preserve">Cartoon and pictures demonstrating the turning mechanism by which the lid can be opened and closed. The slanting projections make sure the lid is fixed inside the window. </w:t>
      </w:r>
    </w:p>
    <w:p w:rsidR="00E8571F" w:rsidRDefault="00E8571F" w:rsidP="00E8571F">
      <w:pPr>
        <w:widowControl w:val="0"/>
        <w:autoSpaceDE w:val="0"/>
        <w:autoSpaceDN w:val="0"/>
        <w:adjustRightInd w:val="0"/>
        <w:spacing w:after="0" w:line="480" w:lineRule="auto"/>
        <w:jc w:val="both"/>
        <w:rPr>
          <w:rFonts w:cs="Calibri"/>
          <w:lang w:val="en-US"/>
        </w:rPr>
      </w:pPr>
      <w:r>
        <w:rPr>
          <w:rFonts w:cs="Calibri"/>
          <w:lang w:val="en-US"/>
        </w:rPr>
        <w:br w:type="page"/>
      </w:r>
      <w:r>
        <w:rPr>
          <w:rFonts w:cs="Calibri"/>
          <w:noProof/>
          <w:lang w:val="en-US"/>
        </w:rPr>
        <w:lastRenderedPageBreak/>
        <w:drawing>
          <wp:inline distT="0" distB="0" distL="0" distR="0" wp14:anchorId="154391E3" wp14:editId="5C408130">
            <wp:extent cx="5760720" cy="81457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_Figure_3_new-1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8145780"/>
                    </a:xfrm>
                    <a:prstGeom prst="rect">
                      <a:avLst/>
                    </a:prstGeom>
                  </pic:spPr>
                </pic:pic>
              </a:graphicData>
            </a:graphic>
          </wp:inline>
        </w:drawing>
      </w:r>
    </w:p>
    <w:p w:rsidR="00E8571F" w:rsidRDefault="00E8571F" w:rsidP="00E8571F">
      <w:pPr>
        <w:spacing w:after="0" w:line="240" w:lineRule="auto"/>
        <w:rPr>
          <w:rFonts w:cs="Calibri"/>
          <w:lang w:val="en-US"/>
        </w:rPr>
      </w:pPr>
      <w:r>
        <w:rPr>
          <w:rFonts w:cs="Calibri"/>
          <w:lang w:val="en-US"/>
        </w:rPr>
        <w:br w:type="page"/>
      </w:r>
    </w:p>
    <w:p w:rsidR="00E8571F" w:rsidRPr="004A5ED1" w:rsidRDefault="00E8571F" w:rsidP="00E8571F">
      <w:pPr>
        <w:widowControl w:val="0"/>
        <w:autoSpaceDE w:val="0"/>
        <w:autoSpaceDN w:val="0"/>
        <w:adjustRightInd w:val="0"/>
        <w:spacing w:after="0" w:line="480" w:lineRule="auto"/>
        <w:jc w:val="both"/>
        <w:rPr>
          <w:rFonts w:cs="Calibri"/>
          <w:lang w:val="en-US"/>
        </w:rPr>
      </w:pPr>
      <w:r>
        <w:rPr>
          <w:rFonts w:cs="Calibri"/>
          <w:b/>
          <w:lang w:val="en-US"/>
        </w:rPr>
        <w:lastRenderedPageBreak/>
        <w:t xml:space="preserve">Supplementary Figure 3: Stromal cell influx during mammary gland elongation and branching. </w:t>
      </w:r>
      <w:r>
        <w:rPr>
          <w:rFonts w:cs="Calibri"/>
          <w:lang w:val="en-US"/>
        </w:rPr>
        <w:t xml:space="preserve">3D rendering of a pubertal mammary gland structure through a MIW with replaceable lid (left, same images as shown in Figure 3d) at imaging Day 1, 3 and 5 respectively. Right panels show a single Z-plane of the branching TEB (top panels) and elongating TEB (bottom panels), demonstrating the influx of stromal or immune cells during the branching and elongation events (a subset of the incoming cells is indicated with the white arrowheads). </w:t>
      </w:r>
      <w:r w:rsidRPr="00485FC3">
        <w:rPr>
          <w:rFonts w:cs="Calibri"/>
          <w:lang w:val="en-US"/>
        </w:rPr>
        <w:t xml:space="preserve">Note that the </w:t>
      </w:r>
      <w:proofErr w:type="spellStart"/>
      <w:r w:rsidRPr="00485FC3">
        <w:rPr>
          <w:rFonts w:cs="Calibri"/>
          <w:lang w:val="en-US"/>
        </w:rPr>
        <w:t>mT</w:t>
      </w:r>
      <w:proofErr w:type="spellEnd"/>
      <w:r w:rsidRPr="00485FC3">
        <w:rPr>
          <w:rFonts w:cs="Calibri"/>
          <w:lang w:val="en-US"/>
        </w:rPr>
        <w:t xml:space="preserve"> and </w:t>
      </w:r>
      <w:proofErr w:type="spellStart"/>
      <w:r w:rsidRPr="00485FC3">
        <w:rPr>
          <w:rFonts w:cs="Calibri"/>
          <w:lang w:val="en-US"/>
        </w:rPr>
        <w:t>mG</w:t>
      </w:r>
      <w:proofErr w:type="spellEnd"/>
      <w:r w:rsidRPr="00485FC3">
        <w:rPr>
          <w:rFonts w:cs="Calibri"/>
          <w:lang w:val="en-US"/>
        </w:rPr>
        <w:t xml:space="preserve"> signal in the epithelium is much brighter compared to the stroma in the single Z-planes. To make the stroma visible we </w:t>
      </w:r>
      <w:r>
        <w:rPr>
          <w:rFonts w:cs="Calibri"/>
          <w:lang w:val="en-US"/>
        </w:rPr>
        <w:t>manually</w:t>
      </w:r>
      <w:r w:rsidRPr="00485FC3">
        <w:rPr>
          <w:rFonts w:cs="Calibri"/>
          <w:lang w:val="en-US"/>
        </w:rPr>
        <w:t xml:space="preserve"> over-amplif</w:t>
      </w:r>
      <w:r>
        <w:rPr>
          <w:rFonts w:cs="Calibri"/>
          <w:lang w:val="en-US"/>
        </w:rPr>
        <w:t>ied</w:t>
      </w:r>
      <w:r w:rsidRPr="00485FC3">
        <w:rPr>
          <w:rFonts w:cs="Calibri"/>
          <w:lang w:val="en-US"/>
        </w:rPr>
        <w:t xml:space="preserve"> the signal in the epithelium.</w:t>
      </w:r>
      <w:r>
        <w:rPr>
          <w:rFonts w:cs="Calibri"/>
          <w:lang w:val="en-US"/>
        </w:rPr>
        <w:br w:type="page"/>
      </w:r>
      <w:r>
        <w:rPr>
          <w:rFonts w:cs="Calibri"/>
          <w:noProof/>
          <w:lang w:val="en-US"/>
        </w:rPr>
        <w:lastRenderedPageBreak/>
        <w:drawing>
          <wp:inline distT="0" distB="0" distL="0" distR="0" wp14:anchorId="31A8F278" wp14:editId="396AABE1">
            <wp:extent cx="5760720" cy="814514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rtboard 11@4x.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8145145"/>
                    </a:xfrm>
                    <a:prstGeom prst="rect">
                      <a:avLst/>
                    </a:prstGeom>
                  </pic:spPr>
                </pic:pic>
              </a:graphicData>
            </a:graphic>
          </wp:inline>
        </w:drawing>
      </w:r>
      <w:r>
        <w:rPr>
          <w:rFonts w:cs="Calibri"/>
          <w:lang w:val="en-US"/>
        </w:rPr>
        <w:br w:type="page"/>
      </w:r>
      <w:r>
        <w:rPr>
          <w:rFonts w:cs="Calibri"/>
          <w:b/>
          <w:lang w:val="en-US"/>
        </w:rPr>
        <w:lastRenderedPageBreak/>
        <w:t xml:space="preserve"> Supplementary Figure 4: IVM of proliferative heterogeneity during the estrous cycle in the adult mammary gland using a skin flap. (a) </w:t>
      </w:r>
      <w:r w:rsidRPr="00AD6551">
        <w:rPr>
          <w:rFonts w:cs="Calibri"/>
          <w:lang w:val="en-US"/>
        </w:rPr>
        <w:t>Panels showing confocal images of the same ductal area</w:t>
      </w:r>
      <w:r>
        <w:rPr>
          <w:rFonts w:cs="Calibri"/>
          <w:lang w:val="en-US"/>
        </w:rPr>
        <w:t xml:space="preserve"> (maximum intensity projection)</w:t>
      </w:r>
      <w:r w:rsidRPr="00AD6551">
        <w:rPr>
          <w:rFonts w:cs="Calibri"/>
          <w:lang w:val="en-US"/>
        </w:rPr>
        <w:t xml:space="preserve"> in a </w:t>
      </w:r>
      <w:proofErr w:type="spellStart"/>
      <w:r>
        <w:rPr>
          <w:rFonts w:cs="Calibri"/>
          <w:lang w:val="en-US"/>
        </w:rPr>
        <w:t>KikGR</w:t>
      </w:r>
      <w:proofErr w:type="spellEnd"/>
      <w:r w:rsidRPr="00AD6551">
        <w:rPr>
          <w:rFonts w:cs="Calibri"/>
          <w:lang w:val="en-US"/>
        </w:rPr>
        <w:t xml:space="preserve"> mouse over a period of 10 days through a </w:t>
      </w:r>
      <w:r>
        <w:rPr>
          <w:rFonts w:cs="Calibri"/>
          <w:lang w:val="en-US"/>
        </w:rPr>
        <w:t>MIW</w:t>
      </w:r>
      <w:r w:rsidRPr="00AD6551">
        <w:rPr>
          <w:rFonts w:cs="Calibri"/>
          <w:lang w:val="en-US"/>
        </w:rPr>
        <w:t xml:space="preserve">, from left to right 0, 2, 6 and 10 days after exposure to 405 nm laser light. Converted areas show similar dilution of the </w:t>
      </w:r>
      <w:proofErr w:type="spellStart"/>
      <w:r>
        <w:rPr>
          <w:rFonts w:cs="Calibri"/>
          <w:lang w:val="en-US"/>
        </w:rPr>
        <w:t>Kikume</w:t>
      </w:r>
      <w:proofErr w:type="spellEnd"/>
      <w:r>
        <w:rPr>
          <w:rFonts w:cs="Calibri"/>
          <w:lang w:val="en-US"/>
        </w:rPr>
        <w:t xml:space="preserve"> red</w:t>
      </w:r>
      <w:r w:rsidRPr="00AD6551">
        <w:rPr>
          <w:rFonts w:cs="Calibri"/>
          <w:lang w:val="en-US"/>
        </w:rPr>
        <w:t xml:space="preserve"> signal, indicating a global and equal turnover rate throughout the epithelium.</w:t>
      </w:r>
      <w:r>
        <w:rPr>
          <w:rFonts w:cs="Calibri"/>
          <w:lang w:val="en-US"/>
        </w:rPr>
        <w:t xml:space="preserve"> </w:t>
      </w:r>
      <w:r w:rsidRPr="00AD6551">
        <w:rPr>
          <w:rFonts w:cs="Calibri"/>
          <w:lang w:val="en-US"/>
        </w:rPr>
        <w:t xml:space="preserve">Scale bar represents 100 µm. </w:t>
      </w:r>
      <w:r w:rsidRPr="00AD6551">
        <w:rPr>
          <w:rFonts w:cs="Calibri"/>
          <w:b/>
          <w:bCs/>
          <w:lang w:val="en-US"/>
        </w:rPr>
        <w:t>(</w:t>
      </w:r>
      <w:r>
        <w:rPr>
          <w:rFonts w:cs="Calibri"/>
          <w:b/>
          <w:bCs/>
          <w:lang w:val="en-US"/>
        </w:rPr>
        <w:t>b</w:t>
      </w:r>
      <w:r w:rsidRPr="00AD6551">
        <w:rPr>
          <w:rFonts w:cs="Calibri"/>
          <w:b/>
          <w:bCs/>
          <w:lang w:val="en-US"/>
        </w:rPr>
        <w:t xml:space="preserve">) </w:t>
      </w:r>
      <w:r w:rsidRPr="00AD6551">
        <w:rPr>
          <w:rFonts w:cs="Calibri"/>
          <w:lang w:val="en-US"/>
        </w:rPr>
        <w:t xml:space="preserve">Zoom images </w:t>
      </w:r>
      <w:r>
        <w:rPr>
          <w:rFonts w:cs="Calibri"/>
          <w:lang w:val="en-US"/>
        </w:rPr>
        <w:t xml:space="preserve">(single Z-plane) </w:t>
      </w:r>
      <w:r w:rsidRPr="00AD6551">
        <w:rPr>
          <w:rFonts w:cs="Calibri"/>
          <w:lang w:val="en-US"/>
        </w:rPr>
        <w:t>of different ductal areas indicated with the white boxes in panel (</w:t>
      </w:r>
      <w:r>
        <w:rPr>
          <w:rFonts w:cs="Calibri"/>
          <w:lang w:val="en-US"/>
        </w:rPr>
        <w:t>a</w:t>
      </w:r>
      <w:r w:rsidRPr="00AD6551">
        <w:rPr>
          <w:rFonts w:cs="Calibri"/>
          <w:lang w:val="en-US"/>
        </w:rPr>
        <w:t>) 6 and 10 days after photo-conversion, showing wide-spread proliferative heterogeneity at the cellular level. Scale bars represent 10 µm.</w:t>
      </w:r>
      <w:r>
        <w:rPr>
          <w:rFonts w:cs="Calibri"/>
          <w:lang w:val="en-US"/>
        </w:rPr>
        <w:t xml:space="preserve"> </w:t>
      </w:r>
      <w:r>
        <w:rPr>
          <w:rFonts w:cs="Calibri"/>
          <w:b/>
          <w:lang w:val="en-US"/>
        </w:rPr>
        <w:t xml:space="preserve">(c) </w:t>
      </w:r>
      <w:r w:rsidRPr="00514CD8">
        <w:rPr>
          <w:rFonts w:cs="Calibri"/>
          <w:lang w:val="en-US"/>
        </w:rPr>
        <w:t>G</w:t>
      </w:r>
      <w:r>
        <w:rPr>
          <w:rFonts w:cs="Calibri"/>
          <w:lang w:val="en-US"/>
        </w:rPr>
        <w:t>raph depicts the g</w:t>
      </w:r>
      <w:r w:rsidRPr="00514CD8">
        <w:rPr>
          <w:rFonts w:cs="Calibri"/>
          <w:lang w:val="en-US"/>
        </w:rPr>
        <w:t xml:space="preserve">reen/Red ratio of randomly </w:t>
      </w:r>
      <w:r>
        <w:rPr>
          <w:rFonts w:cs="Calibri"/>
          <w:lang w:val="en-US"/>
        </w:rPr>
        <w:t>selected</w:t>
      </w:r>
      <w:r w:rsidRPr="00514CD8">
        <w:rPr>
          <w:rFonts w:cs="Calibri"/>
          <w:lang w:val="en-US"/>
        </w:rPr>
        <w:t xml:space="preserve"> single cells (</w:t>
      </w:r>
      <w:r w:rsidRPr="00514CD8">
        <w:rPr>
          <w:rFonts w:cs="Calibri"/>
          <w:i/>
          <w:lang w:val="en-US"/>
        </w:rPr>
        <w:t xml:space="preserve">n </w:t>
      </w:r>
      <w:r w:rsidRPr="00514CD8">
        <w:rPr>
          <w:rFonts w:cs="Calibri"/>
          <w:lang w:val="en-US"/>
        </w:rPr>
        <w:t xml:space="preserve">= 48 cells) in three photo-converted </w:t>
      </w:r>
      <w:r w:rsidRPr="00485FC3">
        <w:rPr>
          <w:rFonts w:cs="Calibri"/>
          <w:lang w:val="en-US"/>
        </w:rPr>
        <w:t>areas</w:t>
      </w:r>
      <w:r>
        <w:rPr>
          <w:rFonts w:cs="Calibri"/>
          <w:lang w:val="en-US"/>
        </w:rPr>
        <w:t xml:space="preserve"> (16 cells per area)</w:t>
      </w:r>
      <w:r w:rsidRPr="00514CD8">
        <w:rPr>
          <w:rFonts w:cs="Calibri"/>
          <w:lang w:val="en-US"/>
        </w:rPr>
        <w:t>, 10 days after photo-conversion</w:t>
      </w:r>
      <w:r>
        <w:rPr>
          <w:rFonts w:cs="Calibri"/>
          <w:lang w:val="en-US"/>
        </w:rPr>
        <w:t xml:space="preserve">, illustrating that the majority of cells shows a similar dilution ratio. Only a minority of cells rapidly dilutes the red signal, indicative of active cycling (green/red ratio &gt;2), or </w:t>
      </w:r>
      <w:r w:rsidRPr="00485FC3">
        <w:rPr>
          <w:rFonts w:cs="Calibri"/>
          <w:lang w:val="en-US"/>
        </w:rPr>
        <w:t>retains the red signal, indicative of quiescence (green/red ratio &lt;0.75).</w:t>
      </w:r>
      <w:r w:rsidRPr="00AD6551">
        <w:rPr>
          <w:rFonts w:cs="Calibri"/>
          <w:b/>
          <w:bCs/>
          <w:lang w:val="en-US"/>
        </w:rPr>
        <w:t xml:space="preserve"> </w:t>
      </w:r>
      <w:r>
        <w:rPr>
          <w:rFonts w:cs="Calibri"/>
          <w:lang w:val="en-US"/>
        </w:rPr>
        <w:t>Images are representative of 4 independent experiments in 4 different mice.</w:t>
      </w:r>
    </w:p>
    <w:p w:rsidR="00E8571F" w:rsidRDefault="00E8571F" w:rsidP="00E8571F">
      <w:pPr>
        <w:widowControl w:val="0"/>
        <w:autoSpaceDE w:val="0"/>
        <w:autoSpaceDN w:val="0"/>
        <w:adjustRightInd w:val="0"/>
        <w:spacing w:after="0" w:line="480" w:lineRule="auto"/>
        <w:rPr>
          <w:rFonts w:cs="Calibri"/>
          <w:b/>
          <w:lang w:val="en-US"/>
        </w:rPr>
      </w:pPr>
    </w:p>
    <w:p w:rsidR="00E8571F" w:rsidRPr="00514CD8" w:rsidRDefault="00E8571F" w:rsidP="00E8571F">
      <w:pPr>
        <w:widowControl w:val="0"/>
        <w:autoSpaceDE w:val="0"/>
        <w:autoSpaceDN w:val="0"/>
        <w:adjustRightInd w:val="0"/>
        <w:spacing w:after="0" w:line="480" w:lineRule="auto"/>
        <w:jc w:val="both"/>
        <w:rPr>
          <w:rFonts w:cs="Calibri"/>
          <w:vertAlign w:val="subscript"/>
          <w:lang w:val="en-US"/>
        </w:rPr>
      </w:pPr>
      <w:r>
        <w:rPr>
          <w:rFonts w:cs="Calibri"/>
          <w:b/>
          <w:lang w:val="en-US"/>
        </w:rPr>
        <w:br w:type="page"/>
      </w:r>
      <w:r>
        <w:rPr>
          <w:rFonts w:cs="Calibri"/>
          <w:b/>
          <w:noProof/>
          <w:lang w:val="en-US"/>
        </w:rPr>
        <w:lastRenderedPageBreak/>
        <w:drawing>
          <wp:inline distT="0" distB="0" distL="0" distR="0" wp14:anchorId="4C5098C0" wp14:editId="4B00D890">
            <wp:extent cx="5760720" cy="814514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rtboard 12@4x.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8145145"/>
                    </a:xfrm>
                    <a:prstGeom prst="rect">
                      <a:avLst/>
                    </a:prstGeom>
                  </pic:spPr>
                </pic:pic>
              </a:graphicData>
            </a:graphic>
          </wp:inline>
        </w:drawing>
      </w:r>
      <w:r>
        <w:rPr>
          <w:rFonts w:cs="Calibri"/>
          <w:b/>
          <w:lang w:val="en-US"/>
        </w:rPr>
        <w:br w:type="page"/>
      </w:r>
      <w:r>
        <w:rPr>
          <w:rFonts w:cs="Calibri"/>
          <w:b/>
          <w:lang w:val="en-US"/>
        </w:rPr>
        <w:lastRenderedPageBreak/>
        <w:t>Supplementary Figure 5:</w:t>
      </w:r>
      <w:r w:rsidRPr="00C1549B">
        <w:rPr>
          <w:rFonts w:cs="Calibri"/>
          <w:lang w:val="en-US"/>
        </w:rPr>
        <w:t xml:space="preserve"> </w:t>
      </w:r>
      <w:proofErr w:type="spellStart"/>
      <w:r w:rsidRPr="00514CD8">
        <w:rPr>
          <w:rFonts w:cs="Calibri"/>
          <w:b/>
          <w:lang w:val="en-US"/>
        </w:rPr>
        <w:t>EdU</w:t>
      </w:r>
      <w:proofErr w:type="spellEnd"/>
      <w:r w:rsidRPr="00514CD8">
        <w:rPr>
          <w:rFonts w:cs="Calibri"/>
          <w:b/>
          <w:lang w:val="en-US"/>
        </w:rPr>
        <w:t xml:space="preserve"> incorporation experiment shows widespread proliferation throughout the ductal tree in adult mammary gland.</w:t>
      </w:r>
      <w:r>
        <w:rPr>
          <w:rFonts w:cs="Calibri"/>
          <w:b/>
          <w:lang w:val="en-US"/>
        </w:rPr>
        <w:t xml:space="preserve"> (a-c) </w:t>
      </w:r>
      <w:r>
        <w:rPr>
          <w:rFonts w:cs="Calibri"/>
          <w:lang w:val="en-US"/>
        </w:rPr>
        <w:t xml:space="preserve">Representative whole-mount maximum intensity projections of mammary ducts 10 hours after </w:t>
      </w:r>
      <w:proofErr w:type="spellStart"/>
      <w:r>
        <w:rPr>
          <w:rFonts w:cs="Calibri"/>
          <w:lang w:val="en-US"/>
        </w:rPr>
        <w:t>EdU</w:t>
      </w:r>
      <w:proofErr w:type="spellEnd"/>
      <w:r>
        <w:rPr>
          <w:rFonts w:cs="Calibri"/>
          <w:lang w:val="en-US"/>
        </w:rPr>
        <w:t xml:space="preserve">-injection during proestrus (a), estrus (b) and metestrus/diestrus (c), demonstrating scattered proliferation throughout the ductal tree during estrus and metestrus/diestrus stage. </w:t>
      </w:r>
      <w:proofErr w:type="spellStart"/>
      <w:r>
        <w:rPr>
          <w:rFonts w:cs="Calibri"/>
          <w:lang w:val="en-US"/>
        </w:rPr>
        <w:t>EdU</w:t>
      </w:r>
      <w:proofErr w:type="spellEnd"/>
      <w:r>
        <w:rPr>
          <w:rFonts w:cs="Calibri"/>
          <w:lang w:val="en-US"/>
        </w:rPr>
        <w:t xml:space="preserve"> is shown in magenta, nuclei (DAPI) are shown in blue. Scale bars represent 100 µm. Data is representative of 2 mice per stage. For each mouse the 4</w:t>
      </w:r>
      <w:r w:rsidRPr="007A450A">
        <w:rPr>
          <w:rFonts w:cs="Calibri"/>
          <w:vertAlign w:val="superscript"/>
          <w:lang w:val="en-US"/>
        </w:rPr>
        <w:t>th</w:t>
      </w:r>
      <w:r>
        <w:rPr>
          <w:rFonts w:cs="Calibri"/>
          <w:lang w:val="en-US"/>
        </w:rPr>
        <w:t xml:space="preserve"> and 5</w:t>
      </w:r>
      <w:r w:rsidRPr="007A450A">
        <w:rPr>
          <w:rFonts w:cs="Calibri"/>
          <w:vertAlign w:val="superscript"/>
          <w:lang w:val="en-US"/>
        </w:rPr>
        <w:t>th</w:t>
      </w:r>
      <w:r>
        <w:rPr>
          <w:rFonts w:cs="Calibri"/>
          <w:lang w:val="en-US"/>
        </w:rPr>
        <w:t xml:space="preserve"> mammary glands were analyzed. </w:t>
      </w:r>
      <w:r w:rsidRPr="00514CD8">
        <w:rPr>
          <w:rFonts w:cs="Calibri"/>
          <w:b/>
          <w:lang w:val="en-US"/>
        </w:rPr>
        <w:t>(</w:t>
      </w:r>
      <w:r>
        <w:rPr>
          <w:rFonts w:cs="Calibri"/>
          <w:b/>
          <w:lang w:val="en-US"/>
        </w:rPr>
        <w:t xml:space="preserve">d) </w:t>
      </w:r>
      <w:r>
        <w:rPr>
          <w:rFonts w:cs="Calibri"/>
          <w:lang w:val="en-US"/>
        </w:rPr>
        <w:t xml:space="preserve">Quantification of the percentage proliferative and non-proliferative ductal segments (left graph) and ductal tips (right graph) during the different stages of the estrous cycle. </w:t>
      </w:r>
      <w:r>
        <w:rPr>
          <w:rFonts w:cs="Calibri"/>
          <w:i/>
          <w:lang w:val="en-US"/>
        </w:rPr>
        <w:t xml:space="preserve">n = </w:t>
      </w:r>
      <w:r>
        <w:rPr>
          <w:rFonts w:cs="Calibri"/>
          <w:lang w:val="en-US"/>
        </w:rPr>
        <w:t xml:space="preserve">60 ductal segments and 73 ductal ends (proestrus), </w:t>
      </w:r>
      <w:r>
        <w:rPr>
          <w:rFonts w:cs="Calibri"/>
          <w:i/>
          <w:lang w:val="en-US"/>
        </w:rPr>
        <w:t xml:space="preserve">n = </w:t>
      </w:r>
      <w:r>
        <w:rPr>
          <w:rFonts w:cs="Calibri"/>
          <w:lang w:val="en-US"/>
        </w:rPr>
        <w:t xml:space="preserve">90 ductal segments and 82 ductal ends (estrus), and </w:t>
      </w:r>
      <w:r>
        <w:rPr>
          <w:rFonts w:cs="Calibri"/>
          <w:i/>
          <w:lang w:val="en-US"/>
        </w:rPr>
        <w:t xml:space="preserve">n = </w:t>
      </w:r>
      <w:r>
        <w:rPr>
          <w:rFonts w:cs="Calibri"/>
          <w:lang w:val="en-US"/>
        </w:rPr>
        <w:t>90 ductal segments and 102 ductal ends (metestrus/diestrus).</w:t>
      </w:r>
    </w:p>
    <w:p w:rsidR="00E8571F" w:rsidRDefault="00E8571F" w:rsidP="00E8571F">
      <w:pPr>
        <w:widowControl w:val="0"/>
        <w:autoSpaceDE w:val="0"/>
        <w:autoSpaceDN w:val="0"/>
        <w:adjustRightInd w:val="0"/>
        <w:spacing w:after="0" w:line="480" w:lineRule="auto"/>
        <w:rPr>
          <w:rFonts w:cs="Calibri"/>
          <w:b/>
          <w:noProof/>
          <w:lang w:val="en-US"/>
        </w:rPr>
      </w:pPr>
    </w:p>
    <w:p w:rsidR="00E8571F" w:rsidRDefault="00E8571F" w:rsidP="00E8571F">
      <w:pPr>
        <w:widowControl w:val="0"/>
        <w:autoSpaceDE w:val="0"/>
        <w:autoSpaceDN w:val="0"/>
        <w:adjustRightInd w:val="0"/>
        <w:spacing w:after="0" w:line="480" w:lineRule="auto"/>
        <w:rPr>
          <w:rFonts w:cs="Calibri"/>
          <w:b/>
          <w:noProof/>
          <w:lang w:val="en-US"/>
        </w:rPr>
      </w:pPr>
    </w:p>
    <w:p w:rsidR="00E8571F" w:rsidRDefault="00E8571F" w:rsidP="00E8571F">
      <w:pPr>
        <w:widowControl w:val="0"/>
        <w:autoSpaceDE w:val="0"/>
        <w:autoSpaceDN w:val="0"/>
        <w:adjustRightInd w:val="0"/>
        <w:spacing w:after="0" w:line="480" w:lineRule="auto"/>
        <w:rPr>
          <w:rFonts w:cs="Calibri"/>
          <w:b/>
          <w:noProof/>
          <w:lang w:val="en-US"/>
        </w:rPr>
      </w:pPr>
    </w:p>
    <w:p w:rsidR="00E8571F" w:rsidRDefault="00E8571F" w:rsidP="00E8571F">
      <w:pPr>
        <w:widowControl w:val="0"/>
        <w:autoSpaceDE w:val="0"/>
        <w:autoSpaceDN w:val="0"/>
        <w:adjustRightInd w:val="0"/>
        <w:spacing w:after="0" w:line="480" w:lineRule="auto"/>
        <w:rPr>
          <w:rFonts w:cs="Calibri"/>
          <w:b/>
          <w:noProof/>
          <w:lang w:val="en-US"/>
        </w:rPr>
      </w:pPr>
    </w:p>
    <w:p w:rsidR="00E8571F" w:rsidRDefault="00E8571F" w:rsidP="00E8571F">
      <w:pPr>
        <w:widowControl w:val="0"/>
        <w:autoSpaceDE w:val="0"/>
        <w:autoSpaceDN w:val="0"/>
        <w:adjustRightInd w:val="0"/>
        <w:spacing w:after="0" w:line="480" w:lineRule="auto"/>
        <w:rPr>
          <w:rFonts w:cs="Calibri"/>
          <w:b/>
          <w:noProof/>
          <w:lang w:val="en-US"/>
        </w:rPr>
      </w:pPr>
    </w:p>
    <w:p w:rsidR="00E8571F" w:rsidRDefault="00E8571F" w:rsidP="00E8571F">
      <w:pPr>
        <w:widowControl w:val="0"/>
        <w:autoSpaceDE w:val="0"/>
        <w:autoSpaceDN w:val="0"/>
        <w:adjustRightInd w:val="0"/>
        <w:spacing w:after="0" w:line="480" w:lineRule="auto"/>
        <w:rPr>
          <w:rFonts w:cs="Calibri"/>
          <w:b/>
          <w:noProof/>
          <w:lang w:val="en-US"/>
        </w:rPr>
      </w:pPr>
    </w:p>
    <w:p w:rsidR="00E8571F" w:rsidRDefault="00E8571F" w:rsidP="00E8571F">
      <w:pPr>
        <w:widowControl w:val="0"/>
        <w:autoSpaceDE w:val="0"/>
        <w:autoSpaceDN w:val="0"/>
        <w:adjustRightInd w:val="0"/>
        <w:spacing w:after="0" w:line="480" w:lineRule="auto"/>
        <w:rPr>
          <w:rFonts w:cs="Calibri"/>
          <w:b/>
          <w:noProof/>
          <w:lang w:val="en-US"/>
        </w:rPr>
      </w:pPr>
    </w:p>
    <w:p w:rsidR="00E8571F" w:rsidRDefault="00E8571F" w:rsidP="00E8571F">
      <w:pPr>
        <w:widowControl w:val="0"/>
        <w:autoSpaceDE w:val="0"/>
        <w:autoSpaceDN w:val="0"/>
        <w:adjustRightInd w:val="0"/>
        <w:spacing w:after="0" w:line="480" w:lineRule="auto"/>
        <w:rPr>
          <w:rFonts w:cs="Calibri"/>
          <w:b/>
          <w:noProof/>
          <w:lang w:val="en-US"/>
        </w:rPr>
      </w:pPr>
    </w:p>
    <w:p w:rsidR="00E8571F" w:rsidRDefault="00E8571F" w:rsidP="00E8571F">
      <w:pPr>
        <w:widowControl w:val="0"/>
        <w:autoSpaceDE w:val="0"/>
        <w:autoSpaceDN w:val="0"/>
        <w:adjustRightInd w:val="0"/>
        <w:spacing w:after="0" w:line="480" w:lineRule="auto"/>
        <w:rPr>
          <w:rFonts w:cs="Calibri"/>
          <w:b/>
          <w:noProof/>
          <w:lang w:val="en-US"/>
        </w:rPr>
      </w:pPr>
    </w:p>
    <w:p w:rsidR="00E8571F" w:rsidRDefault="00E8571F" w:rsidP="00E8571F">
      <w:pPr>
        <w:widowControl w:val="0"/>
        <w:autoSpaceDE w:val="0"/>
        <w:autoSpaceDN w:val="0"/>
        <w:adjustRightInd w:val="0"/>
        <w:spacing w:after="0" w:line="480" w:lineRule="auto"/>
        <w:rPr>
          <w:rFonts w:cs="Calibri"/>
          <w:b/>
          <w:noProof/>
          <w:lang w:val="en-US"/>
        </w:rPr>
      </w:pPr>
    </w:p>
    <w:p w:rsidR="00E8571F" w:rsidRDefault="00E8571F" w:rsidP="00E8571F">
      <w:pPr>
        <w:widowControl w:val="0"/>
        <w:autoSpaceDE w:val="0"/>
        <w:autoSpaceDN w:val="0"/>
        <w:adjustRightInd w:val="0"/>
        <w:spacing w:after="0" w:line="480" w:lineRule="auto"/>
        <w:rPr>
          <w:rFonts w:cs="Calibri"/>
          <w:b/>
          <w:noProof/>
          <w:lang w:val="en-US"/>
        </w:rPr>
      </w:pPr>
    </w:p>
    <w:p w:rsidR="00E8571F" w:rsidRDefault="00E8571F" w:rsidP="00E8571F">
      <w:pPr>
        <w:widowControl w:val="0"/>
        <w:autoSpaceDE w:val="0"/>
        <w:autoSpaceDN w:val="0"/>
        <w:adjustRightInd w:val="0"/>
        <w:spacing w:after="0" w:line="480" w:lineRule="auto"/>
        <w:rPr>
          <w:rFonts w:cs="Calibri"/>
          <w:b/>
          <w:noProof/>
          <w:lang w:val="en-US"/>
        </w:rPr>
      </w:pPr>
    </w:p>
    <w:p w:rsidR="00E8571F" w:rsidRDefault="00E8571F" w:rsidP="00E8571F">
      <w:pPr>
        <w:widowControl w:val="0"/>
        <w:autoSpaceDE w:val="0"/>
        <w:autoSpaceDN w:val="0"/>
        <w:adjustRightInd w:val="0"/>
        <w:spacing w:after="0" w:line="480" w:lineRule="auto"/>
        <w:rPr>
          <w:rFonts w:cs="Calibri"/>
          <w:b/>
          <w:noProof/>
          <w:lang w:val="en-US"/>
        </w:rPr>
      </w:pPr>
    </w:p>
    <w:p w:rsidR="00E8571F" w:rsidRDefault="00E8571F" w:rsidP="00E8571F">
      <w:pPr>
        <w:widowControl w:val="0"/>
        <w:autoSpaceDE w:val="0"/>
        <w:autoSpaceDN w:val="0"/>
        <w:adjustRightInd w:val="0"/>
        <w:spacing w:after="0" w:line="480" w:lineRule="auto"/>
        <w:rPr>
          <w:rFonts w:cs="Calibri"/>
          <w:b/>
          <w:lang w:val="en-US"/>
        </w:rPr>
      </w:pPr>
      <w:r>
        <w:rPr>
          <w:rFonts w:cs="Calibri"/>
          <w:b/>
          <w:noProof/>
          <w:lang w:val="en-US"/>
        </w:rPr>
        <w:lastRenderedPageBreak/>
        <w:drawing>
          <wp:inline distT="0" distB="0" distL="0" distR="0" wp14:anchorId="7A80EBD8" wp14:editId="3EE4AE03">
            <wp:extent cx="5760720" cy="814514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rtboard 13@4x.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8145145"/>
                    </a:xfrm>
                    <a:prstGeom prst="rect">
                      <a:avLst/>
                    </a:prstGeom>
                  </pic:spPr>
                </pic:pic>
              </a:graphicData>
            </a:graphic>
          </wp:inline>
        </w:drawing>
      </w:r>
      <w:r>
        <w:rPr>
          <w:rFonts w:cs="Calibri"/>
          <w:b/>
          <w:lang w:val="en-US"/>
        </w:rPr>
        <w:br w:type="page"/>
      </w:r>
    </w:p>
    <w:p w:rsidR="00E8571F" w:rsidRPr="00FA5361" w:rsidRDefault="00E8571F" w:rsidP="00E8571F">
      <w:pPr>
        <w:widowControl w:val="0"/>
        <w:autoSpaceDE w:val="0"/>
        <w:autoSpaceDN w:val="0"/>
        <w:adjustRightInd w:val="0"/>
        <w:spacing w:after="0" w:line="480" w:lineRule="auto"/>
        <w:jc w:val="both"/>
        <w:rPr>
          <w:rFonts w:cs="Calibri"/>
          <w:b/>
          <w:lang w:val="en-US"/>
        </w:rPr>
      </w:pPr>
      <w:r>
        <w:rPr>
          <w:rFonts w:cs="Calibri"/>
          <w:b/>
          <w:lang w:val="en-US"/>
        </w:rPr>
        <w:lastRenderedPageBreak/>
        <w:t xml:space="preserve">Supplementary Figure 6: IVM of proliferative heterogeneity during the estrous cycle in the adult mammary gland using a skin flap. </w:t>
      </w:r>
      <w:r w:rsidRPr="00AD6551">
        <w:rPr>
          <w:rFonts w:cs="Calibri"/>
          <w:b/>
          <w:bCs/>
          <w:lang w:val="en-US"/>
        </w:rPr>
        <w:t>(</w:t>
      </w:r>
      <w:r>
        <w:rPr>
          <w:rFonts w:cs="Calibri"/>
          <w:b/>
          <w:bCs/>
          <w:lang w:val="en-US"/>
        </w:rPr>
        <w:t>a</w:t>
      </w:r>
      <w:r w:rsidRPr="00AD6551">
        <w:rPr>
          <w:rFonts w:cs="Calibri"/>
          <w:b/>
          <w:bCs/>
          <w:lang w:val="en-US"/>
        </w:rPr>
        <w:t xml:space="preserve">) </w:t>
      </w:r>
      <w:r w:rsidRPr="00AD6551">
        <w:rPr>
          <w:rFonts w:cs="Calibri"/>
          <w:lang w:val="en-US"/>
        </w:rPr>
        <w:t>Confocal overview image</w:t>
      </w:r>
      <w:r>
        <w:rPr>
          <w:rFonts w:cs="Calibri"/>
          <w:lang w:val="en-US"/>
        </w:rPr>
        <w:t xml:space="preserve"> (single Z-plane)</w:t>
      </w:r>
      <w:r w:rsidRPr="00AD6551">
        <w:rPr>
          <w:rFonts w:cs="Calibri"/>
          <w:lang w:val="en-US"/>
        </w:rPr>
        <w:t xml:space="preserve"> of the visible area of the mammary gland using a </w:t>
      </w:r>
      <w:r>
        <w:rPr>
          <w:rFonts w:cs="Calibri"/>
          <w:lang w:val="en-US"/>
        </w:rPr>
        <w:t xml:space="preserve">skin flap (upper panel) directly after photo-conversion of small areas. </w:t>
      </w:r>
      <w:r w:rsidRPr="00AD6551">
        <w:rPr>
          <w:rFonts w:cs="Calibri"/>
          <w:lang w:val="en-US"/>
        </w:rPr>
        <w:t>Scale bar represents 1 mm</w:t>
      </w:r>
      <w:r>
        <w:rPr>
          <w:rFonts w:cs="Calibri"/>
          <w:lang w:val="en-US"/>
        </w:rPr>
        <w:t xml:space="preserve">. </w:t>
      </w:r>
      <w:r w:rsidRPr="00AD6551">
        <w:rPr>
          <w:rFonts w:cs="Calibri"/>
          <w:b/>
          <w:bCs/>
          <w:lang w:val="en-US"/>
        </w:rPr>
        <w:t>(</w:t>
      </w:r>
      <w:r>
        <w:rPr>
          <w:rFonts w:cs="Calibri"/>
          <w:b/>
          <w:bCs/>
          <w:lang w:val="en-US"/>
        </w:rPr>
        <w:t>b</w:t>
      </w:r>
      <w:r w:rsidRPr="00AD6551">
        <w:rPr>
          <w:rFonts w:cs="Calibri"/>
          <w:b/>
          <w:bCs/>
          <w:lang w:val="en-US"/>
        </w:rPr>
        <w:t xml:space="preserve">) </w:t>
      </w:r>
      <w:r w:rsidRPr="00AD6551">
        <w:rPr>
          <w:rFonts w:cs="Calibri"/>
          <w:lang w:val="en-US"/>
        </w:rPr>
        <w:t>Zoom images of the regions indicated with white boxes in panel (</w:t>
      </w:r>
      <w:r>
        <w:rPr>
          <w:rFonts w:cs="Calibri"/>
          <w:lang w:val="en-US"/>
        </w:rPr>
        <w:t>d</w:t>
      </w:r>
      <w:r w:rsidRPr="00AD6551">
        <w:rPr>
          <w:rFonts w:cs="Calibri"/>
          <w:lang w:val="en-US"/>
        </w:rPr>
        <w:t>) 9 days after photo-conversion</w:t>
      </w:r>
      <w:r>
        <w:rPr>
          <w:rFonts w:cs="Calibri"/>
          <w:lang w:val="en-US"/>
        </w:rPr>
        <w:t xml:space="preserve"> (single Z-planes)</w:t>
      </w:r>
      <w:r w:rsidRPr="00AD6551">
        <w:rPr>
          <w:rFonts w:cs="Calibri"/>
          <w:lang w:val="en-US"/>
        </w:rPr>
        <w:t xml:space="preserve">. Converted areas stayed cohesive over time, and no difference in dilution rate is observed between different regions (branch point, </w:t>
      </w:r>
      <w:r>
        <w:rPr>
          <w:rFonts w:cs="Calibri"/>
          <w:lang w:val="en-US"/>
        </w:rPr>
        <w:t xml:space="preserve">ductal end </w:t>
      </w:r>
      <w:r w:rsidRPr="00AD6551">
        <w:rPr>
          <w:rFonts w:cs="Calibri"/>
          <w:lang w:val="en-US"/>
        </w:rPr>
        <w:t xml:space="preserve">and ductal segment respectively) indicating similar turnover rates throughout the gland. </w:t>
      </w:r>
      <w:bookmarkStart w:id="1" w:name="_Hlk68719187"/>
      <w:r>
        <w:rPr>
          <w:rFonts w:cs="Calibri"/>
          <w:lang w:val="en-US"/>
        </w:rPr>
        <w:t xml:space="preserve">Note that the newly formed alveolar bud in region 3 remained red (indicative of low proliferative activity), indicating that the proliferative force to create this side bud originates in the regions flanking the converted area. </w:t>
      </w:r>
      <w:bookmarkEnd w:id="1"/>
      <w:r w:rsidRPr="00AD6551">
        <w:rPr>
          <w:rFonts w:cs="Calibri"/>
          <w:lang w:val="en-US"/>
        </w:rPr>
        <w:t>Scale bars represent 100 µm.</w:t>
      </w:r>
      <w:r>
        <w:rPr>
          <w:rFonts w:cs="Calibri"/>
          <w:lang w:val="en-US"/>
        </w:rPr>
        <w:t xml:space="preserve"> Images are representative of 4 independent experiments in 4 different mice.</w:t>
      </w:r>
    </w:p>
    <w:p w:rsidR="00EF14C7" w:rsidRPr="002D1528" w:rsidRDefault="00EF14C7">
      <w:pPr>
        <w:rPr>
          <w:lang w:val="en-US"/>
        </w:rPr>
      </w:pPr>
    </w:p>
    <w:sectPr w:rsidR="00EF14C7" w:rsidRPr="002D1528" w:rsidSect="002D1528">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2D1528">
      <w:pPr>
        <w:spacing w:after="0" w:line="240" w:lineRule="auto"/>
      </w:pPr>
      <w:r>
        <w:separator/>
      </w:r>
    </w:p>
  </w:endnote>
  <w:endnote w:type="continuationSeparator" w:id="0">
    <w:p w:rsidR="00000000" w:rsidRDefault="002D15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7FB7" w:rsidRDefault="00E8571F">
    <w:pPr>
      <w:pStyle w:val="Footer"/>
      <w:jc w:val="center"/>
    </w:pPr>
    <w:r>
      <w:fldChar w:fldCharType="begin"/>
    </w:r>
    <w:r>
      <w:instrText xml:space="preserve"> PAGE   \* MERGEFORMAT </w:instrText>
    </w:r>
    <w:r>
      <w:fldChar w:fldCharType="separate"/>
    </w:r>
    <w:r>
      <w:rPr>
        <w:noProof/>
      </w:rPr>
      <w:t>1</w:t>
    </w:r>
    <w:r>
      <w:rPr>
        <w:noProof/>
      </w:rPr>
      <w:fldChar w:fldCharType="end"/>
    </w:r>
  </w:p>
  <w:p w:rsidR="00D37FB7" w:rsidRDefault="002D15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2D1528">
      <w:pPr>
        <w:spacing w:after="0" w:line="240" w:lineRule="auto"/>
      </w:pPr>
      <w:r>
        <w:separator/>
      </w:r>
    </w:p>
  </w:footnote>
  <w:footnote w:type="continuationSeparator" w:id="0">
    <w:p w:rsidR="00000000" w:rsidRDefault="002D15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24"/>
      <w:gridCol w:w="3024"/>
      <w:gridCol w:w="3024"/>
    </w:tblGrid>
    <w:tr w:rsidR="00D37FB7" w:rsidRPr="00B75C81" w:rsidTr="56F4E579">
      <w:tc>
        <w:tcPr>
          <w:tcW w:w="3024" w:type="dxa"/>
        </w:tcPr>
        <w:p w:rsidR="00D37FB7" w:rsidRPr="00B75C81" w:rsidRDefault="002D1528" w:rsidP="56F4E579">
          <w:pPr>
            <w:pStyle w:val="Header"/>
            <w:ind w:left="-115"/>
          </w:pPr>
        </w:p>
      </w:tc>
      <w:tc>
        <w:tcPr>
          <w:tcW w:w="3024" w:type="dxa"/>
        </w:tcPr>
        <w:p w:rsidR="00D37FB7" w:rsidRPr="00B75C81" w:rsidRDefault="002D1528" w:rsidP="56F4E579">
          <w:pPr>
            <w:pStyle w:val="Header"/>
            <w:jc w:val="center"/>
          </w:pPr>
        </w:p>
      </w:tc>
      <w:tc>
        <w:tcPr>
          <w:tcW w:w="3024" w:type="dxa"/>
        </w:tcPr>
        <w:p w:rsidR="00D37FB7" w:rsidRPr="00B75C81" w:rsidRDefault="002D1528" w:rsidP="56F4E579">
          <w:pPr>
            <w:pStyle w:val="Header"/>
            <w:ind w:right="-115"/>
            <w:jc w:val="right"/>
          </w:pPr>
        </w:p>
      </w:tc>
    </w:tr>
  </w:tbl>
  <w:p w:rsidR="00D37FB7" w:rsidRDefault="002D1528" w:rsidP="56F4E57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71F"/>
    <w:rsid w:val="00014840"/>
    <w:rsid w:val="00017669"/>
    <w:rsid w:val="00020722"/>
    <w:rsid w:val="00042CCA"/>
    <w:rsid w:val="00050488"/>
    <w:rsid w:val="0005699D"/>
    <w:rsid w:val="00062D80"/>
    <w:rsid w:val="00065A73"/>
    <w:rsid w:val="00072114"/>
    <w:rsid w:val="000A1ECE"/>
    <w:rsid w:val="000A3AE2"/>
    <w:rsid w:val="000A40ED"/>
    <w:rsid w:val="000B22B3"/>
    <w:rsid w:val="000B3905"/>
    <w:rsid w:val="000B4D97"/>
    <w:rsid w:val="000C3EC9"/>
    <w:rsid w:val="000C7957"/>
    <w:rsid w:val="000E0DCF"/>
    <w:rsid w:val="000E344E"/>
    <w:rsid w:val="000E6107"/>
    <w:rsid w:val="000F77A0"/>
    <w:rsid w:val="00104C79"/>
    <w:rsid w:val="00115B59"/>
    <w:rsid w:val="0011750E"/>
    <w:rsid w:val="001178B0"/>
    <w:rsid w:val="00120C16"/>
    <w:rsid w:val="001379F2"/>
    <w:rsid w:val="00152CA3"/>
    <w:rsid w:val="00163584"/>
    <w:rsid w:val="001700A6"/>
    <w:rsid w:val="001706EB"/>
    <w:rsid w:val="00187BEE"/>
    <w:rsid w:val="001951C6"/>
    <w:rsid w:val="001A323A"/>
    <w:rsid w:val="001B25F0"/>
    <w:rsid w:val="001B5157"/>
    <w:rsid w:val="001D6458"/>
    <w:rsid w:val="001F5487"/>
    <w:rsid w:val="00213AE9"/>
    <w:rsid w:val="0022479C"/>
    <w:rsid w:val="002251B1"/>
    <w:rsid w:val="00235C7C"/>
    <w:rsid w:val="00242189"/>
    <w:rsid w:val="0024269E"/>
    <w:rsid w:val="00242C69"/>
    <w:rsid w:val="00251A14"/>
    <w:rsid w:val="00253861"/>
    <w:rsid w:val="0026101F"/>
    <w:rsid w:val="00265F83"/>
    <w:rsid w:val="00277F8E"/>
    <w:rsid w:val="002805CA"/>
    <w:rsid w:val="002814DF"/>
    <w:rsid w:val="00290299"/>
    <w:rsid w:val="0029659B"/>
    <w:rsid w:val="002A33A5"/>
    <w:rsid w:val="002A4C71"/>
    <w:rsid w:val="002A6432"/>
    <w:rsid w:val="002B4D6C"/>
    <w:rsid w:val="002B60A6"/>
    <w:rsid w:val="002C4368"/>
    <w:rsid w:val="002C4BB6"/>
    <w:rsid w:val="002C7FC0"/>
    <w:rsid w:val="002D0398"/>
    <w:rsid w:val="002D1528"/>
    <w:rsid w:val="002D5BB3"/>
    <w:rsid w:val="002D7776"/>
    <w:rsid w:val="002E7943"/>
    <w:rsid w:val="00306B2F"/>
    <w:rsid w:val="0031570F"/>
    <w:rsid w:val="0033353E"/>
    <w:rsid w:val="00334F2A"/>
    <w:rsid w:val="00342A68"/>
    <w:rsid w:val="00360032"/>
    <w:rsid w:val="00361ACF"/>
    <w:rsid w:val="003648F0"/>
    <w:rsid w:val="003767AF"/>
    <w:rsid w:val="003819BF"/>
    <w:rsid w:val="00382F13"/>
    <w:rsid w:val="00387332"/>
    <w:rsid w:val="003A46BC"/>
    <w:rsid w:val="003B01E9"/>
    <w:rsid w:val="003B2A09"/>
    <w:rsid w:val="003B53E2"/>
    <w:rsid w:val="003B775A"/>
    <w:rsid w:val="003C2DAF"/>
    <w:rsid w:val="003D0497"/>
    <w:rsid w:val="003E6639"/>
    <w:rsid w:val="003E72AD"/>
    <w:rsid w:val="00405793"/>
    <w:rsid w:val="00432430"/>
    <w:rsid w:val="00432474"/>
    <w:rsid w:val="004349A5"/>
    <w:rsid w:val="0043787D"/>
    <w:rsid w:val="00444C27"/>
    <w:rsid w:val="0044517A"/>
    <w:rsid w:val="00453056"/>
    <w:rsid w:val="00460BF0"/>
    <w:rsid w:val="0046344B"/>
    <w:rsid w:val="00476A92"/>
    <w:rsid w:val="00492306"/>
    <w:rsid w:val="004B5066"/>
    <w:rsid w:val="004C4544"/>
    <w:rsid w:val="004C54B1"/>
    <w:rsid w:val="004C5E88"/>
    <w:rsid w:val="004D4D01"/>
    <w:rsid w:val="004E79CE"/>
    <w:rsid w:val="004F21E3"/>
    <w:rsid w:val="00503884"/>
    <w:rsid w:val="00507861"/>
    <w:rsid w:val="00512155"/>
    <w:rsid w:val="00521F2E"/>
    <w:rsid w:val="0052560B"/>
    <w:rsid w:val="00532BEC"/>
    <w:rsid w:val="00535D8E"/>
    <w:rsid w:val="00554831"/>
    <w:rsid w:val="00567993"/>
    <w:rsid w:val="00575D62"/>
    <w:rsid w:val="00576580"/>
    <w:rsid w:val="00581B13"/>
    <w:rsid w:val="005825C3"/>
    <w:rsid w:val="005876AF"/>
    <w:rsid w:val="00590F34"/>
    <w:rsid w:val="00591BF8"/>
    <w:rsid w:val="005970EA"/>
    <w:rsid w:val="005A2AA8"/>
    <w:rsid w:val="005B3DBA"/>
    <w:rsid w:val="005B6EFE"/>
    <w:rsid w:val="005C450A"/>
    <w:rsid w:val="005C470F"/>
    <w:rsid w:val="005C6250"/>
    <w:rsid w:val="005C6325"/>
    <w:rsid w:val="005C7A78"/>
    <w:rsid w:val="005D07F4"/>
    <w:rsid w:val="005D0DFD"/>
    <w:rsid w:val="005D4912"/>
    <w:rsid w:val="005D743D"/>
    <w:rsid w:val="005D78A5"/>
    <w:rsid w:val="005F488F"/>
    <w:rsid w:val="005F4FDA"/>
    <w:rsid w:val="0060359D"/>
    <w:rsid w:val="006072CC"/>
    <w:rsid w:val="006172AB"/>
    <w:rsid w:val="00617FB0"/>
    <w:rsid w:val="00622122"/>
    <w:rsid w:val="00627807"/>
    <w:rsid w:val="00640154"/>
    <w:rsid w:val="0064041A"/>
    <w:rsid w:val="00643FF3"/>
    <w:rsid w:val="00670F0F"/>
    <w:rsid w:val="00680D3E"/>
    <w:rsid w:val="0069239C"/>
    <w:rsid w:val="00695B7B"/>
    <w:rsid w:val="006960A6"/>
    <w:rsid w:val="006A06EE"/>
    <w:rsid w:val="006A3F2B"/>
    <w:rsid w:val="006A4ABD"/>
    <w:rsid w:val="006B271B"/>
    <w:rsid w:val="006B2C8D"/>
    <w:rsid w:val="006B32B7"/>
    <w:rsid w:val="006B69FE"/>
    <w:rsid w:val="006C5CA0"/>
    <w:rsid w:val="006D2054"/>
    <w:rsid w:val="006F41EA"/>
    <w:rsid w:val="00704372"/>
    <w:rsid w:val="007139EB"/>
    <w:rsid w:val="00725AE0"/>
    <w:rsid w:val="00737B40"/>
    <w:rsid w:val="00746D87"/>
    <w:rsid w:val="00747D83"/>
    <w:rsid w:val="00753821"/>
    <w:rsid w:val="0075677D"/>
    <w:rsid w:val="00761FD2"/>
    <w:rsid w:val="00777C04"/>
    <w:rsid w:val="007949C2"/>
    <w:rsid w:val="00796F2F"/>
    <w:rsid w:val="007A0122"/>
    <w:rsid w:val="007A2F4F"/>
    <w:rsid w:val="007B3D84"/>
    <w:rsid w:val="007B73CA"/>
    <w:rsid w:val="007C130A"/>
    <w:rsid w:val="007C2F05"/>
    <w:rsid w:val="007C6735"/>
    <w:rsid w:val="007E335A"/>
    <w:rsid w:val="007F2F1E"/>
    <w:rsid w:val="007F2F4D"/>
    <w:rsid w:val="007F465E"/>
    <w:rsid w:val="007F7129"/>
    <w:rsid w:val="00804939"/>
    <w:rsid w:val="00812107"/>
    <w:rsid w:val="00814B3C"/>
    <w:rsid w:val="00827809"/>
    <w:rsid w:val="008546F0"/>
    <w:rsid w:val="008679B2"/>
    <w:rsid w:val="00877243"/>
    <w:rsid w:val="008831AA"/>
    <w:rsid w:val="00885086"/>
    <w:rsid w:val="00887576"/>
    <w:rsid w:val="00887935"/>
    <w:rsid w:val="008924C9"/>
    <w:rsid w:val="008A3FD8"/>
    <w:rsid w:val="008A6090"/>
    <w:rsid w:val="008A62D2"/>
    <w:rsid w:val="008A6568"/>
    <w:rsid w:val="008B37F1"/>
    <w:rsid w:val="008B40F2"/>
    <w:rsid w:val="008C0E64"/>
    <w:rsid w:val="008D2155"/>
    <w:rsid w:val="008F0A05"/>
    <w:rsid w:val="008F3F45"/>
    <w:rsid w:val="008F43DC"/>
    <w:rsid w:val="00900FA4"/>
    <w:rsid w:val="00903E70"/>
    <w:rsid w:val="00907EF0"/>
    <w:rsid w:val="00911305"/>
    <w:rsid w:val="009226E5"/>
    <w:rsid w:val="00923BC8"/>
    <w:rsid w:val="00940264"/>
    <w:rsid w:val="00942C50"/>
    <w:rsid w:val="00945B8F"/>
    <w:rsid w:val="00951E18"/>
    <w:rsid w:val="009523D0"/>
    <w:rsid w:val="00956C4D"/>
    <w:rsid w:val="0096282D"/>
    <w:rsid w:val="00962FFC"/>
    <w:rsid w:val="009721DA"/>
    <w:rsid w:val="00974D55"/>
    <w:rsid w:val="00976E2F"/>
    <w:rsid w:val="009953DB"/>
    <w:rsid w:val="009A505A"/>
    <w:rsid w:val="009B5658"/>
    <w:rsid w:val="009B68FA"/>
    <w:rsid w:val="009C27EF"/>
    <w:rsid w:val="009C4A1A"/>
    <w:rsid w:val="009C6977"/>
    <w:rsid w:val="009C759B"/>
    <w:rsid w:val="009C79E1"/>
    <w:rsid w:val="009D3048"/>
    <w:rsid w:val="009E41F9"/>
    <w:rsid w:val="009E7341"/>
    <w:rsid w:val="009F3EF4"/>
    <w:rsid w:val="00A06934"/>
    <w:rsid w:val="00A15048"/>
    <w:rsid w:val="00A37CD2"/>
    <w:rsid w:val="00A4466B"/>
    <w:rsid w:val="00A61291"/>
    <w:rsid w:val="00A619EF"/>
    <w:rsid w:val="00A63A62"/>
    <w:rsid w:val="00A76D9A"/>
    <w:rsid w:val="00A83FD8"/>
    <w:rsid w:val="00A90481"/>
    <w:rsid w:val="00A97A05"/>
    <w:rsid w:val="00AA331C"/>
    <w:rsid w:val="00AA4A9E"/>
    <w:rsid w:val="00AC0E4E"/>
    <w:rsid w:val="00AC6725"/>
    <w:rsid w:val="00AD1838"/>
    <w:rsid w:val="00AD326D"/>
    <w:rsid w:val="00AD45FC"/>
    <w:rsid w:val="00AE4154"/>
    <w:rsid w:val="00AE6E31"/>
    <w:rsid w:val="00AF5709"/>
    <w:rsid w:val="00AF61A4"/>
    <w:rsid w:val="00B117EF"/>
    <w:rsid w:val="00B13E3D"/>
    <w:rsid w:val="00B236FE"/>
    <w:rsid w:val="00B30C57"/>
    <w:rsid w:val="00B5178F"/>
    <w:rsid w:val="00B70E96"/>
    <w:rsid w:val="00B716CD"/>
    <w:rsid w:val="00B71EF5"/>
    <w:rsid w:val="00B72934"/>
    <w:rsid w:val="00B825D8"/>
    <w:rsid w:val="00B83709"/>
    <w:rsid w:val="00B84A58"/>
    <w:rsid w:val="00B95D80"/>
    <w:rsid w:val="00BA0A75"/>
    <w:rsid w:val="00BA3B28"/>
    <w:rsid w:val="00BA3DB9"/>
    <w:rsid w:val="00BB7A4A"/>
    <w:rsid w:val="00BD2715"/>
    <w:rsid w:val="00BD3CFE"/>
    <w:rsid w:val="00BD7143"/>
    <w:rsid w:val="00BE3076"/>
    <w:rsid w:val="00BE5F22"/>
    <w:rsid w:val="00BE6979"/>
    <w:rsid w:val="00C00E3F"/>
    <w:rsid w:val="00C06862"/>
    <w:rsid w:val="00C215AF"/>
    <w:rsid w:val="00C26C34"/>
    <w:rsid w:val="00C32488"/>
    <w:rsid w:val="00C42CCC"/>
    <w:rsid w:val="00C43A4E"/>
    <w:rsid w:val="00C5131E"/>
    <w:rsid w:val="00C6215D"/>
    <w:rsid w:val="00C7179A"/>
    <w:rsid w:val="00C7251F"/>
    <w:rsid w:val="00C758E2"/>
    <w:rsid w:val="00C76C34"/>
    <w:rsid w:val="00C82D27"/>
    <w:rsid w:val="00CB6F7D"/>
    <w:rsid w:val="00CB774C"/>
    <w:rsid w:val="00CC61B0"/>
    <w:rsid w:val="00CF30CD"/>
    <w:rsid w:val="00CF4CD2"/>
    <w:rsid w:val="00CF6928"/>
    <w:rsid w:val="00CF7F48"/>
    <w:rsid w:val="00D21D7A"/>
    <w:rsid w:val="00D30614"/>
    <w:rsid w:val="00D33F94"/>
    <w:rsid w:val="00D42269"/>
    <w:rsid w:val="00D5160A"/>
    <w:rsid w:val="00D54A01"/>
    <w:rsid w:val="00D60EF8"/>
    <w:rsid w:val="00D739BF"/>
    <w:rsid w:val="00D76FD9"/>
    <w:rsid w:val="00D81923"/>
    <w:rsid w:val="00D93618"/>
    <w:rsid w:val="00DA40C2"/>
    <w:rsid w:val="00DA653C"/>
    <w:rsid w:val="00DB7083"/>
    <w:rsid w:val="00DC2938"/>
    <w:rsid w:val="00DD169B"/>
    <w:rsid w:val="00DD2BC9"/>
    <w:rsid w:val="00DE04EB"/>
    <w:rsid w:val="00DE4F28"/>
    <w:rsid w:val="00DE7602"/>
    <w:rsid w:val="00DF3E1C"/>
    <w:rsid w:val="00DF5A81"/>
    <w:rsid w:val="00DF66EC"/>
    <w:rsid w:val="00E02D0F"/>
    <w:rsid w:val="00E0439F"/>
    <w:rsid w:val="00E21AE2"/>
    <w:rsid w:val="00E318A7"/>
    <w:rsid w:val="00E35E14"/>
    <w:rsid w:val="00E408C4"/>
    <w:rsid w:val="00E55668"/>
    <w:rsid w:val="00E55EED"/>
    <w:rsid w:val="00E5658C"/>
    <w:rsid w:val="00E7766C"/>
    <w:rsid w:val="00E82DF4"/>
    <w:rsid w:val="00E844D5"/>
    <w:rsid w:val="00E85692"/>
    <w:rsid w:val="00E8571F"/>
    <w:rsid w:val="00E909E7"/>
    <w:rsid w:val="00E91A7E"/>
    <w:rsid w:val="00E92D04"/>
    <w:rsid w:val="00EA1E78"/>
    <w:rsid w:val="00EA4A5A"/>
    <w:rsid w:val="00EB6A85"/>
    <w:rsid w:val="00EB7008"/>
    <w:rsid w:val="00EB775B"/>
    <w:rsid w:val="00EC2929"/>
    <w:rsid w:val="00EC34D0"/>
    <w:rsid w:val="00EC6C54"/>
    <w:rsid w:val="00ED0FB4"/>
    <w:rsid w:val="00EF14C7"/>
    <w:rsid w:val="00EF2325"/>
    <w:rsid w:val="00EF775B"/>
    <w:rsid w:val="00F209D7"/>
    <w:rsid w:val="00F2213E"/>
    <w:rsid w:val="00F22793"/>
    <w:rsid w:val="00F23DD6"/>
    <w:rsid w:val="00F243CB"/>
    <w:rsid w:val="00F24715"/>
    <w:rsid w:val="00F32283"/>
    <w:rsid w:val="00F34685"/>
    <w:rsid w:val="00F40119"/>
    <w:rsid w:val="00F41887"/>
    <w:rsid w:val="00F44F12"/>
    <w:rsid w:val="00F476EB"/>
    <w:rsid w:val="00F722DE"/>
    <w:rsid w:val="00F7352E"/>
    <w:rsid w:val="00F7776A"/>
    <w:rsid w:val="00F83E07"/>
    <w:rsid w:val="00F93363"/>
    <w:rsid w:val="00F93F43"/>
    <w:rsid w:val="00FB5C0D"/>
    <w:rsid w:val="00FB6DA3"/>
    <w:rsid w:val="00FC3167"/>
    <w:rsid w:val="00FC5AAF"/>
    <w:rsid w:val="00FD4F97"/>
    <w:rsid w:val="00FE38EA"/>
    <w:rsid w:val="00FF3C8C"/>
    <w:rsid w:val="00FF57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E01AD3-24E4-4AC3-BA89-316249A0A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571F"/>
    <w:rPr>
      <w:rFonts w:ascii="Calibri" w:eastAsia="Calibri" w:hAnsi="Calibri" w:cs="Times New Roman"/>
      <w:lang w:val="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571F"/>
    <w:pPr>
      <w:tabs>
        <w:tab w:val="center" w:pos="4536"/>
        <w:tab w:val="right" w:pos="9072"/>
      </w:tabs>
      <w:spacing w:after="0" w:line="240" w:lineRule="auto"/>
    </w:pPr>
  </w:style>
  <w:style w:type="character" w:customStyle="1" w:styleId="HeaderChar">
    <w:name w:val="Header Char"/>
    <w:basedOn w:val="DefaultParagraphFont"/>
    <w:link w:val="Header"/>
    <w:uiPriority w:val="99"/>
    <w:rsid w:val="00E8571F"/>
    <w:rPr>
      <w:rFonts w:ascii="Calibri" w:eastAsia="Calibri" w:hAnsi="Calibri" w:cs="Times New Roman"/>
      <w:lang w:val="nl-BE"/>
    </w:rPr>
  </w:style>
  <w:style w:type="paragraph" w:styleId="Footer">
    <w:name w:val="footer"/>
    <w:basedOn w:val="Normal"/>
    <w:link w:val="FooterChar"/>
    <w:uiPriority w:val="99"/>
    <w:unhideWhenUsed/>
    <w:rsid w:val="00E8571F"/>
    <w:pPr>
      <w:tabs>
        <w:tab w:val="center" w:pos="4536"/>
        <w:tab w:val="right" w:pos="9072"/>
      </w:tabs>
      <w:spacing w:after="0" w:line="240" w:lineRule="auto"/>
    </w:pPr>
  </w:style>
  <w:style w:type="character" w:customStyle="1" w:styleId="FooterChar">
    <w:name w:val="Footer Char"/>
    <w:basedOn w:val="DefaultParagraphFont"/>
    <w:link w:val="Footer"/>
    <w:uiPriority w:val="99"/>
    <w:rsid w:val="00E8571F"/>
    <w:rPr>
      <w:rFonts w:ascii="Calibri" w:eastAsia="Calibri" w:hAnsi="Calibri" w:cs="Times New Roman"/>
      <w:lang w:val="nl-BE"/>
    </w:rPr>
  </w:style>
  <w:style w:type="character" w:styleId="LineNumber">
    <w:name w:val="line number"/>
    <w:basedOn w:val="DefaultParagraphFont"/>
    <w:uiPriority w:val="99"/>
    <w:semiHidden/>
    <w:unhideWhenUsed/>
    <w:rsid w:val="00E857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773</Words>
  <Characters>4254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Galura, Jenny Rose</dc:creator>
  <cp:keywords/>
  <dc:description/>
  <cp:lastModifiedBy>Colinda Scheele</cp:lastModifiedBy>
  <cp:revision>2</cp:revision>
  <dcterms:created xsi:type="dcterms:W3CDTF">2021-05-07T10:10:00Z</dcterms:created>
  <dcterms:modified xsi:type="dcterms:W3CDTF">2021-05-07T10:10:00Z</dcterms:modified>
</cp:coreProperties>
</file>