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5B3E1" w14:textId="77777777" w:rsidR="00602139" w:rsidRPr="00814DCE" w:rsidRDefault="00602139" w:rsidP="00602139">
      <w:pPr>
        <w:spacing w:line="480" w:lineRule="auto"/>
        <w:rPr>
          <w:rFonts w:ascii="Times New Roman" w:hAnsi="Times New Roman" w:cs="Times New Roman"/>
          <w:b/>
          <w:bCs/>
          <w:i/>
          <w:iCs/>
          <w:sz w:val="20"/>
          <w:szCs w:val="20"/>
          <w:lang w:val="en-US"/>
        </w:rPr>
      </w:pPr>
      <w:r w:rsidRPr="00814DCE">
        <w:rPr>
          <w:rFonts w:ascii="Times New Roman" w:hAnsi="Times New Roman" w:cs="Times New Roman"/>
          <w:i/>
          <w:iCs/>
          <w:noProof/>
          <w:sz w:val="20"/>
          <w:szCs w:val="20"/>
          <w:lang w:val="en-US"/>
        </w:rPr>
        <w:drawing>
          <wp:inline distT="0" distB="0" distL="0" distR="0" wp14:anchorId="7B536845" wp14:editId="0B63C8B9">
            <wp:extent cx="6451600" cy="4401148"/>
            <wp:effectExtent l="0" t="0" r="6350" b="0"/>
            <wp:docPr id="406228457"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228457" name="Picture 3" descr="A screenshot of a graph&#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513492" cy="4443370"/>
                    </a:xfrm>
                    <a:prstGeom prst="rect">
                      <a:avLst/>
                    </a:prstGeom>
                    <a:noFill/>
                    <a:ln>
                      <a:noFill/>
                    </a:ln>
                  </pic:spPr>
                </pic:pic>
              </a:graphicData>
            </a:graphic>
          </wp:inline>
        </w:drawing>
      </w:r>
    </w:p>
    <w:p w14:paraId="7F8287B7" w14:textId="36889EA3" w:rsidR="00602139" w:rsidRDefault="00602139" w:rsidP="00602139">
      <w:pPr>
        <w:spacing w:line="480" w:lineRule="auto"/>
        <w:rPr>
          <w:rFonts w:ascii="Times New Roman" w:hAnsi="Times New Roman" w:cs="Times New Roman"/>
          <w:i/>
          <w:iCs/>
          <w:sz w:val="20"/>
          <w:szCs w:val="20"/>
          <w:lang w:val="en-US"/>
        </w:rPr>
      </w:pPr>
      <w:r w:rsidRPr="00814DCE">
        <w:rPr>
          <w:rFonts w:ascii="Times New Roman" w:hAnsi="Times New Roman" w:cs="Times New Roman"/>
          <w:b/>
          <w:bCs/>
          <w:i/>
          <w:iCs/>
          <w:sz w:val="20"/>
          <w:szCs w:val="20"/>
          <w:lang w:val="en-US"/>
        </w:rPr>
        <w:t>Suppl. Fig. 1</w:t>
      </w:r>
      <w:r w:rsidRPr="00814DCE">
        <w:rPr>
          <w:rFonts w:ascii="Times New Roman" w:hAnsi="Times New Roman" w:cs="Times New Roman"/>
          <w:i/>
          <w:iCs/>
          <w:sz w:val="20"/>
          <w:szCs w:val="20"/>
          <w:lang w:val="en-US"/>
        </w:rPr>
        <w:t xml:space="preserve">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ER Allred score and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xml:space="preserve"> Ki-67 index for the two tumors in each dog. Dog ID is shown on the x-axis and ER Allred score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Ki-67 index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xml:space="preserve"> on the y-axis. Each tumor-value is indicated by either a point (tumor 1) or a diamond (tumor 2) and colored by tumor category</w:t>
      </w:r>
      <w:r w:rsidR="00B977C1">
        <w:rPr>
          <w:rFonts w:ascii="Times New Roman" w:hAnsi="Times New Roman" w:cs="Times New Roman"/>
          <w:i/>
          <w:iCs/>
          <w:sz w:val="20"/>
          <w:szCs w:val="20"/>
          <w:lang w:val="en-US"/>
        </w:rPr>
        <w:t>:</w:t>
      </w:r>
      <w:r w:rsidR="003802AF">
        <w:rPr>
          <w:rFonts w:ascii="Times New Roman" w:hAnsi="Times New Roman" w:cs="Times New Roman"/>
          <w:i/>
          <w:iCs/>
          <w:sz w:val="20"/>
          <w:szCs w:val="20"/>
          <w:lang w:val="en-US"/>
        </w:rPr>
        <w:t xml:space="preserve"> </w:t>
      </w:r>
      <w:r w:rsidR="003802AF" w:rsidRPr="00163275">
        <w:rPr>
          <w:rFonts w:ascii="Times New Roman" w:hAnsi="Times New Roman" w:cs="Times New Roman"/>
          <w:i/>
          <w:iCs/>
          <w:sz w:val="20"/>
          <w:szCs w:val="20"/>
          <w:lang w:val="en-US"/>
        </w:rPr>
        <w:t>Non-neoplastic tumors (NNT), Benign neoplasia (BN), Transitional tumors (TT), Malignant purely epithelial tumors with tubular formations (MPE1), Malignant purely epithelial tumors with loss of tubular formation and anaplasia (MPE2), Malignant epithelial tumors with myoepithelial and mesenchymal components (MEMM), Malignant purely epithelial tumors, special types (MPEST).</w:t>
      </w:r>
      <w:r w:rsidRPr="00814DCE">
        <w:rPr>
          <w:rFonts w:ascii="Times New Roman" w:hAnsi="Times New Roman" w:cs="Times New Roman"/>
          <w:i/>
          <w:iCs/>
          <w:sz w:val="20"/>
          <w:szCs w:val="20"/>
          <w:lang w:val="en-US"/>
        </w:rPr>
        <w:t xml:space="preserve"> </w:t>
      </w:r>
    </w:p>
    <w:p w14:paraId="13078130" w14:textId="77777777" w:rsidR="008B3AE8" w:rsidRPr="00814DCE" w:rsidRDefault="008B3AE8" w:rsidP="008B3AE8">
      <w:pPr>
        <w:spacing w:line="480" w:lineRule="auto"/>
        <w:rPr>
          <w:rFonts w:ascii="Times New Roman" w:hAnsi="Times New Roman" w:cs="Times New Roman"/>
          <w:i/>
          <w:iCs/>
          <w:sz w:val="20"/>
          <w:szCs w:val="20"/>
          <w:lang w:val="en-US"/>
        </w:rPr>
      </w:pPr>
      <w:r w:rsidRPr="00814DCE">
        <w:rPr>
          <w:rFonts w:ascii="Times New Roman" w:hAnsi="Times New Roman" w:cs="Times New Roman"/>
          <w:i/>
          <w:iCs/>
          <w:noProof/>
          <w:sz w:val="20"/>
          <w:szCs w:val="20"/>
          <w:lang w:val="en-US"/>
        </w:rPr>
        <w:lastRenderedPageBreak/>
        <w:drawing>
          <wp:inline distT="0" distB="0" distL="0" distR="0" wp14:anchorId="21430A16" wp14:editId="76433561">
            <wp:extent cx="6426377" cy="3860800"/>
            <wp:effectExtent l="0" t="0" r="0" b="6350"/>
            <wp:docPr id="814485162"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26130" name="Picture 4" descr="A screenshot of a computer screen&#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3151" cy="3888901"/>
                    </a:xfrm>
                    <a:prstGeom prst="rect">
                      <a:avLst/>
                    </a:prstGeom>
                    <a:noFill/>
                    <a:ln>
                      <a:noFill/>
                    </a:ln>
                  </pic:spPr>
                </pic:pic>
              </a:graphicData>
            </a:graphic>
          </wp:inline>
        </w:drawing>
      </w:r>
    </w:p>
    <w:p w14:paraId="21F3CE6E" w14:textId="17277D55" w:rsidR="008B3AE8" w:rsidRDefault="008B3AE8" w:rsidP="008B3AE8">
      <w:pPr>
        <w:spacing w:line="480" w:lineRule="auto"/>
        <w:rPr>
          <w:rFonts w:ascii="Times New Roman" w:hAnsi="Times New Roman" w:cs="Times New Roman"/>
          <w:i/>
          <w:iCs/>
          <w:sz w:val="20"/>
          <w:szCs w:val="20"/>
          <w:lang w:val="en-US"/>
        </w:rPr>
      </w:pPr>
      <w:r w:rsidRPr="00814DCE">
        <w:rPr>
          <w:rFonts w:ascii="Times New Roman" w:hAnsi="Times New Roman" w:cs="Times New Roman"/>
          <w:b/>
          <w:bCs/>
          <w:i/>
          <w:iCs/>
          <w:sz w:val="20"/>
          <w:szCs w:val="20"/>
          <w:lang w:val="en-US"/>
        </w:rPr>
        <w:t xml:space="preserve">Suppl. Fig. </w:t>
      </w:r>
      <w:r>
        <w:rPr>
          <w:rFonts w:ascii="Times New Roman" w:hAnsi="Times New Roman" w:cs="Times New Roman"/>
          <w:b/>
          <w:bCs/>
          <w:i/>
          <w:iCs/>
          <w:sz w:val="20"/>
          <w:szCs w:val="20"/>
          <w:lang w:val="en-US"/>
        </w:rPr>
        <w:t>2</w:t>
      </w:r>
      <w:r w:rsidRPr="00814DCE">
        <w:rPr>
          <w:rFonts w:ascii="Times New Roman" w:hAnsi="Times New Roman" w:cs="Times New Roman"/>
          <w:i/>
          <w:iCs/>
          <w:sz w:val="20"/>
          <w:szCs w:val="20"/>
          <w:lang w:val="en-US"/>
        </w:rPr>
        <w:t xml:space="preserve"> Intratumoral variations for ER Allred score and Ki-67 index.</w:t>
      </w:r>
      <w:r w:rsidRPr="00814DCE">
        <w:rPr>
          <w:rFonts w:ascii="Times New Roman" w:hAnsi="Times New Roman" w:cs="Times New Roman"/>
          <w:sz w:val="20"/>
          <w:szCs w:val="20"/>
          <w:lang w:val="en-US"/>
        </w:rPr>
        <w:t xml:space="preserve">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ER Allred score and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xml:space="preserve"> Ki-67 index for the 3-5 regions of interest (ROIs) for the 72 tumors. Tumor ID on the x-axis and ER Allred score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Ki-67 index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xml:space="preserve"> on the y-axis. Each ROI value is indicated by a point. Form (point/diamond) indicates tumor type (benign/malignant) and color indicates tumor category</w:t>
      </w:r>
      <w:r>
        <w:rPr>
          <w:rFonts w:ascii="Times New Roman" w:hAnsi="Times New Roman" w:cs="Times New Roman"/>
          <w:i/>
          <w:iCs/>
          <w:sz w:val="20"/>
          <w:szCs w:val="20"/>
          <w:lang w:val="en-US"/>
        </w:rPr>
        <w:t xml:space="preserve">: </w:t>
      </w:r>
      <w:r w:rsidRPr="00880155">
        <w:rPr>
          <w:rFonts w:ascii="Times New Roman" w:hAnsi="Times New Roman" w:cs="Times New Roman"/>
          <w:i/>
          <w:iCs/>
          <w:sz w:val="20"/>
          <w:szCs w:val="20"/>
          <w:lang w:val="en-US"/>
        </w:rPr>
        <w:t>Non-neoplastic tumors (NNT), Benign neoplasia (BN), Transitional tumors (TT), Malignant purely epithelial tumors with tubular formations (MPE1), Malignant purely epithelial tumors with loss of tubular formation and anaplasia (MPE2), Malignant epithelial tumors with myoepithelial and mesenchymal components (MEMM), Malignant purely epithelial tumors, special types (MPEST).</w:t>
      </w:r>
      <w:r w:rsidRPr="00814DCE">
        <w:rPr>
          <w:rFonts w:ascii="Times New Roman" w:hAnsi="Times New Roman" w:cs="Times New Roman"/>
          <w:i/>
          <w:iCs/>
          <w:sz w:val="20"/>
          <w:szCs w:val="20"/>
          <w:lang w:val="en-US"/>
        </w:rPr>
        <w:t xml:space="preserve"> </w:t>
      </w:r>
    </w:p>
    <w:p w14:paraId="2B80D63A" w14:textId="77777777" w:rsidR="00B263FD" w:rsidRPr="00814DCE" w:rsidRDefault="00B263FD" w:rsidP="00602139">
      <w:pPr>
        <w:spacing w:line="480" w:lineRule="auto"/>
        <w:rPr>
          <w:rFonts w:ascii="Times New Roman" w:hAnsi="Times New Roman" w:cs="Times New Roman"/>
          <w:i/>
          <w:iCs/>
          <w:sz w:val="20"/>
          <w:szCs w:val="20"/>
          <w:lang w:val="en-US"/>
        </w:rPr>
      </w:pPr>
    </w:p>
    <w:p w14:paraId="4D9D7489" w14:textId="77777777" w:rsidR="00602139" w:rsidRPr="00814DCE" w:rsidRDefault="00602139" w:rsidP="00602139">
      <w:pPr>
        <w:spacing w:line="480" w:lineRule="auto"/>
        <w:rPr>
          <w:rFonts w:ascii="Times New Roman" w:hAnsi="Times New Roman" w:cs="Times New Roman"/>
          <w:b/>
          <w:bCs/>
          <w:i/>
          <w:iCs/>
          <w:sz w:val="20"/>
          <w:szCs w:val="20"/>
          <w:lang w:val="en-US"/>
        </w:rPr>
      </w:pPr>
      <w:r w:rsidRPr="00814DCE">
        <w:rPr>
          <w:rFonts w:ascii="Times New Roman" w:hAnsi="Times New Roman" w:cs="Times New Roman"/>
          <w:b/>
          <w:bCs/>
          <w:i/>
          <w:iCs/>
          <w:noProof/>
          <w:sz w:val="20"/>
          <w:szCs w:val="20"/>
          <w:lang w:val="en-US"/>
        </w:rPr>
        <w:lastRenderedPageBreak/>
        <w:drawing>
          <wp:inline distT="0" distB="0" distL="0" distR="0" wp14:anchorId="6A5BA4D4" wp14:editId="7EB398D5">
            <wp:extent cx="6096000" cy="3089513"/>
            <wp:effectExtent l="0" t="0" r="0" b="0"/>
            <wp:docPr id="1849102777" name="Picture 9" descr="A comparison of a number of red and green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02777" name="Picture 9" descr="A comparison of a number of red and green dots&#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57552" cy="3120708"/>
                    </a:xfrm>
                    <a:prstGeom prst="rect">
                      <a:avLst/>
                    </a:prstGeom>
                    <a:noFill/>
                    <a:ln>
                      <a:noFill/>
                    </a:ln>
                  </pic:spPr>
                </pic:pic>
              </a:graphicData>
            </a:graphic>
          </wp:inline>
        </w:drawing>
      </w:r>
    </w:p>
    <w:p w14:paraId="34EE0D22" w14:textId="04E4F9D5" w:rsidR="00B75160" w:rsidRDefault="00602139" w:rsidP="00602139">
      <w:pPr>
        <w:spacing w:line="480" w:lineRule="auto"/>
        <w:rPr>
          <w:rFonts w:ascii="Times New Roman" w:hAnsi="Times New Roman" w:cs="Times New Roman"/>
          <w:i/>
          <w:iCs/>
          <w:sz w:val="20"/>
          <w:szCs w:val="20"/>
          <w:lang w:val="en-US"/>
        </w:rPr>
      </w:pPr>
      <w:r w:rsidRPr="00814DCE">
        <w:rPr>
          <w:rFonts w:ascii="Times New Roman" w:hAnsi="Times New Roman" w:cs="Times New Roman"/>
          <w:b/>
          <w:bCs/>
          <w:i/>
          <w:iCs/>
          <w:sz w:val="20"/>
          <w:szCs w:val="20"/>
          <w:lang w:val="en-US"/>
        </w:rPr>
        <w:t>Suppl. Fig.</w:t>
      </w:r>
      <w:r w:rsidRPr="00814DCE">
        <w:rPr>
          <w:rFonts w:ascii="Times New Roman" w:hAnsi="Times New Roman" w:cs="Times New Roman"/>
          <w:i/>
          <w:iCs/>
          <w:sz w:val="20"/>
          <w:szCs w:val="20"/>
          <w:lang w:val="en-US"/>
        </w:rPr>
        <w:t xml:space="preserve"> </w:t>
      </w:r>
      <w:r w:rsidR="008B3AE8">
        <w:rPr>
          <w:rFonts w:ascii="Times New Roman" w:hAnsi="Times New Roman" w:cs="Times New Roman"/>
          <w:b/>
          <w:bCs/>
          <w:i/>
          <w:iCs/>
          <w:sz w:val="20"/>
          <w:szCs w:val="20"/>
          <w:lang w:val="en-US"/>
        </w:rPr>
        <w:t>3</w:t>
      </w:r>
      <w:r w:rsidRPr="00814DCE">
        <w:rPr>
          <w:rFonts w:ascii="Times New Roman" w:hAnsi="Times New Roman" w:cs="Times New Roman"/>
          <w:i/>
          <w:iCs/>
          <w:sz w:val="20"/>
          <w:szCs w:val="20"/>
          <w:lang w:val="en-US"/>
        </w:rPr>
        <w:t xml:space="preserve"> Correlation between ER and KI-67 protein detected by IHC and gene expression. There was a high correlation between gene expression and IHC for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ER Allred score, while only weak for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xml:space="preserve"> Ki-67. ESR1 gene expression on the x-axis and ER Allred score on the y-axis </w:t>
      </w:r>
      <w:r w:rsidRPr="00814DCE">
        <w:rPr>
          <w:rFonts w:ascii="Times New Roman" w:hAnsi="Times New Roman" w:cs="Times New Roman"/>
          <w:b/>
          <w:bCs/>
          <w:i/>
          <w:iCs/>
          <w:sz w:val="20"/>
          <w:szCs w:val="20"/>
          <w:lang w:val="en-US"/>
        </w:rPr>
        <w:t>(A)</w:t>
      </w:r>
      <w:r w:rsidRPr="00814DCE">
        <w:rPr>
          <w:rFonts w:ascii="Times New Roman" w:hAnsi="Times New Roman" w:cs="Times New Roman"/>
          <w:i/>
          <w:iCs/>
          <w:sz w:val="20"/>
          <w:szCs w:val="20"/>
          <w:lang w:val="en-US"/>
        </w:rPr>
        <w:t xml:space="preserve">. MKI67 gene expression on the x-axis and Ki-67 index on the y-axis </w:t>
      </w:r>
      <w:r w:rsidRPr="00814DCE">
        <w:rPr>
          <w:rFonts w:ascii="Times New Roman" w:hAnsi="Times New Roman" w:cs="Times New Roman"/>
          <w:b/>
          <w:bCs/>
          <w:i/>
          <w:iCs/>
          <w:sz w:val="20"/>
          <w:szCs w:val="20"/>
          <w:lang w:val="en-US"/>
        </w:rPr>
        <w:t>(B)</w:t>
      </w:r>
      <w:r w:rsidRPr="00814DCE">
        <w:rPr>
          <w:rFonts w:ascii="Times New Roman" w:hAnsi="Times New Roman" w:cs="Times New Roman"/>
          <w:i/>
          <w:iCs/>
          <w:sz w:val="20"/>
          <w:szCs w:val="20"/>
          <w:lang w:val="en-US"/>
        </w:rPr>
        <w:t>. Pearson’s correlation coefficient and p-values are indicated above. Tumor type is indicated by a red triangle (malignant) or a green point (benign)</w:t>
      </w:r>
      <w:r>
        <w:rPr>
          <w:rFonts w:ascii="Times New Roman" w:hAnsi="Times New Roman" w:cs="Times New Roman"/>
          <w:i/>
          <w:iCs/>
          <w:sz w:val="20"/>
          <w:szCs w:val="20"/>
          <w:lang w:val="en-US"/>
        </w:rPr>
        <w:t>.</w:t>
      </w:r>
    </w:p>
    <w:p w14:paraId="453141B2" w14:textId="77777777" w:rsidR="003E3BD8" w:rsidRDefault="003E3BD8" w:rsidP="00602139">
      <w:pPr>
        <w:spacing w:line="480" w:lineRule="auto"/>
        <w:rPr>
          <w:rFonts w:ascii="Times New Roman" w:hAnsi="Times New Roman" w:cs="Times New Roman"/>
          <w:i/>
          <w:iCs/>
          <w:sz w:val="20"/>
          <w:szCs w:val="20"/>
          <w:lang w:val="en-US"/>
        </w:rPr>
      </w:pPr>
    </w:p>
    <w:p w14:paraId="3D1358E5" w14:textId="6F5FFE28" w:rsidR="00B75160" w:rsidRDefault="000801DF" w:rsidP="00602139">
      <w:pPr>
        <w:spacing w:line="480" w:lineRule="auto"/>
        <w:rPr>
          <w:lang w:val="en-US"/>
        </w:rPr>
      </w:pPr>
      <w:r>
        <w:rPr>
          <w:noProof/>
          <w:lang w:val="en-US"/>
        </w:rPr>
        <w:drawing>
          <wp:inline distT="0" distB="0" distL="0" distR="0" wp14:anchorId="50A629C3" wp14:editId="01BA4DA1">
            <wp:extent cx="5971767" cy="1327868"/>
            <wp:effectExtent l="0" t="0" r="0" b="5715"/>
            <wp:docPr id="7461827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82754" name="Picture 7461827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83753" cy="1330533"/>
                    </a:xfrm>
                    <a:prstGeom prst="rect">
                      <a:avLst/>
                    </a:prstGeom>
                  </pic:spPr>
                </pic:pic>
              </a:graphicData>
            </a:graphic>
          </wp:inline>
        </w:drawing>
      </w:r>
    </w:p>
    <w:p w14:paraId="24659D01" w14:textId="22A34F35" w:rsidR="00B75160" w:rsidRDefault="00D07DDE" w:rsidP="00D07DDE">
      <w:pPr>
        <w:spacing w:line="480" w:lineRule="auto"/>
        <w:rPr>
          <w:rFonts w:ascii="Times New Roman" w:hAnsi="Times New Roman" w:cs="Times New Roman"/>
          <w:i/>
          <w:iCs/>
          <w:sz w:val="20"/>
          <w:szCs w:val="20"/>
          <w:lang w:val="en-US"/>
        </w:rPr>
      </w:pPr>
      <w:r w:rsidRPr="00814DCE">
        <w:rPr>
          <w:rFonts w:ascii="Times New Roman" w:hAnsi="Times New Roman" w:cs="Times New Roman"/>
          <w:b/>
          <w:bCs/>
          <w:i/>
          <w:iCs/>
          <w:sz w:val="20"/>
          <w:szCs w:val="20"/>
          <w:lang w:val="en-US"/>
        </w:rPr>
        <w:t xml:space="preserve">Suppl. Fig. </w:t>
      </w:r>
      <w:r>
        <w:rPr>
          <w:rFonts w:ascii="Times New Roman" w:hAnsi="Times New Roman" w:cs="Times New Roman"/>
          <w:b/>
          <w:bCs/>
          <w:i/>
          <w:iCs/>
          <w:sz w:val="20"/>
          <w:szCs w:val="20"/>
          <w:lang w:val="en-US"/>
        </w:rPr>
        <w:t>4</w:t>
      </w:r>
      <w:r w:rsidR="00C73B88">
        <w:rPr>
          <w:rFonts w:ascii="Times New Roman" w:hAnsi="Times New Roman" w:cs="Times New Roman"/>
          <w:b/>
          <w:bCs/>
          <w:i/>
          <w:iCs/>
          <w:sz w:val="20"/>
          <w:szCs w:val="20"/>
          <w:lang w:val="en-US"/>
        </w:rPr>
        <w:t xml:space="preserve"> </w:t>
      </w:r>
      <w:r w:rsidR="00C73B88">
        <w:rPr>
          <w:rFonts w:ascii="Times New Roman" w:hAnsi="Times New Roman" w:cs="Times New Roman"/>
          <w:i/>
          <w:iCs/>
          <w:sz w:val="20"/>
          <w:szCs w:val="20"/>
          <w:lang w:val="en-US"/>
        </w:rPr>
        <w:t xml:space="preserve">Based on gene expression of PAM50 genes, Pearson correlation was calculated between </w:t>
      </w:r>
      <w:r w:rsidR="003636D1">
        <w:rPr>
          <w:rFonts w:ascii="Times New Roman" w:hAnsi="Times New Roman" w:cs="Times New Roman"/>
          <w:i/>
          <w:iCs/>
          <w:sz w:val="20"/>
          <w:szCs w:val="20"/>
          <w:lang w:val="en-US"/>
        </w:rPr>
        <w:t>the two tumors in 26 tumor pairs. Tumor pairs are grouped based on tumor type (</w:t>
      </w:r>
      <w:r w:rsidR="007F2648">
        <w:rPr>
          <w:rFonts w:ascii="Times New Roman" w:hAnsi="Times New Roman" w:cs="Times New Roman"/>
          <w:i/>
          <w:iCs/>
          <w:sz w:val="20"/>
          <w:szCs w:val="20"/>
          <w:lang w:val="en-US"/>
        </w:rPr>
        <w:t>b</w:t>
      </w:r>
      <w:r w:rsidR="001568A6">
        <w:rPr>
          <w:rFonts w:ascii="Times New Roman" w:hAnsi="Times New Roman" w:cs="Times New Roman"/>
          <w:i/>
          <w:iCs/>
          <w:sz w:val="20"/>
          <w:szCs w:val="20"/>
          <w:lang w:val="en-US"/>
        </w:rPr>
        <w:t xml:space="preserve">enign-benign, </w:t>
      </w:r>
      <w:r w:rsidR="007F2648">
        <w:rPr>
          <w:rFonts w:ascii="Times New Roman" w:hAnsi="Times New Roman" w:cs="Times New Roman"/>
          <w:i/>
          <w:iCs/>
          <w:sz w:val="20"/>
          <w:szCs w:val="20"/>
          <w:lang w:val="en-US"/>
        </w:rPr>
        <w:t>m</w:t>
      </w:r>
      <w:r w:rsidR="001568A6">
        <w:rPr>
          <w:rFonts w:ascii="Times New Roman" w:hAnsi="Times New Roman" w:cs="Times New Roman"/>
          <w:i/>
          <w:iCs/>
          <w:sz w:val="20"/>
          <w:szCs w:val="20"/>
          <w:lang w:val="en-US"/>
        </w:rPr>
        <w:t>alignant-</w:t>
      </w:r>
      <w:r w:rsidR="007F2648">
        <w:rPr>
          <w:rFonts w:ascii="Times New Roman" w:hAnsi="Times New Roman" w:cs="Times New Roman"/>
          <w:i/>
          <w:iCs/>
          <w:sz w:val="20"/>
          <w:szCs w:val="20"/>
          <w:lang w:val="en-US"/>
        </w:rPr>
        <w:t>b</w:t>
      </w:r>
      <w:r w:rsidR="001568A6">
        <w:rPr>
          <w:rFonts w:ascii="Times New Roman" w:hAnsi="Times New Roman" w:cs="Times New Roman"/>
          <w:i/>
          <w:iCs/>
          <w:sz w:val="20"/>
          <w:szCs w:val="20"/>
          <w:lang w:val="en-US"/>
        </w:rPr>
        <w:t>enig</w:t>
      </w:r>
      <w:r w:rsidR="007F2648">
        <w:rPr>
          <w:rFonts w:ascii="Times New Roman" w:hAnsi="Times New Roman" w:cs="Times New Roman"/>
          <w:i/>
          <w:iCs/>
          <w:sz w:val="20"/>
          <w:szCs w:val="20"/>
          <w:lang w:val="en-US"/>
        </w:rPr>
        <w:t>n</w:t>
      </w:r>
      <w:r w:rsidR="001568A6">
        <w:rPr>
          <w:rFonts w:ascii="Times New Roman" w:hAnsi="Times New Roman" w:cs="Times New Roman"/>
          <w:i/>
          <w:iCs/>
          <w:sz w:val="20"/>
          <w:szCs w:val="20"/>
          <w:lang w:val="en-US"/>
        </w:rPr>
        <w:t xml:space="preserve"> and </w:t>
      </w:r>
      <w:r w:rsidR="007F2648">
        <w:rPr>
          <w:rFonts w:ascii="Times New Roman" w:hAnsi="Times New Roman" w:cs="Times New Roman"/>
          <w:i/>
          <w:iCs/>
          <w:sz w:val="20"/>
          <w:szCs w:val="20"/>
          <w:lang w:val="en-US"/>
        </w:rPr>
        <w:t>m</w:t>
      </w:r>
      <w:r w:rsidR="001568A6">
        <w:rPr>
          <w:rFonts w:ascii="Times New Roman" w:hAnsi="Times New Roman" w:cs="Times New Roman"/>
          <w:i/>
          <w:iCs/>
          <w:sz w:val="20"/>
          <w:szCs w:val="20"/>
          <w:lang w:val="en-US"/>
        </w:rPr>
        <w:t>alignant</w:t>
      </w:r>
      <w:r w:rsidR="007F2648">
        <w:rPr>
          <w:rFonts w:ascii="Times New Roman" w:hAnsi="Times New Roman" w:cs="Times New Roman"/>
          <w:i/>
          <w:iCs/>
          <w:sz w:val="20"/>
          <w:szCs w:val="20"/>
          <w:lang w:val="en-US"/>
        </w:rPr>
        <w:t>-</w:t>
      </w:r>
      <w:r w:rsidR="001568A6">
        <w:rPr>
          <w:rFonts w:ascii="Times New Roman" w:hAnsi="Times New Roman" w:cs="Times New Roman"/>
          <w:i/>
          <w:iCs/>
          <w:sz w:val="20"/>
          <w:szCs w:val="20"/>
          <w:lang w:val="en-US"/>
        </w:rPr>
        <w:t>malignant</w:t>
      </w:r>
      <w:r w:rsidR="007F2648">
        <w:rPr>
          <w:rFonts w:ascii="Times New Roman" w:hAnsi="Times New Roman" w:cs="Times New Roman"/>
          <w:i/>
          <w:iCs/>
          <w:sz w:val="20"/>
          <w:szCs w:val="20"/>
          <w:lang w:val="en-US"/>
        </w:rPr>
        <w:t xml:space="preserve">). Color indicates correlation </w:t>
      </w:r>
      <w:r w:rsidR="002171BF">
        <w:rPr>
          <w:rFonts w:ascii="Times New Roman" w:hAnsi="Times New Roman" w:cs="Times New Roman"/>
          <w:i/>
          <w:iCs/>
          <w:sz w:val="20"/>
          <w:szCs w:val="20"/>
          <w:lang w:val="en-US"/>
        </w:rPr>
        <w:t xml:space="preserve">coefficient which is also shown. </w:t>
      </w:r>
    </w:p>
    <w:p w14:paraId="2D6C35A1" w14:textId="3A3C8D09" w:rsidR="000E6229" w:rsidRPr="000E6229" w:rsidRDefault="002D3DCD" w:rsidP="00555064">
      <w:pPr>
        <w:spacing w:line="480" w:lineRule="auto"/>
        <w:rPr>
          <w:lang w:val="en-US"/>
        </w:rPr>
      </w:pPr>
      <w:r>
        <w:rPr>
          <w:rFonts w:ascii="Times New Roman" w:hAnsi="Times New Roman" w:cs="Times New Roman"/>
          <w:i/>
          <w:iCs/>
          <w:sz w:val="20"/>
          <w:szCs w:val="20"/>
          <w:lang w:val="en-US"/>
        </w:rPr>
        <w:t xml:space="preserve"> </w:t>
      </w:r>
    </w:p>
    <w:sectPr w:rsidR="000E6229" w:rsidRPr="000E6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139"/>
    <w:rsid w:val="0001627E"/>
    <w:rsid w:val="000801DF"/>
    <w:rsid w:val="000E6229"/>
    <w:rsid w:val="001568A6"/>
    <w:rsid w:val="00163275"/>
    <w:rsid w:val="002171BF"/>
    <w:rsid w:val="002B2DAA"/>
    <w:rsid w:val="002D3DCD"/>
    <w:rsid w:val="00313268"/>
    <w:rsid w:val="003636D1"/>
    <w:rsid w:val="003802AF"/>
    <w:rsid w:val="003B5B58"/>
    <w:rsid w:val="003E3BD8"/>
    <w:rsid w:val="00555064"/>
    <w:rsid w:val="00602139"/>
    <w:rsid w:val="00605D59"/>
    <w:rsid w:val="00624DB3"/>
    <w:rsid w:val="00695E71"/>
    <w:rsid w:val="006A6FA1"/>
    <w:rsid w:val="006F2D9D"/>
    <w:rsid w:val="00731BCD"/>
    <w:rsid w:val="007F2648"/>
    <w:rsid w:val="0080460E"/>
    <w:rsid w:val="00830C07"/>
    <w:rsid w:val="008B3AE8"/>
    <w:rsid w:val="0090118D"/>
    <w:rsid w:val="009137CB"/>
    <w:rsid w:val="009A528A"/>
    <w:rsid w:val="00A57D17"/>
    <w:rsid w:val="00B263FD"/>
    <w:rsid w:val="00B75160"/>
    <w:rsid w:val="00B977C1"/>
    <w:rsid w:val="00BB300F"/>
    <w:rsid w:val="00BB47EC"/>
    <w:rsid w:val="00BD6938"/>
    <w:rsid w:val="00C73B88"/>
    <w:rsid w:val="00D07DDE"/>
    <w:rsid w:val="00D07F26"/>
    <w:rsid w:val="00F737F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7FB1F"/>
  <w15:chartTrackingRefBased/>
  <w15:docId w15:val="{86E31BB9-70EB-478A-A94E-BED0C8E9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b-N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139"/>
  </w:style>
  <w:style w:type="paragraph" w:styleId="Heading1">
    <w:name w:val="heading 1"/>
    <w:basedOn w:val="Normal"/>
    <w:next w:val="Normal"/>
    <w:link w:val="Heading1Char"/>
    <w:uiPriority w:val="9"/>
    <w:qFormat/>
    <w:rsid w:val="006021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21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21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1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1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1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1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1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1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1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21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21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1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1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1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1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1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139"/>
    <w:rPr>
      <w:rFonts w:eastAsiaTheme="majorEastAsia" w:cstheme="majorBidi"/>
      <w:color w:val="272727" w:themeColor="text1" w:themeTint="D8"/>
    </w:rPr>
  </w:style>
  <w:style w:type="paragraph" w:styleId="Title">
    <w:name w:val="Title"/>
    <w:basedOn w:val="Normal"/>
    <w:next w:val="Normal"/>
    <w:link w:val="TitleChar"/>
    <w:uiPriority w:val="10"/>
    <w:qFormat/>
    <w:rsid w:val="006021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1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1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1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139"/>
    <w:pPr>
      <w:spacing w:before="160"/>
      <w:jc w:val="center"/>
    </w:pPr>
    <w:rPr>
      <w:i/>
      <w:iCs/>
      <w:color w:val="404040" w:themeColor="text1" w:themeTint="BF"/>
    </w:rPr>
  </w:style>
  <w:style w:type="character" w:customStyle="1" w:styleId="QuoteChar">
    <w:name w:val="Quote Char"/>
    <w:basedOn w:val="DefaultParagraphFont"/>
    <w:link w:val="Quote"/>
    <w:uiPriority w:val="29"/>
    <w:rsid w:val="00602139"/>
    <w:rPr>
      <w:i/>
      <w:iCs/>
      <w:color w:val="404040" w:themeColor="text1" w:themeTint="BF"/>
    </w:rPr>
  </w:style>
  <w:style w:type="paragraph" w:styleId="ListParagraph">
    <w:name w:val="List Paragraph"/>
    <w:basedOn w:val="Normal"/>
    <w:uiPriority w:val="34"/>
    <w:qFormat/>
    <w:rsid w:val="00602139"/>
    <w:pPr>
      <w:ind w:left="720"/>
      <w:contextualSpacing/>
    </w:pPr>
  </w:style>
  <w:style w:type="character" w:styleId="IntenseEmphasis">
    <w:name w:val="Intense Emphasis"/>
    <w:basedOn w:val="DefaultParagraphFont"/>
    <w:uiPriority w:val="21"/>
    <w:qFormat/>
    <w:rsid w:val="00602139"/>
    <w:rPr>
      <w:i/>
      <w:iCs/>
      <w:color w:val="0F4761" w:themeColor="accent1" w:themeShade="BF"/>
    </w:rPr>
  </w:style>
  <w:style w:type="paragraph" w:styleId="IntenseQuote">
    <w:name w:val="Intense Quote"/>
    <w:basedOn w:val="Normal"/>
    <w:next w:val="Normal"/>
    <w:link w:val="IntenseQuoteChar"/>
    <w:uiPriority w:val="30"/>
    <w:qFormat/>
    <w:rsid w:val="006021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139"/>
    <w:rPr>
      <w:i/>
      <w:iCs/>
      <w:color w:val="0F4761" w:themeColor="accent1" w:themeShade="BF"/>
    </w:rPr>
  </w:style>
  <w:style w:type="character" w:styleId="IntenseReference">
    <w:name w:val="Intense Reference"/>
    <w:basedOn w:val="DefaultParagraphFont"/>
    <w:uiPriority w:val="32"/>
    <w:qFormat/>
    <w:rsid w:val="00602139"/>
    <w:rPr>
      <w:b/>
      <w:bCs/>
      <w:smallCaps/>
      <w:color w:val="0F4761" w:themeColor="accent1" w:themeShade="BF"/>
      <w:spacing w:val="5"/>
    </w:rPr>
  </w:style>
  <w:style w:type="paragraph" w:styleId="Revision">
    <w:name w:val="Revision"/>
    <w:hidden/>
    <w:uiPriority w:val="99"/>
    <w:semiHidden/>
    <w:rsid w:val="0001627E"/>
    <w:pPr>
      <w:spacing w:after="0" w:line="240" w:lineRule="auto"/>
    </w:pPr>
  </w:style>
  <w:style w:type="character" w:styleId="CommentReference">
    <w:name w:val="annotation reference"/>
    <w:basedOn w:val="DefaultParagraphFont"/>
    <w:uiPriority w:val="99"/>
    <w:semiHidden/>
    <w:unhideWhenUsed/>
    <w:rsid w:val="00605D59"/>
    <w:rPr>
      <w:sz w:val="16"/>
      <w:szCs w:val="16"/>
    </w:rPr>
  </w:style>
  <w:style w:type="paragraph" w:styleId="CommentText">
    <w:name w:val="annotation text"/>
    <w:basedOn w:val="Normal"/>
    <w:link w:val="CommentTextChar"/>
    <w:uiPriority w:val="99"/>
    <w:unhideWhenUsed/>
    <w:rsid w:val="00605D59"/>
    <w:pPr>
      <w:spacing w:line="240" w:lineRule="auto"/>
    </w:pPr>
    <w:rPr>
      <w:sz w:val="20"/>
      <w:szCs w:val="20"/>
    </w:rPr>
  </w:style>
  <w:style w:type="character" w:customStyle="1" w:styleId="CommentTextChar">
    <w:name w:val="Comment Text Char"/>
    <w:basedOn w:val="DefaultParagraphFont"/>
    <w:link w:val="CommentText"/>
    <w:uiPriority w:val="99"/>
    <w:rsid w:val="00605D59"/>
    <w:rPr>
      <w:sz w:val="20"/>
      <w:szCs w:val="20"/>
    </w:rPr>
  </w:style>
  <w:style w:type="paragraph" w:styleId="CommentSubject">
    <w:name w:val="annotation subject"/>
    <w:basedOn w:val="CommentText"/>
    <w:next w:val="CommentText"/>
    <w:link w:val="CommentSubjectChar"/>
    <w:uiPriority w:val="99"/>
    <w:semiHidden/>
    <w:unhideWhenUsed/>
    <w:rsid w:val="00605D59"/>
    <w:rPr>
      <w:b/>
      <w:bCs/>
    </w:rPr>
  </w:style>
  <w:style w:type="character" w:customStyle="1" w:styleId="CommentSubjectChar">
    <w:name w:val="Comment Subject Char"/>
    <w:basedOn w:val="CommentTextChar"/>
    <w:link w:val="CommentSubject"/>
    <w:uiPriority w:val="99"/>
    <w:semiHidden/>
    <w:rsid w:val="00605D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354</Words>
  <Characters>1881</Characters>
  <Application>Microsoft Office Word</Application>
  <DocSecurity>0</DocSecurity>
  <Lines>15</Lines>
  <Paragraphs>4</Paragraphs>
  <ScaleCrop>false</ScaleCrop>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Hansen</dc:creator>
  <cp:keywords/>
  <dc:description/>
  <cp:lastModifiedBy>Nina Hansen</cp:lastModifiedBy>
  <cp:revision>2</cp:revision>
  <dcterms:created xsi:type="dcterms:W3CDTF">2026-03-13T20:24:00Z</dcterms:created>
  <dcterms:modified xsi:type="dcterms:W3CDTF">2026-03-13T20:24:00Z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484126-3486-41a9-802e-7f1e2277276c_Enabled">
    <vt:lpwstr>true</vt:lpwstr>
  </property>
  <property fmtid="{D5CDD505-2E9C-101B-9397-08002B2CF9AE}" pid="3" name="MSIP_Label_d0484126-3486-41a9-802e-7f1e2277276c_SetDate">
    <vt:lpwstr>2025-11-20T10:22:51Z</vt:lpwstr>
  </property>
  <property fmtid="{D5CDD505-2E9C-101B-9397-08002B2CF9AE}" pid="4" name="MSIP_Label_d0484126-3486-41a9-802e-7f1e2277276c_Method">
    <vt:lpwstr>Standard</vt:lpwstr>
  </property>
  <property fmtid="{D5CDD505-2E9C-101B-9397-08002B2CF9AE}" pid="5" name="MSIP_Label_d0484126-3486-41a9-802e-7f1e2277276c_Name">
    <vt:lpwstr>d0484126-3486-41a9-802e-7f1e2277276c</vt:lpwstr>
  </property>
  <property fmtid="{D5CDD505-2E9C-101B-9397-08002B2CF9AE}" pid="6" name="MSIP_Label_d0484126-3486-41a9-802e-7f1e2277276c_SiteId">
    <vt:lpwstr>eec01f8e-737f-43e3-9ed5-f8a59913bd82</vt:lpwstr>
  </property>
  <property fmtid="{D5CDD505-2E9C-101B-9397-08002B2CF9AE}" pid="7" name="MSIP_Label_d0484126-3486-41a9-802e-7f1e2277276c_ActionId">
    <vt:lpwstr>11f8f1fa-fb4d-4457-92cf-150d22b400d9</vt:lpwstr>
  </property>
  <property fmtid="{D5CDD505-2E9C-101B-9397-08002B2CF9AE}" pid="8" name="MSIP_Label_d0484126-3486-41a9-802e-7f1e2277276c_ContentBits">
    <vt:lpwstr>0</vt:lpwstr>
  </property>
  <property fmtid="{D5CDD505-2E9C-101B-9397-08002B2CF9AE}" pid="9" name="MSIP_Label_d0484126-3486-41a9-802e-7f1e2277276c_Tag">
    <vt:lpwstr>10, 3, 0, 1</vt:lpwstr>
  </property>
</Properties>
</file>