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 w:before="0" w:after="16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upplementary Tables</w:t>
      </w:r>
    </w:p>
    <w:p>
      <w:pPr>
        <w:pStyle w:val="Normal"/>
        <w:spacing w:lineRule="auto" w:line="4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S1:</w:t>
      </w:r>
      <w:r>
        <w:rPr>
          <w:sz w:val="32"/>
          <w:szCs w:val="32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Scanninginformation about all the specimens used in the study..</w:t>
      </w:r>
    </w:p>
    <w:p>
      <w:pPr>
        <w:pStyle w:val="Normal"/>
        <w:jc w:val="center"/>
        <w:rPr>
          <w:lang w:val="en-US"/>
        </w:rPr>
      </w:pPr>
      <w:r>
        <w:rPr>
          <w:lang w:val="en-US"/>
        </w:rPr>
      </w:r>
    </w:p>
    <w:tbl>
      <w:tblPr>
        <w:tblStyle w:val="Grigliatabella"/>
        <w:tblW w:w="97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410"/>
        <w:gridCol w:w="3827"/>
        <w:gridCol w:w="1484"/>
        <w:gridCol w:w="1658"/>
        <w:gridCol w:w="1397"/>
      </w:tblGrid>
      <w:tr>
        <w:trPr>
          <w:tblHeader w:val="true"/>
          <w:trHeight w:val="1044" w:hRule="atLeast"/>
        </w:trPr>
        <w:tc>
          <w:tcPr>
            <w:tcW w:w="1410" w:type="dxa"/>
            <w:tcBorders/>
            <w:shd w:color="auto" w:fill="ADADAD" w:themeFill="background2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Catalogue number</w:t>
            </w:r>
          </w:p>
        </w:tc>
        <w:tc>
          <w:tcPr>
            <w:tcW w:w="3827" w:type="dxa"/>
            <w:tcBorders/>
            <w:shd w:color="auto" w:fill="ADADAD" w:themeFill="background2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Scanning institution</w:t>
            </w:r>
          </w:p>
        </w:tc>
        <w:tc>
          <w:tcPr>
            <w:tcW w:w="1484" w:type="dxa"/>
            <w:tcBorders/>
            <w:shd w:color="auto" w:fill="ADADAD" w:themeFill="background2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iDigBIO/ark ID</w:t>
            </w:r>
          </w:p>
        </w:tc>
        <w:tc>
          <w:tcPr>
            <w:tcW w:w="1658" w:type="dxa"/>
            <w:tcBorders/>
            <w:shd w:color="auto" w:fill="ADADAD" w:themeFill="background2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Scanning instrument</w:t>
            </w:r>
          </w:p>
        </w:tc>
        <w:tc>
          <w:tcPr>
            <w:tcW w:w="1397" w:type="dxa"/>
            <w:tcBorders/>
            <w:shd w:color="auto" w:fill="ADADAD" w:themeFill="background2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Voxel size (x, y, z)-mm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MZUF-1518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299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153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296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297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298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MZUF-11880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0.20, 0.20, 0.30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016_C_GDJK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016_C2_GDJK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016_C3_GDJK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MZUF-11878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0.21, 0.21, 0.30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RD_0008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0.40, 0.40, 0.40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UCLA 1225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ark:/87602/m4/M113792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0.18, 0.18, 0.20</w:t>
            </w:r>
          </w:p>
        </w:tc>
      </w:tr>
      <w:tr>
        <w:trPr>
          <w:trHeight w:val="984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UCLA SO 2739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ark:/87602/m4/M113802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0.18, 0.18, 0.20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038_C_COY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UAMC 88-50-290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MicroCT Imaging Consortium for Research and Outreach  (Fayetteville, Arkansas,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ark:/87602/m4/442496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0.11, 0.11, 0.11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MZUF-1851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0.19, 0.19, 0.30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MZUF-2140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0.22, 0.22, 0.30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MZUF-2110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MZUF-2714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0.20, 0.20, 0.30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AMNH 99667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Duke Shared Materials Instrumentation Facility (Durham, North Carolina, U.S.A.).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ark:/87602/m4/545038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0.078, 0.078, 0.078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AMNH 132868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Duke Shared Materials Instrumentation Facility (Durham, North Carolina,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ark:/87602/m4/540999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0.11, 0.11, 0.11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117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0.54, 0.54, 0.40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AMNH 99679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Duke Shared Materials Instrumentation Facility (Durham, North Carolina, U.S.A.).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ark:/87602/m4/554319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0.0.98, 0.098, 0.098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MZUF-2032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0.25, 0.25, 0.40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MZUF-11874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0.29, 0.29, 0.30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037_C_WOLF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0.32, 0.32, 0.30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037_C2_WOLF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MZUF-16534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0.27, 0.27, 0.30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DST-N01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0.21, 0.21, 0.30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AMNH m-81001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ark:/87602/m4/M113802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0.21, 0.21, 0.25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CE818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0.19, 0.19, 0.70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MZUF-13781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0.23, 0.23, 0.30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MZUF-4062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0.18, 0.18, 0.30</w:t>
            </w:r>
          </w:p>
        </w:tc>
      </w:tr>
      <w:tr>
        <w:trPr>
          <w:trHeight w:val="1248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147_C_MAWO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Moritz Kaposi teaching Hospital Dr. Jozse Baka Dignostic, Radiation Oncology, Reasearch and Teaching Center (Kaposvar, Hungary)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AS+CT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0.30, 0.30, 0.30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MAM017321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Yale Translational Research Imaging Center (New Haven, Connecticut,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ark:/87602/m4/593869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0, 0.55, 0.60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131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0.38, 0.38, 0.40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TM1942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TM8684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0.41, 0.41, 0.40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MZUF-8496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0.20, 0.20, 0.30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UCLA 3000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hyperlink r:id="rId2">
              <w:r>
                <w:rPr>
                  <w:rStyle w:val="Hyperlink"/>
                  <w:rFonts w:eastAsia="Aptos" w:cs="Times New Roman" w:ascii="Times New Roman" w:hAnsi="Times New Roman"/>
                  <w:color w:themeColor="text1" w:val="000000"/>
                  <w:kern w:val="2"/>
                  <w:sz w:val="22"/>
                  <w:szCs w:val="22"/>
                  <w:u w:val="none"/>
                  <w:lang w:val="it-IT" w:eastAsia="en-US" w:bidi="ar-SA"/>
                </w:rPr>
                <w:t> </w:t>
              </w:r>
              <w:r>
                <w:rPr>
                  <w:rStyle w:val="Hyperlink"/>
                  <w:rFonts w:eastAsia="Aptos" w:cs="Times New Roman" w:ascii="Times New Roman" w:hAnsi="Times New Roman"/>
                  <w:color w:themeColor="text1" w:val="000000"/>
                  <w:kern w:val="2"/>
                  <w:sz w:val="22"/>
                  <w:szCs w:val="22"/>
                  <w:u w:val="none"/>
                  <w:lang w:val="it-IT" w:eastAsia="en-US" w:bidi="ar-SA"/>
                </w:rPr>
                <w:t>ark:/87602/m4/M113801</w:t>
              </w:r>
            </w:hyperlink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0. 090, 0.090, 0.20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TM3028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0.20, 0.20, 0.40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TM1571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MZUF-1843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0.19, 0.19, 0.30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MZUF-1898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0, 1, 1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MZUF-1128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0.20, 0.20, 0.30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MZUF-1715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0.22, 0.22, 0.30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MZUF-3293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0.18, 0.18, 0.30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CBL 978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0.35, 0.35, 0.50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AZ11895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0.34, 0.34, 0.40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TM47678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0.36, 0.36, 0.40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AZTM2244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0.3, 0.3, 0.40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TM5560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Donald Gordon Medical Centre of the University of Witwaterstrand Medical School (Johannesburg, South Africa)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Philips Brilliance 180 Pz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0.49, 0.49, 0.33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USNM 368441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hyperlink r:id="rId3">
              <w:r>
                <w:rPr>
                  <w:rStyle w:val="Hyperlink"/>
                  <w:rFonts w:eastAsia="Aptos" w:cs="Times New Roman" w:ascii="Times New Roman" w:hAnsi="Times New Roman"/>
                  <w:color w:themeColor="text1" w:val="000000"/>
                  <w:kern w:val="2"/>
                  <w:sz w:val="22"/>
                  <w:szCs w:val="22"/>
                  <w:u w:val="none"/>
                  <w:lang w:val="it-IT" w:eastAsia="en-US" w:bidi="ar-SA"/>
                </w:rPr>
                <w:t>ark:/87602/m4/M100575</w:t>
              </w:r>
            </w:hyperlink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0.21, 0.21, 0.22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USNM 368443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ark:/87602/m4/M114097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0.22, 0.22, 0.25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MZUF-1127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0.28, 0.28, 0.30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USNM 255530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ark:/87602/m4/M113795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0.069, 0.069, 0.15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BLOC 210119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0.22, 0.22, 0.40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MZUF-1474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0.14, 0.14, 0.30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IGF 869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0.62, 0.62, 1</w:t>
            </w:r>
          </w:p>
        </w:tc>
      </w:tr>
      <w:tr>
        <w:trPr>
          <w:trHeight w:val="624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D64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Zurich, Switzerland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Nikon Metrology XT H 225 ST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0.56, 0.56, 0.20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IGF 4412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0.29, 0.29, 0.40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IGF 4407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Medical Radiology Center ("SOS Radiologia") of the San Giovanni di Dio Hospital (Florence, Italy)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Somatom Definition AS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0.62, 0.62, 1</w:t>
            </w:r>
          </w:p>
        </w:tc>
      </w:tr>
      <w:tr>
        <w:trPr>
          <w:trHeight w:val="624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IMEDEA-C2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Mútua de Terrassa Hospital (Terrassa, Spain)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Siemens Sensation 16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0.27, 0.27, 0.20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RSS45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Biomaterials Science Center of the University of Basel (Basel Switzerland)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Phoenix Nanotom (GE)</w:t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0.040, 0.040, 0.040</w:t>
            </w:r>
          </w:p>
        </w:tc>
      </w:tr>
      <w:tr>
        <w:trPr>
          <w:trHeight w:val="936" w:hRule="atLeast"/>
        </w:trPr>
        <w:tc>
          <w:tcPr>
            <w:tcW w:w="1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F:AM97057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University of Texas high-resolution X-ray Computed Tomography Facility (Austin, Texas, U.S.A.)</w:t>
            </w:r>
          </w:p>
        </w:tc>
        <w:tc>
          <w:tcPr>
            <w:tcW w:w="1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it-IT" w:eastAsia="en-US" w:bidi="ar-SA"/>
              </w:rPr>
              <w:t>0.080, 0.080, 0.17</w:t>
            </w:r>
          </w:p>
        </w:tc>
      </w:tr>
    </w:tbl>
    <w:p>
      <w:pPr>
        <w:pStyle w:val="Normal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Normal"/>
        <w:spacing w:before="0" w:after="160"/>
        <w:jc w:val="center"/>
        <w:rPr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S2: Institutional abbreviation of the storing institutions of the specimens analyzed.</w:t>
      </w:r>
    </w:p>
    <w:p>
      <w:pPr>
        <w:pStyle w:val="Normal"/>
        <w:spacing w:before="0" w:after="1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</w:p>
    <w:tbl>
      <w:tblPr>
        <w:tblW w:w="470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820"/>
        <w:gridCol w:w="1880"/>
      </w:tblGrid>
      <w:tr>
        <w:trPr>
          <w:trHeight w:val="624" w:hRule="atLeast"/>
        </w:trPr>
        <w:tc>
          <w:tcPr>
            <w:tcW w:w="2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D0D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Storing Institution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D0D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Institutional Abbreviation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American Museum of Natural History, New York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AMNH</w:t>
            </w:r>
          </w:p>
        </w:tc>
      </w:tr>
      <w:tr>
        <w:trPr>
          <w:trHeight w:val="1248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Borzatti-Lowenstein collection, Anthropology and Ethnology Museum of the University of Florence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CBL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Giacomo Doria Natural History Museum, Genoa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CE</w:t>
            </w:r>
          </w:p>
        </w:tc>
      </w:tr>
      <w:tr>
        <w:trPr>
          <w:trHeight w:val="936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Earth Science Department of the University of Florence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DST</w:t>
            </w:r>
          </w:p>
        </w:tc>
      </w:tr>
      <w:tr>
        <w:trPr>
          <w:trHeight w:val="936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S. Janashian Museum, Gorgian National Museum, Tbilisi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GNM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Geology and Paleontology Museum of Florence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IGF</w:t>
            </w:r>
          </w:p>
        </w:tc>
      </w:tr>
      <w:tr>
        <w:trPr>
          <w:trHeight w:val="936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Institut Mediterrani d'estudis Avançats, Mallorca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IMEDEA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"La Specola" Zoology Museum, Florence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MZUF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Natural History Museum, Basel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NMB</w:t>
            </w:r>
          </w:p>
        </w:tc>
      </w:tr>
      <w:tr>
        <w:trPr>
          <w:trHeight w:val="936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Department of Paleontology at the Ditsong Museum in Pretoria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TM</w:t>
            </w:r>
          </w:p>
        </w:tc>
      </w:tr>
      <w:tr>
        <w:trPr>
          <w:trHeight w:val="624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University of Arkansas Museum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UAMC</w:t>
            </w:r>
          </w:p>
        </w:tc>
      </w:tr>
      <w:tr>
        <w:trPr>
          <w:trHeight w:val="1248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UCLA Department of Ecology and Evolutionary Biology in Los Angeles, California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UCLA</w:t>
            </w:r>
          </w:p>
        </w:tc>
      </w:tr>
      <w:tr>
        <w:trPr>
          <w:trHeight w:val="936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Smithsonian  National Museum of Natural History, Washington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USNM</w:t>
            </w:r>
          </w:p>
        </w:tc>
      </w:tr>
      <w:tr>
        <w:trPr>
          <w:trHeight w:val="1248" w:hRule="atLeast"/>
        </w:trPr>
        <w:tc>
          <w:tcPr>
            <w:tcW w:w="2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Vertebrate Zoology Division-Mammology at the Yale Peabody Museum in New Haven, Connecticut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YPM</w:t>
            </w:r>
          </w:p>
        </w:tc>
      </w:tr>
    </w:tbl>
    <w:p>
      <w:pPr>
        <w:sectPr>
          <w:type w:val="nextPage"/>
          <w:pgSz w:w="11906" w:h="16838"/>
          <w:pgMar w:left="1134" w:right="1134" w:gutter="0" w:header="0" w:top="1417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4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S3: Results of the ordinary least square regression analysis between the first three PCs and natural log-transformed sinus length, cubic root of sinus volume, and body mass (significant correlations at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 xml:space="preserve"> p </w:t>
      </w:r>
      <w:r>
        <w:rPr>
          <w:rFonts w:cs="Times New Roman" w:ascii="Times New Roman" w:hAnsi="Times New Roman"/>
          <w:sz w:val="24"/>
          <w:szCs w:val="24"/>
          <w:lang w:val="en-US"/>
        </w:rPr>
        <w:t>&lt; 0.05 are in bold).</w:t>
      </w:r>
    </w:p>
    <w:tbl>
      <w:tblPr>
        <w:tblW w:w="1338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1423"/>
        <w:gridCol w:w="1099"/>
        <w:gridCol w:w="979"/>
        <w:gridCol w:w="978"/>
        <w:gridCol w:w="1195"/>
        <w:gridCol w:w="1299"/>
        <w:gridCol w:w="1357"/>
        <w:gridCol w:w="1216"/>
        <w:gridCol w:w="1218"/>
        <w:gridCol w:w="1335"/>
        <w:gridCol w:w="1281"/>
      </w:tblGrid>
      <w:tr>
        <w:trPr>
          <w:trHeight w:val="580" w:hRule="atLeast"/>
        </w:trPr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18"/>
                <w:szCs w:val="18"/>
              </w:rPr>
              <w:t>-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Slope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Std error (slope)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95% CI (slope)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Std error (intercept)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95% CI (intercept)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PC1 vs lnBM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-0.016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0.912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0.091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-0.172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0.190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-0.014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0.247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-0.508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0.480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PC2 vs lnBM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0.126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-0.211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0.067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-0.344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-0.077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0.543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0.182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0.179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0.908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PC3 vs lnBM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-0.008 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0.471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0.050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-0.088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0.188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-0.128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0.188 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-0.503 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0.247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PC1 vs lnSV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0.055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0.035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0.490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0.227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0.037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0.944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-1.300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0.605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-2.509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-0.091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PC2 vs lnSV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0.079 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-0.454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0.180 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-0.813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-0.095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1.203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0.479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0.246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2.160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PC3 vs lnSV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0.095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0.462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0.168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0.127 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0.797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-1.225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0.447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-2.119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-0.332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PC1 vs lnSL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-0.012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0.600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0.112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0.213 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-0.314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0.538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-0.384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0.732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-1.847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1.079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PC2 vs lnSL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0.169 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&lt; 0.001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-0.576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0.155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-0.885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-0.266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1.970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0.532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0.907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3.034</w:t>
            </w:r>
          </w:p>
        </w:tc>
      </w:tr>
      <w:tr>
        <w:trPr>
          <w:trHeight w:val="290" w:hRule="atLeast"/>
        </w:trPr>
        <w:tc>
          <w:tcPr>
            <w:tcW w:w="142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PC3 vs lnSL</w:t>
            </w:r>
          </w:p>
        </w:tc>
        <w:tc>
          <w:tcPr>
            <w:tcW w:w="10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0.169</w:t>
            </w:r>
          </w:p>
        </w:tc>
        <w:tc>
          <w:tcPr>
            <w:tcW w:w="9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&lt; 0.001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0.542</w:t>
            </w:r>
          </w:p>
        </w:tc>
        <w:tc>
          <w:tcPr>
            <w:tcW w:w="11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0.146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0.251</w:t>
            </w:r>
          </w:p>
        </w:tc>
        <w:tc>
          <w:tcPr>
            <w:tcW w:w="13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0.833</w:t>
            </w:r>
          </w:p>
        </w:tc>
        <w:tc>
          <w:tcPr>
            <w:tcW w:w="121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-1.856</w:t>
            </w:r>
          </w:p>
        </w:tc>
        <w:tc>
          <w:tcPr>
            <w:tcW w:w="12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0.501</w:t>
            </w:r>
          </w:p>
        </w:tc>
        <w:tc>
          <w:tcPr>
            <w:tcW w:w="133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-2.857</w:t>
            </w:r>
          </w:p>
        </w:tc>
        <w:tc>
          <w:tcPr>
            <w:tcW w:w="128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-0.855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480" w:before="0" w:after="160"/>
        <w:ind w:star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S4:</w:t>
      </w:r>
      <w:r>
        <w:rPr>
          <w:sz w:val="32"/>
          <w:szCs w:val="32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Results of the correlation analysis between the first three PCs calculated without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N. procyonoides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and natural log-transformed sinus length, natural log-transformed cubic root of sinus volume, and natural log-transformed body mass (significant correlations highlighted in bold).</w:t>
      </w:r>
    </w:p>
    <w:tbl>
      <w:tblPr>
        <w:tblW w:w="1304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1250"/>
        <w:gridCol w:w="956"/>
        <w:gridCol w:w="957"/>
        <w:gridCol w:w="978"/>
        <w:gridCol w:w="978"/>
        <w:gridCol w:w="1420"/>
        <w:gridCol w:w="1360"/>
        <w:gridCol w:w="1161"/>
        <w:gridCol w:w="1279"/>
        <w:gridCol w:w="1419"/>
        <w:gridCol w:w="1282"/>
      </w:tblGrid>
      <w:tr>
        <w:trPr>
          <w:trHeight w:val="580" w:hRule="atLeast"/>
        </w:trPr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-value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Slope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 error (slope)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95% CI (slope)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Intercept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 error (intercept)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95% CI (intercept)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PC1 vs lnBM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0.226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0.316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0.074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0.169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0.464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-0.880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0.203 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-1.29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-0.473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PC2 vs lnBM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-0.012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0.610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0.040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0.077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-0.115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0.195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-0.073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0.214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-0.500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0.355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PC3 vs lnBM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-0.017 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0.928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0.007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0.073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-0.139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0.152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-0.054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0.201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-0.456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0.348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PC1 vs lnSV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0.0612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0.029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0.480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0.214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0.051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0.908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-1.314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0.575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-2.464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-0.164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PC2 vs lnSV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-0.016 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0.824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0.047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0.210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-0.373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0.466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-0.103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0.563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-1.229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1.024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PC3 vs lnSV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0.105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0.006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-0.529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0.185  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-0.899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-0.159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1.388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0.496 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0.395 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2.381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PC1 vs lnSL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0.187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0.649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0.168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0.314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0.984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-2.262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0.578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-3.419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-1.106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PC2 vs lnSL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-0.016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0.827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0.039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0.176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-0.314 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0.391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-0.110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0.608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-1.327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1.107</w:t>
            </w:r>
          </w:p>
        </w:tc>
      </w:tr>
      <w:tr>
        <w:trPr>
          <w:trHeight w:val="290" w:hRule="atLeast"/>
        </w:trPr>
        <w:tc>
          <w:tcPr>
            <w:tcW w:w="12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PC3 vs lnSL</w:t>
            </w:r>
          </w:p>
        </w:tc>
        <w:tc>
          <w:tcPr>
            <w:tcW w:w="9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0.159</w:t>
            </w:r>
          </w:p>
        </w:tc>
        <w:tc>
          <w:tcPr>
            <w:tcW w:w="9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-0.533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0.151</w:t>
            </w:r>
          </w:p>
        </w:tc>
        <w:tc>
          <w:tcPr>
            <w:tcW w:w="14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-0.834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-0.232</w:t>
            </w:r>
          </w:p>
        </w:tc>
        <w:tc>
          <w:tcPr>
            <w:tcW w:w="11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1.808 </w:t>
            </w:r>
          </w:p>
        </w:tc>
        <w:tc>
          <w:tcPr>
            <w:tcW w:w="12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0.520</w:t>
            </w:r>
          </w:p>
        </w:tc>
        <w:tc>
          <w:tcPr>
            <w:tcW w:w="14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0.769</w:t>
            </w:r>
          </w:p>
        </w:tc>
        <w:tc>
          <w:tcPr>
            <w:tcW w:w="12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2.847</w:t>
            </w:r>
          </w:p>
        </w:tc>
      </w:tr>
    </w:tbl>
    <w:p>
      <w:pPr>
        <w:sectPr>
          <w:type w:val="nextPage"/>
          <w:pgSz w:orient="landscape" w:w="16838" w:h="11906"/>
          <w:pgMar w:left="1134" w:right="141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aption"/>
        <w:spacing w:lineRule="auto" w:line="480" w:before="0" w:after="200"/>
        <w:jc w:val="center"/>
        <w:rPr>
          <w:rFonts w:ascii="Times New Roman" w:hAnsi="Times New Roman" w:cs="Times New Roman"/>
          <w:i w:val="false"/>
          <w:i w:val="false"/>
          <w:iCs w:val="false"/>
          <w:color w:themeColor="text1" w:val="000000"/>
          <w:sz w:val="32"/>
          <w:szCs w:val="32"/>
          <w:lang w:val="en-US"/>
        </w:rPr>
      </w:pP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Table S5: Classification results for the four ecomorphogroups obtained with a Canonical Variate Analysis (CVA) performed on the raw shape data obtained from the frontal sinus diffeomorphic deformation analysis. Ecomorphogroups (G1-G4) correspond to: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themeColor="text1" w:val="000000"/>
          <w:sz w:val="24"/>
          <w:szCs w:val="24"/>
          <w:lang w:val="en-US"/>
        </w:rPr>
        <w:t>, h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ypercarniovorous group-hunters;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G2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hypercarnivores on small prey;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G3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mesocarnivores;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G4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>, hypocarnivores.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480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960"/>
        <w:gridCol w:w="960"/>
        <w:gridCol w:w="960"/>
        <w:gridCol w:w="960"/>
        <w:gridCol w:w="960"/>
      </w:tblGrid>
      <w:tr>
        <w:trPr>
          <w:trHeight w:val="290" w:hRule="atLeast"/>
        </w:trPr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G2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G3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G4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73.7%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10.5%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5.26%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10.5%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G2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66.7%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33.3%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G3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3.70%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81.5%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14.8%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G4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22.2%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33.3%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44.4%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480" w:before="0" w:after="160"/>
        <w:ind w:star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Table S6: </w:t>
      </w:r>
      <w:r>
        <w:rPr>
          <w:rFonts w:cs="Times New Roman" w:ascii="Times New Roman" w:hAnsi="Times New Roman"/>
          <w:color w:themeColor="text1" w:val="000000"/>
          <w:sz w:val="24"/>
          <w:szCs w:val="24"/>
          <w:lang w:val="en-GB"/>
        </w:rPr>
        <w:t xml:space="preserve">Posterior probabilities of fossil species for each ecomorphogoup based on CVA scores.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Ecomorphogroups (G1-G4) correspond to: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themeColor="text1" w:val="000000"/>
          <w:sz w:val="24"/>
          <w:szCs w:val="24"/>
          <w:lang w:val="en-US"/>
        </w:rPr>
        <w:t>, h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ypercarniovorous group-hunters;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G2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hypercarnivores on small prey;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G3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mesocarnivores;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G4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>, hypocarnivores.</w:t>
      </w:r>
    </w:p>
    <w:tbl>
      <w:tblPr>
        <w:tblW w:w="682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980"/>
        <w:gridCol w:w="959"/>
        <w:gridCol w:w="961"/>
        <w:gridCol w:w="959"/>
        <w:gridCol w:w="961"/>
      </w:tblGrid>
      <w:tr>
        <w:trPr>
          <w:trHeight w:val="290" w:hRule="atLeast"/>
        </w:trPr>
        <w:tc>
          <w:tcPr>
            <w:tcW w:w="2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G2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G3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G4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etruscus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(IGF 4412)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94%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6%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etruscus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(IGF 4407)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93%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borjgali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(D64)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mosbachensis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(IMEDEA-C2)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86%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E. davisi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(F:AM97057)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82%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15%</w:t>
            </w:r>
          </w:p>
        </w:tc>
      </w:tr>
      <w:tr>
        <w:trPr>
          <w:trHeight w:val="290" w:hRule="atLeast"/>
        </w:trPr>
        <w:tc>
          <w:tcPr>
            <w:tcW w:w="29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E. adoxus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(NMB Rss.45)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61%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0%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17%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21%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480" w:before="0" w:after="160"/>
        <w:ind w:start="36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Table S7: Typicality probabilities based on the bgPCA scores for the considered groups, computed for the analyzed fossil specimens (values &lt;0.05 imply that the specimen is an outlier for the ecomorphogroup). The highest non-significant value for each specimen is bolded. Ecomorphogroups (G1-G4) correspond to: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themeColor="text1" w:val="000000"/>
          <w:sz w:val="24"/>
          <w:szCs w:val="24"/>
          <w:lang w:val="en-US"/>
        </w:rPr>
        <w:t>, h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ypercarniovorous group-hunters;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G2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hypercarnivores on small prey;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G3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mesocarnivores;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G4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>, hypocarnivores.</w:t>
      </w:r>
    </w:p>
    <w:tbl>
      <w:tblPr>
        <w:tblW w:w="674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900"/>
        <w:gridCol w:w="959"/>
        <w:gridCol w:w="960"/>
        <w:gridCol w:w="961"/>
        <w:gridCol w:w="960"/>
      </w:tblGrid>
      <w:tr>
        <w:trPr>
          <w:trHeight w:val="290" w:hRule="atLeast"/>
        </w:trPr>
        <w:tc>
          <w:tcPr>
            <w:tcW w:w="2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G1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G2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G3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G4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etruscus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(IGF 4412)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0.027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0.002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etruscus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(IGF 4407)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0.005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0.041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0.041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borjgali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(D64)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0.005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C. mosbachensis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(IMEDEA-C2)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0.126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0.012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0.162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0.162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E. davisi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(F:AM97057)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0.472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0.021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0.021</w:t>
            </w:r>
          </w:p>
        </w:tc>
      </w:tr>
      <w:tr>
        <w:trPr>
          <w:trHeight w:val="290" w:hRule="atLeast"/>
        </w:trPr>
        <w:tc>
          <w:tcPr>
            <w:tcW w:w="2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E. adoxus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(NMB Rss.45)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0.350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0.009</w:t>
            </w:r>
          </w:p>
        </w:tc>
        <w:tc>
          <w:tcPr>
            <w:tcW w:w="96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0.122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0.122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480" w:before="0" w:after="160"/>
        <w:ind w:star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S8: Results of the correlation analysis between the three CVs of the CVA and the three morphometric variables of the sinuses (significant correlations highlighted in bold).</w:t>
      </w:r>
    </w:p>
    <w:tbl>
      <w:tblPr>
        <w:tblW w:w="1390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1940"/>
        <w:gridCol w:w="998"/>
        <w:gridCol w:w="962"/>
        <w:gridCol w:w="959"/>
        <w:gridCol w:w="959"/>
        <w:gridCol w:w="1504"/>
        <w:gridCol w:w="1418"/>
        <w:gridCol w:w="1259"/>
        <w:gridCol w:w="1179"/>
        <w:gridCol w:w="1376"/>
        <w:gridCol w:w="1346"/>
      </w:tblGrid>
      <w:tr>
        <w:trPr>
          <w:trHeight w:val="580" w:hRule="atLeast"/>
        </w:trPr>
        <w:tc>
          <w:tcPr>
            <w:tcW w:w="1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</w:t>
            </w: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-value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Slope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 error (slope)</w:t>
            </w:r>
          </w:p>
        </w:tc>
        <w:tc>
          <w:tcPr>
            <w:tcW w:w="292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95% CI (slope)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Intercept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 error (intercept)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DADAD" w:themeFill="background2" w:themeFillShade="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95% CI (intercept)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CV1 vs lnBM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0.409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1.715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0.259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1.198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2.233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-4.384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0.705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-5.795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-2.974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CV2 vs lnBM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-0.010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0.550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-0.137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0.228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-0.593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0.319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0.455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0.621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-0.788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1.697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CV3 vs lnBM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0.035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0.076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0.349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0.193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-0.038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0.735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-0.996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0.527 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-2.049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CV1 vs lnSV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0.431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4.541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0.651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3.239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5.843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-11.919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1.736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-15.389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-8.449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CV2 vs lnSV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0.033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0.080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1.019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0.573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-0.125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2.164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-2.599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1.526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-5.650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0.452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CV3 vs lnSV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0.031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0.088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0.863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0.498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-0.133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1.858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-2.355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1.328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-5.009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0.299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CV1 vs lnSL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0.579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 0.001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4.756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0.508 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3.741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5.771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-16.164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1.746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-19.654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-12.674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CV2 vs lnSL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0.035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0.076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0.938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0.519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-0.100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1.975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-3.106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1.784 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-6.673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0.461</w:t>
            </w:r>
          </w:p>
        </w:tc>
      </w:tr>
      <w:tr>
        <w:trPr>
          <w:trHeight w:val="290" w:hRule="atLeast"/>
        </w:trPr>
        <w:tc>
          <w:tcPr>
            <w:tcW w:w="1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CV3 vs lnSL</w:t>
            </w:r>
          </w:p>
        </w:tc>
        <w:tc>
          <w:tcPr>
            <w:tcW w:w="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-0.003</w:t>
            </w:r>
          </w:p>
        </w:tc>
        <w:tc>
          <w:tcPr>
            <w:tcW w:w="9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0.378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0.408</w:t>
            </w:r>
          </w:p>
        </w:tc>
        <w:tc>
          <w:tcPr>
            <w:tcW w:w="9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0.460</w:t>
            </w:r>
          </w:p>
        </w:tc>
        <w:tc>
          <w:tcPr>
            <w:tcW w:w="150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-0.511</w:t>
            </w:r>
          </w:p>
        </w:tc>
        <w:tc>
          <w:tcPr>
            <w:tcW w:w="141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1.327</w:t>
            </w:r>
          </w:p>
        </w:tc>
        <w:tc>
          <w:tcPr>
            <w:tcW w:w="1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-1.465</w:t>
            </w:r>
          </w:p>
        </w:tc>
        <w:tc>
          <w:tcPr>
            <w:tcW w:w="11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1.580  </w:t>
            </w:r>
          </w:p>
        </w:tc>
        <w:tc>
          <w:tcPr>
            <w:tcW w:w="13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-4.624</w:t>
            </w:r>
          </w:p>
        </w:tc>
        <w:tc>
          <w:tcPr>
            <w:tcW w:w="134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1.694</w:t>
            </w:r>
          </w:p>
        </w:tc>
      </w:tr>
    </w:tbl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480" w:before="0" w:after="160"/>
        <w:ind w:start="360"/>
        <w:jc w:val="center"/>
        <w:rPr>
          <w:rFonts w:ascii="Times New Roman" w:hAnsi="Times New Roman" w:cs="Times New Roman"/>
          <w:i w:val="false"/>
          <w:i w:val="false"/>
          <w:iCs w:val="false"/>
          <w:color w:themeColor="text1"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Table S9: Classification results of CV-bgPCA for each of the four a priori defined ecomorphogroups. Ecomorphogroups (G1-G4) correspond to: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G1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themeColor="text1" w:val="000000"/>
          <w:sz w:val="24"/>
          <w:szCs w:val="24"/>
          <w:lang w:val="en-US"/>
        </w:rPr>
        <w:t>, h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ypercarniovorous group-hunters;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G2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hypercarnivores on small prey;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G3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 xml:space="preserve">, mesocarnivores; </w:t>
      </w: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en-US"/>
        </w:rPr>
        <w:t>G4</w:t>
      </w:r>
      <w:r>
        <w:rPr>
          <w:rFonts w:cs="Times New Roman" w:ascii="Times New Roman" w:hAnsi="Times New Roman"/>
          <w:i w:val="false"/>
          <w:iCs w:val="false"/>
          <w:color w:themeColor="text1" w:val="000000"/>
          <w:sz w:val="24"/>
          <w:szCs w:val="24"/>
          <w:lang w:val="en-US"/>
        </w:rPr>
        <w:t>, hypocarnivores.</w:t>
      </w:r>
    </w:p>
    <w:tbl>
      <w:tblPr>
        <w:tblW w:w="4800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960"/>
        <w:gridCol w:w="960"/>
        <w:gridCol w:w="960"/>
        <w:gridCol w:w="960"/>
        <w:gridCol w:w="960"/>
      </w:tblGrid>
      <w:tr>
        <w:trPr>
          <w:trHeight w:val="290" w:hRule="atLeast"/>
        </w:trPr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G1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G2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G3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G4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G1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78.9%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10.5%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10.5%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G2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33.3%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33.3%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33.3%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G3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3.70%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3.70%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3.70%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88.9%</w:t>
            </w:r>
          </w:p>
        </w:tc>
      </w:tr>
      <w:tr>
        <w:trPr>
          <w:trHeight w:val="290" w:hRule="atLeast"/>
        </w:trPr>
        <w:tc>
          <w:tcPr>
            <w:tcW w:w="9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DADAD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G4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44.4%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0%</w:t>
            </w:r>
          </w:p>
        </w:tc>
        <w:tc>
          <w:tcPr>
            <w:tcW w:w="9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55.6%</w:t>
            </w:r>
          </w:p>
        </w:tc>
      </w:tr>
    </w:tbl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/>
      </w:r>
    </w:p>
    <w:sectPr>
      <w:type w:val="nextPage"/>
      <w:pgSz w:orient="landscape" w:w="16838" w:h="11906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 Narrow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646c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5646c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5646c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5646c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5646c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5646c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5646c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5646c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5646c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5646c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5646c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5646c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5646cf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5646cf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5646cf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5646cf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5646cf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5646cf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5646c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5646c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5646c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646cf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5646c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646cf"/>
    <w:rPr>
      <w:b/>
      <w:bCs/>
      <w:smallCaps/>
      <w:color w:themeColor="accent1" w:themeShade="bf"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646cf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qFormat/>
    <w:rsid w:val="005646cf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bd70f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02d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02df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5646cf"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5646c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5646c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5646c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646cf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564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stocommentoCarattere"/>
    <w:uiPriority w:val="99"/>
    <w:unhideWhenUsed/>
    <w:rsid w:val="005646cf"/>
    <w:pPr>
      <w:spacing w:lineRule="auto" w:line="24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1f4165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bd70f5"/>
    <w:pPr/>
    <w:rPr>
      <w:b/>
      <w:bCs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ac0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2t.net/ark:/87602/m4/M113801" TargetMode="External"/><Relationship Id="rId3" Type="http://schemas.openxmlformats.org/officeDocument/2006/relationships/hyperlink" Target="https://n2t.net/ark:/87602/m4/M100575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AD44E1343044B22206E6855BFB84" ma:contentTypeVersion="9" ma:contentTypeDescription="Create a new document." ma:contentTypeScope="" ma:versionID="bad7608bcb9acc2a875e20c7780e66fe">
  <xsd:schema xmlns:xsd="http://www.w3.org/2001/XMLSchema" xmlns:xs="http://www.w3.org/2001/XMLSchema" xmlns:p="http://schemas.microsoft.com/office/2006/metadata/properties" xmlns:ns3="492e3d9d-1ed0-4ea9-abda-05ee510b7659" xmlns:ns4="4b2d7288-f60f-49a2-a861-adfd0919cf0a" targetNamespace="http://schemas.microsoft.com/office/2006/metadata/properties" ma:root="true" ma:fieldsID="5ba680991d1310fe374b754ff388dbfc" ns3:_="" ns4:_="">
    <xsd:import namespace="492e3d9d-1ed0-4ea9-abda-05ee510b7659"/>
    <xsd:import namespace="4b2d7288-f60f-49a2-a861-adfd0919cf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3d9d-1ed0-4ea9-abda-05ee510b76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d7288-f60f-49a2-a861-adfd0919cf0a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2d7288-f60f-49a2-a861-adfd0919cf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60A3A-47B3-47B1-921F-1DCEE7C5E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3d9d-1ed0-4ea9-abda-05ee510b7659"/>
    <ds:schemaRef ds:uri="4b2d7288-f60f-49a2-a861-adfd0919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26823-2EEF-4E00-913D-F2F93F0EAEDE}">
  <ds:schemaRefs>
    <ds:schemaRef ds:uri="http://schemas.microsoft.com/office/2006/metadata/properties"/>
    <ds:schemaRef ds:uri="http://schemas.microsoft.com/office/infopath/2007/PartnerControls"/>
    <ds:schemaRef ds:uri="4b2d7288-f60f-49a2-a861-adfd0919cf0a"/>
  </ds:schemaRefs>
</ds:datastoreItem>
</file>

<file path=customXml/itemProps3.xml><?xml version="1.0" encoding="utf-8"?>
<ds:datastoreItem xmlns:ds="http://schemas.openxmlformats.org/officeDocument/2006/customXml" ds:itemID="{27155F8E-3C8A-42A6-A781-2B85036D2C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A45BF-0580-44E0-8AAB-CA486B8E8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Application>LibreOffice/25.8.3.2$Windows_X86_64 LibreOffice_project/8ca8d55c161d602844f5428fa4b58097424e324e</Application>
  <AppVersion>15.0000</AppVersion>
  <Pages>14</Pages>
  <Words>2361</Words>
  <Characters>13979</Characters>
  <CharactersWithSpaces>15629</CharactersWithSpaces>
  <Paragraphs>751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2025-06-25T13:39:00Z</dcterms:created>
  <dc:creator>Samuele Frosali</dc:creator>
  <dc:description/>
  <dc:language>it-IT</dc:language>
  <cp:lastModifiedBy/>
  <dcterms:modified xsi:type="dcterms:W3CDTF">2026-01-22T00:14:27Z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0x010100D5EDAD44E1343044B22206E6855BFB84</vt:lpwstr>
  </property>
  <property fmtid="{D5CDD505-2E9C-101B-9397-08002B2CF9AE}" pid="3" name="MSIP_Label_defa4170-0d19-0005-0004-bc88714345d2_ActionId">
    <vt:lpwstr>5d5d41d7-9eef-403a-84b5-ae099d15fb61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2025-03-18T08:53:30Z</vt:lpwstr>
  </property>
  <property fmtid="{D5CDD505-2E9C-101B-9397-08002B2CF9AE}" pid="9" name="MSIP_Label_defa4170-0d19-0005-0004-bc88714345d2_SiteId">
    <vt:lpwstr>079877d4-bea0-42b3-ba39-faa722c93c48</vt:lpwstr>
  </property>
  <property fmtid="{D5CDD505-2E9C-101B-9397-08002B2CF9AE}" pid="10" name="MSIP_Label_defa4170-0d19-0005-0004-bc88714345d2_Tag">
    <vt:lpwstr>10, 3, 0, 1</vt:lpwstr>
  </property>
</Properties>
</file>