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480"/>
        <w:jc w:val="center"/>
        <w:rPr>
          <w:rFonts w:ascii="Times New Roman" w:hAnsi="Times New Roman" w:cs="Times New Roman"/>
          <w:b/>
          <w:bCs/>
          <w:sz w:val="24"/>
          <w:szCs w:val="24"/>
          <w:lang w:val="en-US"/>
        </w:rPr>
      </w:pPr>
      <w:r>
        <w:rPr>
          <w:rFonts w:cs="Times New Roman" w:ascii="Times New Roman" w:hAnsi="Times New Roman"/>
          <w:b/>
          <w:bCs/>
          <w:sz w:val="24"/>
          <w:szCs w:val="24"/>
          <w:lang w:val="en-US"/>
        </w:rPr>
        <w:t>Supplementary Text</w:t>
      </w:r>
    </w:p>
    <w:p>
      <w:pPr>
        <w:pStyle w:val="ListParagraph"/>
        <w:bidi w:val="0"/>
        <w:spacing w:lineRule="auto" w:line="480"/>
        <w:jc w:val="left"/>
        <w:rPr>
          <w:rFonts w:ascii="Times New Roman" w:hAnsi="Times New Roman" w:cs="Times New Roman"/>
          <w:b/>
          <w:bCs/>
          <w:sz w:val="24"/>
          <w:szCs w:val="24"/>
          <w:lang w:val="en-US"/>
        </w:rPr>
      </w:pPr>
      <w:r>
        <w:rPr>
          <w:rFonts w:cs="Times New Roman" w:ascii="Times New Roman" w:hAnsi="Times New Roman"/>
          <w:b/>
          <w:bCs/>
          <w:sz w:val="24"/>
          <w:szCs w:val="24"/>
          <w:lang w:val="en-US"/>
        </w:rPr>
      </w:r>
    </w:p>
    <w:p>
      <w:pPr>
        <w:pStyle w:val="Normal"/>
        <w:bidi w:val="0"/>
        <w:spacing w:lineRule="auto" w:line="480"/>
        <w:jc w:val="left"/>
        <w:rPr>
          <w:rFonts w:ascii="Times New Roman" w:hAnsi="Times New Roman" w:cs="Times New Roman"/>
          <w:b/>
          <w:bCs/>
          <w:sz w:val="24"/>
          <w:szCs w:val="24"/>
          <w:lang w:val="en-US"/>
        </w:rPr>
      </w:pPr>
      <w:r>
        <w:rPr>
          <w:rFonts w:cs="Times New Roman" w:ascii="Times New Roman" w:hAnsi="Times New Roman"/>
          <w:b/>
          <w:bCs/>
          <w:sz w:val="24"/>
          <w:szCs w:val="24"/>
          <w:lang w:val="en-US"/>
        </w:rPr>
        <w:t>Principal Component Analysis (PCA)</w:t>
      </w:r>
    </w:p>
    <w:p>
      <w:pPr>
        <w:pStyle w:val="Normal"/>
        <w:bidi w:val="0"/>
        <w:spacing w:lineRule="auto" w:line="480"/>
        <w:jc w:val="left"/>
        <w:rPr>
          <w:rFonts w:ascii="Times New Roman" w:hAnsi="Times New Roman" w:cs="Times New Roman"/>
          <w:b/>
          <w:bCs/>
          <w:sz w:val="24"/>
          <w:szCs w:val="24"/>
          <w:lang w:val="en-US"/>
        </w:rPr>
      </w:pPr>
      <w:r>
        <w:rPr>
          <w:rFonts w:cs="Times New Roman" w:ascii="Times New Roman" w:hAnsi="Times New Roman"/>
          <w:b/>
          <w:bCs/>
          <w:sz w:val="24"/>
          <w:szCs w:val="24"/>
          <w:lang w:val="en-US"/>
        </w:rPr>
      </w:r>
    </w:p>
    <w:p>
      <w:pPr>
        <w:pStyle w:val="Normal"/>
        <w:bidi w:val="0"/>
        <w:spacing w:lineRule="auto" w:line="480"/>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The PCA performed on the deformation fields obtained from the DDA of the left sinuses allows to assess the range of morphological variability of the four ecomorphogroups. The first three PCs explain 36.41% of total variance (PC1 = 16.45%, PC2 = 10.58% and PC3 = 9.38%). The ordinary least square regressions performed for the first three PCs against lnSV, lnSL, and lnBM demonstrate that the PCs either do not show a significant correlation with these variables or, when significant, the correlation is weak and explains a limited amount of the total variance (Table S3). Hence, sinus size and body mass do not play a role (or a minimal one) in the main changes in frontal sinus shape. </w:t>
      </w:r>
    </w:p>
    <w:p>
      <w:pPr>
        <w:pStyle w:val="Normal"/>
        <w:bidi w:val="0"/>
        <w:spacing w:lineRule="auto" w:line="480"/>
        <w:ind w:firstLine="709"/>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The PC1 (16.45% of variance) does not allow to separate ecomorphogroups, with most individuals that occupy intermediate values (Fig. S3a-b), with the exception of the two </w:t>
      </w:r>
      <w:r>
        <w:rPr>
          <w:rFonts w:cs="Times New Roman" w:ascii="Times New Roman" w:hAnsi="Times New Roman"/>
          <w:i/>
          <w:iCs/>
          <w:sz w:val="24"/>
          <w:szCs w:val="24"/>
          <w:lang w:val="en-US"/>
        </w:rPr>
        <w:t>N. procyonoides</w:t>
      </w:r>
      <w:r>
        <w:rPr>
          <w:rFonts w:cs="Times New Roman" w:ascii="Times New Roman" w:hAnsi="Times New Roman"/>
          <w:sz w:val="24"/>
          <w:szCs w:val="24"/>
          <w:lang w:val="en-US"/>
        </w:rPr>
        <w:t xml:space="preserve"> which occupy markedly negative values along this PC (Fig. S3a-b). Hypocarnivores (G4) show the greatest shape variation for PC1, ranging from marked negative to marked positive scores. This is probably related to the presence in this group of species with both a simple sinus morphology (the cylinder-like shape of </w:t>
      </w:r>
      <w:r>
        <w:rPr>
          <w:rFonts w:cs="Times New Roman" w:ascii="Times New Roman" w:hAnsi="Times New Roman"/>
          <w:i/>
          <w:iCs/>
          <w:sz w:val="24"/>
          <w:szCs w:val="24"/>
          <w:lang w:val="en-US"/>
        </w:rPr>
        <w:t>N. procyonoides</w:t>
      </w:r>
      <w:r>
        <w:rPr>
          <w:rFonts w:cs="Times New Roman" w:ascii="Times New Roman" w:hAnsi="Times New Roman"/>
          <w:sz w:val="24"/>
          <w:szCs w:val="24"/>
          <w:lang w:val="en-US"/>
        </w:rPr>
        <w:t xml:space="preserve">; Fig. 1i-j) and a more developed and complex sinus (e.g., </w:t>
      </w:r>
      <w:r>
        <w:rPr>
          <w:rFonts w:cs="Times New Roman" w:ascii="Times New Roman" w:hAnsi="Times New Roman"/>
          <w:i/>
          <w:iCs/>
          <w:sz w:val="24"/>
          <w:szCs w:val="24"/>
          <w:lang w:val="en-US"/>
        </w:rPr>
        <w:t>C. brachyurus</w:t>
      </w:r>
      <w:r>
        <w:rPr>
          <w:rFonts w:cs="Times New Roman" w:ascii="Times New Roman" w:hAnsi="Times New Roman"/>
          <w:sz w:val="24"/>
          <w:szCs w:val="24"/>
          <w:lang w:val="en-US"/>
        </w:rPr>
        <w:t xml:space="preserve"> that presents both a rostromedial and a rostrolateral lobe; Fig. 1a-b). The extremely simplified morphology of </w:t>
      </w:r>
      <w:r>
        <w:rPr>
          <w:rFonts w:cs="Times New Roman" w:ascii="Times New Roman" w:hAnsi="Times New Roman"/>
          <w:i/>
          <w:iCs/>
          <w:sz w:val="24"/>
          <w:szCs w:val="24"/>
          <w:lang w:val="en-US"/>
        </w:rPr>
        <w:t>N. procyonoides</w:t>
      </w:r>
      <w:r>
        <w:rPr>
          <w:rFonts w:cs="Times New Roman" w:ascii="Times New Roman" w:hAnsi="Times New Roman"/>
          <w:sz w:val="24"/>
          <w:szCs w:val="24"/>
          <w:lang w:val="en-US"/>
        </w:rPr>
        <w:t xml:space="preserve"> is very similar to that of the PC1 minimum extreme conformation, which shows one elongated medial lobe and no lateral lobe or prominence nor a ventral lobe, typical of the aforementioned species (Fig. S3c). On the other hand, the most positive PC1 scores are occupied by species showing a well-developed sinus, with a typical triangular-like shape in lateral view and a large rostrolateral lobe (the rostromedial lobe is instead markedly small; Fig. S3c). The four ecomorphogroups largely overlap also along PC2 (10.58% of total variance).</w:t>
      </w:r>
    </w:p>
    <w:p>
      <w:pPr>
        <w:pStyle w:val="Normal"/>
        <w:bidi w:val="0"/>
        <w:spacing w:lineRule="auto" w:line="480"/>
        <w:ind w:firstLine="709"/>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This is because shape changes captured by this axis are related to rostral lobes relative size: species with a sinus showing a well-developed rostrolateral lobe and an underdeveloped rostromedial one are found on negative PC2 scores, while the species with similarly developed and small rostral lobes occupy positive values along this axis (Fig. S3c). Similarly, along PC3 (9.38% of total variance) the ecomorphogroups show a remarkable overlap, but we can see some pattern of separation among species of hypercarnivorous group-hunters (G1), such as </w:t>
      </w:r>
      <w:r>
        <w:rPr>
          <w:rFonts w:cs="Times New Roman" w:ascii="Times New Roman" w:hAnsi="Times New Roman"/>
          <w:i/>
          <w:iCs/>
          <w:sz w:val="24"/>
          <w:szCs w:val="24"/>
          <w:lang w:val="en-US"/>
        </w:rPr>
        <w:t>C. lupus</w:t>
      </w:r>
      <w:r>
        <w:rPr>
          <w:rFonts w:cs="Times New Roman" w:ascii="Times New Roman" w:hAnsi="Times New Roman"/>
          <w:sz w:val="24"/>
          <w:szCs w:val="24"/>
          <w:lang w:val="en-US"/>
        </w:rPr>
        <w:t xml:space="preserve"> and </w:t>
      </w:r>
      <w:r>
        <w:rPr>
          <w:rFonts w:cs="Times New Roman" w:ascii="Times New Roman" w:hAnsi="Times New Roman"/>
          <w:i/>
          <w:iCs/>
          <w:sz w:val="24"/>
          <w:szCs w:val="24"/>
          <w:lang w:val="en-US"/>
        </w:rPr>
        <w:t>L. pictus</w:t>
      </w:r>
      <w:r>
        <w:rPr>
          <w:rFonts w:cs="Times New Roman" w:ascii="Times New Roman" w:hAnsi="Times New Roman"/>
          <w:sz w:val="24"/>
          <w:szCs w:val="24"/>
          <w:lang w:val="en-US"/>
        </w:rPr>
        <w:t xml:space="preserve"> (on mainly positive and negative PC3 scores, respectively; Fig. S3b). The shape changes influencing PC3 are those related to the medio-lateral enlargement of the sinus (Fig. S3c). Hence, sinuses that are more rostro-caudally present positive PC3 scores, while species that present medio-laterally expanded sinuses are found on negative PC3 values (Fig. S3c). As far as the fossil species are concerned, </w:t>
      </w:r>
      <w:r>
        <w:rPr>
          <w:rFonts w:cs="Times New Roman" w:ascii="Times New Roman" w:hAnsi="Times New Roman"/>
          <w:i/>
          <w:iCs/>
          <w:sz w:val="24"/>
          <w:szCs w:val="24"/>
          <w:lang w:val="en-US"/>
        </w:rPr>
        <w:t>C. borjgali</w:t>
      </w:r>
      <w:r>
        <w:rPr>
          <w:rFonts w:cs="Times New Roman" w:ascii="Times New Roman" w:hAnsi="Times New Roman"/>
          <w:sz w:val="24"/>
          <w:szCs w:val="24"/>
          <w:lang w:val="en-US"/>
        </w:rPr>
        <w:t xml:space="preserve"> falls outside the variability of all extant species, due to the possession of an inflated rostrolateral lobe with neither rostral incision nor medial lobe (Fig. 4a-b). The remaining fossil specimens match the range of variation of extant species. In turn, </w:t>
      </w:r>
      <w:r>
        <w:rPr>
          <w:rFonts w:cs="Times New Roman" w:ascii="Times New Roman" w:hAnsi="Times New Roman"/>
          <w:i/>
          <w:iCs/>
          <w:sz w:val="24"/>
          <w:szCs w:val="24"/>
          <w:lang w:val="en-US"/>
        </w:rPr>
        <w:t>C. mosbachensis</w:t>
      </w:r>
      <w:r>
        <w:rPr>
          <w:rFonts w:cs="Times New Roman" w:ascii="Times New Roman" w:hAnsi="Times New Roman"/>
          <w:sz w:val="24"/>
          <w:szCs w:val="24"/>
          <w:lang w:val="en-US"/>
        </w:rPr>
        <w:t xml:space="preserve"> falls within the variability of G1 and G3 (mesocarnivores) along PC1 and PC3 (while being in an overlap zone also for hypocarnivores (G4) along PC2; Fig. S3a-b). The two individuals of </w:t>
      </w:r>
      <w:r>
        <w:rPr>
          <w:rFonts w:cs="Times New Roman" w:ascii="Times New Roman" w:hAnsi="Times New Roman"/>
          <w:i/>
          <w:iCs/>
          <w:sz w:val="24"/>
          <w:szCs w:val="24"/>
          <w:lang w:val="en-US"/>
        </w:rPr>
        <w:t>C. etruscus</w:t>
      </w:r>
      <w:r>
        <w:rPr>
          <w:rFonts w:cs="Times New Roman" w:ascii="Times New Roman" w:hAnsi="Times New Roman"/>
          <w:sz w:val="24"/>
          <w:szCs w:val="24"/>
          <w:lang w:val="en-US"/>
        </w:rPr>
        <w:t xml:space="preserve"> fall within the variability of all groups for PC1 scores. One of the two individuals does so also for PC2, while the other falls outside the range of G2 only. Along PC3, one of the two individuals falls inside the variation of G3 only (possibly due to similarities with </w:t>
      </w:r>
      <w:r>
        <w:rPr>
          <w:rFonts w:cs="Times New Roman" w:ascii="Times New Roman" w:hAnsi="Times New Roman"/>
          <w:i/>
          <w:iCs/>
          <w:sz w:val="24"/>
          <w:szCs w:val="24"/>
          <w:lang w:val="en-US"/>
        </w:rPr>
        <w:t>C. aureus</w:t>
      </w:r>
      <w:r>
        <w:rPr>
          <w:rFonts w:cs="Times New Roman" w:ascii="Times New Roman" w:hAnsi="Times New Roman"/>
          <w:sz w:val="24"/>
          <w:szCs w:val="24"/>
          <w:lang w:val="en-US"/>
        </w:rPr>
        <w:t xml:space="preserve">), while the other matches those of all groups besides G2 (Fig. S3a-b). Similarly, the two </w:t>
      </w:r>
      <w:r>
        <w:rPr>
          <w:rFonts w:cs="Times New Roman" w:ascii="Times New Roman" w:hAnsi="Times New Roman"/>
          <w:i/>
          <w:iCs/>
          <w:sz w:val="24"/>
          <w:szCs w:val="24"/>
          <w:lang w:val="en-US"/>
        </w:rPr>
        <w:t>Eucyon</w:t>
      </w:r>
      <w:r>
        <w:rPr>
          <w:rFonts w:cs="Times New Roman" w:ascii="Times New Roman" w:hAnsi="Times New Roman"/>
          <w:sz w:val="24"/>
          <w:szCs w:val="24"/>
          <w:lang w:val="en-US"/>
        </w:rPr>
        <w:t xml:space="preserve"> species fall within the variability of all groups along PC1 and, in the case of </w:t>
      </w:r>
      <w:r>
        <w:rPr>
          <w:rFonts w:cs="Times New Roman" w:ascii="Times New Roman" w:hAnsi="Times New Roman"/>
          <w:i/>
          <w:iCs/>
          <w:sz w:val="24"/>
          <w:szCs w:val="24"/>
          <w:lang w:val="en-US"/>
        </w:rPr>
        <w:t>E. adoxus</w:t>
      </w:r>
      <w:r>
        <w:rPr>
          <w:rFonts w:cs="Times New Roman" w:ascii="Times New Roman" w:hAnsi="Times New Roman"/>
          <w:sz w:val="24"/>
          <w:szCs w:val="24"/>
          <w:lang w:val="en-US"/>
        </w:rPr>
        <w:t xml:space="preserve">, also for PC2. Regarding PC3 scores, </w:t>
      </w:r>
      <w:r>
        <w:rPr>
          <w:rFonts w:cs="Times New Roman" w:ascii="Times New Roman" w:hAnsi="Times New Roman"/>
          <w:i/>
          <w:iCs/>
          <w:sz w:val="24"/>
          <w:szCs w:val="24"/>
          <w:lang w:val="en-US"/>
        </w:rPr>
        <w:t xml:space="preserve">E. adoxus </w:t>
      </w:r>
      <w:r>
        <w:rPr>
          <w:rFonts w:cs="Times New Roman" w:ascii="Times New Roman" w:hAnsi="Times New Roman"/>
          <w:sz w:val="24"/>
          <w:szCs w:val="24"/>
          <w:lang w:val="en-US"/>
        </w:rPr>
        <w:t xml:space="preserve">matches the distribution of all groups but G2, while </w:t>
      </w:r>
      <w:r>
        <w:rPr>
          <w:rFonts w:cs="Times New Roman" w:ascii="Times New Roman" w:hAnsi="Times New Roman"/>
          <w:i/>
          <w:iCs/>
          <w:sz w:val="24"/>
          <w:szCs w:val="24"/>
          <w:lang w:val="en-US"/>
        </w:rPr>
        <w:t xml:space="preserve">E. davisi </w:t>
      </w:r>
      <w:r>
        <w:rPr>
          <w:rFonts w:cs="Times New Roman" w:ascii="Times New Roman" w:hAnsi="Times New Roman"/>
          <w:sz w:val="24"/>
          <w:szCs w:val="24"/>
          <w:lang w:val="en-US"/>
        </w:rPr>
        <w:t>is found in the range of G1 and G3 only (Fig. S3a-b).</w:t>
      </w:r>
    </w:p>
    <w:p>
      <w:pPr>
        <w:pStyle w:val="Normal"/>
        <w:bidi w:val="0"/>
        <w:spacing w:lineRule="auto" w:line="480"/>
        <w:ind w:firstLine="709"/>
        <w:jc w:val="both"/>
        <w:rPr>
          <w:rFonts w:ascii="Times New Roman" w:hAnsi="Times New Roman" w:cs="Times New Roman"/>
          <w:sz w:val="24"/>
          <w:szCs w:val="24"/>
          <w:lang w:val="en-US"/>
        </w:rPr>
      </w:pPr>
      <w:r>
        <w:rPr>
          <w:rFonts w:cs="Times New Roman" w:ascii="Times New Roman" w:hAnsi="Times New Roman"/>
          <w:i/>
          <w:iCs/>
          <w:sz w:val="24"/>
          <w:szCs w:val="24"/>
          <w:lang w:val="en-US"/>
        </w:rPr>
        <w:t>Nyctereutes procyonoides</w:t>
      </w:r>
      <w:r>
        <w:rPr>
          <w:rFonts w:cs="Times New Roman" w:ascii="Times New Roman" w:hAnsi="Times New Roman"/>
          <w:sz w:val="24"/>
          <w:szCs w:val="24"/>
          <w:lang w:val="en-US"/>
        </w:rPr>
        <w:t xml:space="preserve"> is the only representative of the tribe Vulpini to possess a proper frontal sinus, yet it shows a very distinctive morphology (much simpler) relative to other canine species and thus distorts the morphospace in a way that makes canine taxa to be largely superimposed. To avoid the variance compression exerted by this taxon, we decided to perform also a PCA without </w:t>
      </w:r>
      <w:r>
        <w:rPr>
          <w:rFonts w:cs="Times New Roman" w:ascii="Times New Roman" w:hAnsi="Times New Roman"/>
          <w:i/>
          <w:iCs/>
          <w:sz w:val="24"/>
          <w:szCs w:val="24"/>
          <w:lang w:val="en-US"/>
        </w:rPr>
        <w:t>N. procyonoides</w:t>
      </w:r>
      <w:r>
        <w:rPr>
          <w:rFonts w:cs="Times New Roman" w:ascii="Times New Roman" w:hAnsi="Times New Roman"/>
          <w:sz w:val="24"/>
          <w:szCs w:val="24"/>
          <w:lang w:val="en-US"/>
        </w:rPr>
        <w:t>, with the goal of better assessing shape differences within Canini (Fig. S4). The first three PCs of this analysis explain less variability than the previous PCA (33.14% of total variance: PC1 = 12.43%, PC2 = 11.00% and PC3 = 9.71%). The bivariate regressions performed between each of the first three PCs of this second PCA and lnBM, lnSV and lnTL show that the PCS either do not present a significant correlation with the morphometric parameters or a significant, yet weak correlation (as we can see in Table S4, none of the significant correlations present an R</w:t>
      </w:r>
      <w:r>
        <w:rPr>
          <w:rFonts w:cs="Times New Roman" w:ascii="Times New Roman" w:hAnsi="Times New Roman"/>
          <w:sz w:val="24"/>
          <w:szCs w:val="24"/>
          <w:vertAlign w:val="superscript"/>
          <w:lang w:val="en-US"/>
        </w:rPr>
        <w:t>2</w:t>
      </w:r>
      <w:r>
        <w:rPr>
          <w:rFonts w:cs="Times New Roman" w:ascii="Times New Roman" w:hAnsi="Times New Roman"/>
          <w:sz w:val="24"/>
          <w:szCs w:val="24"/>
          <w:lang w:val="en-US"/>
        </w:rPr>
        <w:t xml:space="preserve"> higher than 0.25, meaning that the correlations explains less than 25% of the total variability along the axis).</w:t>
      </w:r>
    </w:p>
    <w:p>
      <w:pPr>
        <w:pStyle w:val="Normal"/>
        <w:bidi w:val="0"/>
        <w:spacing w:lineRule="auto" w:line="480"/>
        <w:ind w:firstLine="709"/>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Hence, also in this case lnBM, lnSV and lnTL play a marginal role in determining the shape change of the frontal sinuses here analyzed. The results of this PCA (Fig. S4a-b) show a much more compressed variability of the ecomorphogroups, especially of G4. We also see that considering PC1 (12.43% of total variance) the ecomorphogroups are more distinguished than in the previous PCA, because G1 tends to occupy the positive side of the axis (with the exception of two individuals of </w:t>
      </w:r>
      <w:r>
        <w:rPr>
          <w:rFonts w:cs="Times New Roman" w:ascii="Times New Roman" w:hAnsi="Times New Roman"/>
          <w:i/>
          <w:iCs/>
          <w:sz w:val="24"/>
          <w:szCs w:val="24"/>
          <w:lang w:val="en-US"/>
        </w:rPr>
        <w:t>C. lupus</w:t>
      </w:r>
      <w:r>
        <w:rPr>
          <w:rFonts w:cs="Times New Roman" w:ascii="Times New Roman" w:hAnsi="Times New Roman"/>
          <w:sz w:val="24"/>
          <w:szCs w:val="24"/>
          <w:lang w:val="en-US"/>
        </w:rPr>
        <w:t xml:space="preserve">), while G3 and G4 tend to occupy the negative side of this axis (Fig. S4a-b). G2 is instead placed closer to zero as far as PC1 is concerned (Fig. S4a-b). Removing </w:t>
      </w:r>
      <w:r>
        <w:rPr>
          <w:rFonts w:cs="Times New Roman" w:ascii="Times New Roman" w:hAnsi="Times New Roman"/>
          <w:i/>
          <w:iCs/>
          <w:sz w:val="24"/>
          <w:szCs w:val="24"/>
          <w:lang w:val="en-US"/>
        </w:rPr>
        <w:t>N. procyonoides</w:t>
      </w:r>
      <w:r>
        <w:rPr>
          <w:rFonts w:cs="Times New Roman" w:ascii="Times New Roman" w:hAnsi="Times New Roman"/>
          <w:sz w:val="24"/>
          <w:szCs w:val="24"/>
          <w:lang w:val="en-US"/>
        </w:rPr>
        <w:t xml:space="preserve"> from the analysis, we observe also that the shape change highlights more the differences in the morphology of the frontal sinuses of G1 and G3 because the species that present more positive values of this PC (G1) show a sinus morphology with two well-developed rostral lobes and a deep rostral incision, while species with more negative values of PC1 present a sinus morphology with a shallow rostral incision and less developed rostral lobes, in particular an underdeveloped rostromedial lobe (Fig. S4c).</w:t>
      </w:r>
    </w:p>
    <w:p>
      <w:pPr>
        <w:pStyle w:val="Normal"/>
        <w:bidi w:val="0"/>
        <w:spacing w:lineRule="auto" w:line="480"/>
        <w:ind w:firstLine="709"/>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When we consider PC2 (11.00% of total variance) the ecomorphogroups are not well distinguished because they all occupy both negative and positive values of this axis: the only exception is G4, which occupies only positive values of this PC (Fig. S4a-b). The shape change observed along this axis is almost the same observed in the previous PCA, meaning that the influence of </w:t>
      </w:r>
      <w:r>
        <w:rPr>
          <w:rFonts w:cs="Times New Roman" w:ascii="Times New Roman" w:hAnsi="Times New Roman"/>
          <w:i/>
          <w:iCs/>
          <w:sz w:val="24"/>
          <w:szCs w:val="24"/>
          <w:lang w:val="en-US"/>
        </w:rPr>
        <w:t>N. procyonoides</w:t>
      </w:r>
      <w:r>
        <w:rPr>
          <w:rFonts w:cs="Times New Roman" w:ascii="Times New Roman" w:hAnsi="Times New Roman"/>
          <w:sz w:val="24"/>
          <w:szCs w:val="24"/>
          <w:lang w:val="en-US"/>
        </w:rPr>
        <w:t xml:space="preserve"> on this axis is marginal (Fig. S4a). As far as the PC3 (9.71% of total variance) is concerned, we see that also in this case the ecomorphogroups are not well defined: the only one is G2, which occupies only positive values of this axis (Fig. S4b). The species that show more negative values of this PC show a more rostro-caudally elongated sinus with a prevalent development of the rostrolateral lobe, instead the species that fall in the positive side of this axis present a more medio-laterally enlarged sinus with an equal development of the rostral lobes (Fig. S4c). Considering the fossil specimens, we can see that they all fall within the variability of extant ecomorphogroups when we consider PC1 and PC2 (Fig. S4a). In particular, </w:t>
      </w:r>
      <w:r>
        <w:rPr>
          <w:rFonts w:cs="Times New Roman" w:ascii="Times New Roman" w:hAnsi="Times New Roman"/>
          <w:i/>
          <w:iCs/>
          <w:sz w:val="24"/>
          <w:szCs w:val="24"/>
          <w:lang w:val="en-US"/>
        </w:rPr>
        <w:t>C. borjgali</w:t>
      </w:r>
      <w:r>
        <w:rPr>
          <w:rFonts w:cs="Times New Roman" w:ascii="Times New Roman" w:hAnsi="Times New Roman"/>
          <w:sz w:val="24"/>
          <w:szCs w:val="24"/>
          <w:lang w:val="en-US"/>
        </w:rPr>
        <w:t xml:space="preserve"> falls within the variability of G3 and also really close to the variability of G1 and G4 (specifically close to one of the individuals of </w:t>
      </w:r>
      <w:r>
        <w:rPr>
          <w:rFonts w:cs="Times New Roman" w:ascii="Times New Roman" w:hAnsi="Times New Roman"/>
          <w:i/>
          <w:iCs/>
          <w:sz w:val="24"/>
          <w:szCs w:val="24"/>
          <w:lang w:val="en-US"/>
        </w:rPr>
        <w:t>C. brachyurus</w:t>
      </w:r>
      <w:r>
        <w:rPr>
          <w:rFonts w:cs="Times New Roman" w:ascii="Times New Roman" w:hAnsi="Times New Roman"/>
          <w:sz w:val="24"/>
          <w:szCs w:val="24"/>
          <w:lang w:val="en-US"/>
        </w:rPr>
        <w:t xml:space="preserve">; Fig. S4a). </w:t>
      </w:r>
      <w:r>
        <w:rPr>
          <w:rFonts w:cs="Times New Roman" w:ascii="Times New Roman" w:hAnsi="Times New Roman"/>
          <w:i/>
          <w:iCs/>
          <w:sz w:val="24"/>
          <w:szCs w:val="24"/>
          <w:lang w:val="en-US"/>
        </w:rPr>
        <w:t>Canis mosbachensis</w:t>
      </w:r>
      <w:r>
        <w:rPr>
          <w:rFonts w:cs="Times New Roman" w:ascii="Times New Roman" w:hAnsi="Times New Roman"/>
          <w:sz w:val="24"/>
          <w:szCs w:val="24"/>
          <w:lang w:val="en-US"/>
        </w:rPr>
        <w:t xml:space="preserve"> falls within the variability of G1 and G3, while the two individuals of </w:t>
      </w:r>
      <w:r>
        <w:rPr>
          <w:rFonts w:cs="Times New Roman" w:ascii="Times New Roman" w:hAnsi="Times New Roman"/>
          <w:i/>
          <w:iCs/>
          <w:sz w:val="24"/>
          <w:szCs w:val="24"/>
          <w:lang w:val="en-US"/>
        </w:rPr>
        <w:t>C. etruscus</w:t>
      </w:r>
      <w:r>
        <w:rPr>
          <w:rFonts w:cs="Times New Roman" w:ascii="Times New Roman" w:hAnsi="Times New Roman"/>
          <w:sz w:val="24"/>
          <w:szCs w:val="24"/>
          <w:lang w:val="en-US"/>
        </w:rPr>
        <w:t xml:space="preserve"> fall one just in the variability of G1 and the other in between the ranges of G1, G3 and G4 (Fig. S4a). As far as the </w:t>
      </w:r>
      <w:r>
        <w:rPr>
          <w:rFonts w:cs="Times New Roman" w:ascii="Times New Roman" w:hAnsi="Times New Roman"/>
          <w:i/>
          <w:iCs/>
          <w:sz w:val="24"/>
          <w:szCs w:val="24"/>
          <w:lang w:val="en-US"/>
        </w:rPr>
        <w:t>Eucyon</w:t>
      </w:r>
      <w:r>
        <w:rPr>
          <w:rFonts w:cs="Times New Roman" w:ascii="Times New Roman" w:hAnsi="Times New Roman"/>
          <w:sz w:val="24"/>
          <w:szCs w:val="24"/>
          <w:lang w:val="en-US"/>
        </w:rPr>
        <w:t xml:space="preserve"> species are concerned we see that they both fall within the variability of G1 and G3 and also close to the variability of G2, but </w:t>
      </w:r>
      <w:r>
        <w:rPr>
          <w:rFonts w:cs="Times New Roman" w:ascii="Times New Roman" w:hAnsi="Times New Roman"/>
          <w:i/>
          <w:iCs/>
          <w:sz w:val="24"/>
          <w:szCs w:val="24"/>
          <w:lang w:val="en-US"/>
        </w:rPr>
        <w:t>E. davisi</w:t>
      </w:r>
      <w:r>
        <w:rPr>
          <w:rFonts w:cs="Times New Roman" w:ascii="Times New Roman" w:hAnsi="Times New Roman"/>
          <w:sz w:val="24"/>
          <w:szCs w:val="24"/>
          <w:lang w:val="en-US"/>
        </w:rPr>
        <w:t xml:space="preserve"> also falls within the variability of G4 (Fig. S4a). When we consider PC3 we see that </w:t>
      </w:r>
      <w:r>
        <w:rPr>
          <w:rFonts w:cs="Times New Roman" w:ascii="Times New Roman" w:hAnsi="Times New Roman"/>
          <w:i/>
          <w:iCs/>
          <w:sz w:val="24"/>
          <w:szCs w:val="24"/>
          <w:lang w:val="en-US"/>
        </w:rPr>
        <w:t>C. borjgali</w:t>
      </w:r>
      <w:r>
        <w:rPr>
          <w:rFonts w:cs="Times New Roman" w:ascii="Times New Roman" w:hAnsi="Times New Roman"/>
          <w:sz w:val="24"/>
          <w:szCs w:val="24"/>
          <w:lang w:val="en-US"/>
        </w:rPr>
        <w:t xml:space="preserve"> falls outside the variability of all extant ecomorphogroups and so does one of the two individuals of </w:t>
      </w:r>
      <w:r>
        <w:rPr>
          <w:rFonts w:cs="Times New Roman" w:ascii="Times New Roman" w:hAnsi="Times New Roman"/>
          <w:i/>
          <w:iCs/>
          <w:sz w:val="24"/>
          <w:szCs w:val="24"/>
          <w:lang w:val="en-US"/>
        </w:rPr>
        <w:t>C. etruscus</w:t>
      </w:r>
      <w:r>
        <w:rPr>
          <w:rFonts w:cs="Times New Roman" w:ascii="Times New Roman" w:hAnsi="Times New Roman"/>
          <w:sz w:val="24"/>
          <w:szCs w:val="24"/>
          <w:lang w:val="en-US"/>
        </w:rPr>
        <w:t xml:space="preserve"> (the other one falls instead within the variability of G1, G3 and G4 and so does </w:t>
      </w:r>
      <w:r>
        <w:rPr>
          <w:rFonts w:cs="Times New Roman" w:ascii="Times New Roman" w:hAnsi="Times New Roman"/>
          <w:i/>
          <w:iCs/>
          <w:sz w:val="24"/>
          <w:szCs w:val="24"/>
          <w:lang w:val="en-US"/>
        </w:rPr>
        <w:t>C. mosbachensis</w:t>
      </w:r>
      <w:r>
        <w:rPr>
          <w:rFonts w:cs="Times New Roman" w:ascii="Times New Roman" w:hAnsi="Times New Roman"/>
          <w:sz w:val="24"/>
          <w:szCs w:val="24"/>
          <w:lang w:val="en-US"/>
        </w:rPr>
        <w:t xml:space="preserve">; Fig. S4b). </w:t>
      </w:r>
      <w:r>
        <w:rPr>
          <w:rFonts w:cs="Times New Roman" w:ascii="Times New Roman" w:hAnsi="Times New Roman"/>
          <w:i/>
          <w:iCs/>
          <w:sz w:val="24"/>
          <w:szCs w:val="24"/>
          <w:lang w:val="en-US"/>
        </w:rPr>
        <w:t>Eucyon davisi</w:t>
      </w:r>
      <w:r>
        <w:rPr>
          <w:rFonts w:cs="Times New Roman" w:ascii="Times New Roman" w:hAnsi="Times New Roman"/>
          <w:sz w:val="24"/>
          <w:szCs w:val="24"/>
          <w:lang w:val="en-US"/>
        </w:rPr>
        <w:t xml:space="preserve"> falls instead within the variability of G1 and G4, in particular close to two individuals of </w:t>
      </w:r>
      <w:r>
        <w:rPr>
          <w:rFonts w:cs="Times New Roman" w:ascii="Times New Roman" w:hAnsi="Times New Roman"/>
          <w:i/>
          <w:iCs/>
          <w:sz w:val="24"/>
          <w:szCs w:val="24"/>
          <w:lang w:val="en-US"/>
        </w:rPr>
        <w:t>Lu. adusta</w:t>
      </w:r>
      <w:r>
        <w:rPr>
          <w:rFonts w:cs="Times New Roman" w:ascii="Times New Roman" w:hAnsi="Times New Roman"/>
          <w:sz w:val="24"/>
          <w:szCs w:val="24"/>
          <w:lang w:val="en-US"/>
        </w:rPr>
        <w:t xml:space="preserve">, while </w:t>
      </w:r>
      <w:r>
        <w:rPr>
          <w:rFonts w:cs="Times New Roman" w:ascii="Times New Roman" w:hAnsi="Times New Roman"/>
          <w:i/>
          <w:iCs/>
          <w:sz w:val="24"/>
          <w:szCs w:val="24"/>
          <w:lang w:val="en-US"/>
        </w:rPr>
        <w:t>E. adoxus</w:t>
      </w:r>
      <w:r>
        <w:rPr>
          <w:rFonts w:cs="Times New Roman" w:ascii="Times New Roman" w:hAnsi="Times New Roman"/>
          <w:sz w:val="24"/>
          <w:szCs w:val="24"/>
          <w:lang w:val="en-US"/>
        </w:rPr>
        <w:t xml:space="preserve"> falls within the variability of G1 and G3 (Fig. S4b). </w:t>
      </w:r>
    </w:p>
    <w:p>
      <w:pPr>
        <w:pStyle w:val="Normal"/>
        <w:bidi w:val="0"/>
        <w:spacing w:lineRule="auto" w:line="480"/>
        <w:ind w:firstLine="709"/>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spacing w:lineRule="auto" w:line="480"/>
        <w:jc w:val="both"/>
        <w:rPr>
          <w:rFonts w:ascii="Times New Roman" w:hAnsi="Times New Roman" w:cs="Times New Roman"/>
          <w:b/>
          <w:bCs/>
          <w:sz w:val="24"/>
          <w:szCs w:val="24"/>
          <w:lang w:val="en-US"/>
        </w:rPr>
      </w:pPr>
      <w:r>
        <w:rPr>
          <w:rFonts w:cs="Times New Roman" w:ascii="Times New Roman" w:hAnsi="Times New Roman"/>
          <w:b/>
          <w:bCs/>
          <w:sz w:val="24"/>
          <w:szCs w:val="24"/>
          <w:lang w:val="en-US"/>
        </w:rPr>
        <w:t>Canonical Variate Analysis (CVA)</w:t>
      </w:r>
    </w:p>
    <w:p>
      <w:pPr>
        <w:pStyle w:val="Normal"/>
        <w:bidi w:val="0"/>
        <w:spacing w:lineRule="auto" w:line="480"/>
        <w:jc w:val="both"/>
        <w:rPr>
          <w:rFonts w:ascii="Times New Roman" w:hAnsi="Times New Roman" w:cs="Times New Roman"/>
          <w:b/>
          <w:bCs/>
          <w:lang w:val="en-US"/>
        </w:rPr>
      </w:pPr>
      <w:r>
        <w:rPr>
          <w:rFonts w:cs="Times New Roman" w:ascii="Times New Roman" w:hAnsi="Times New Roman"/>
          <w:b/>
          <w:bCs/>
          <w:lang w:val="en-US"/>
        </w:rPr>
      </w:r>
    </w:p>
    <w:p>
      <w:pPr>
        <w:pStyle w:val="Normal"/>
        <w:bidi w:val="0"/>
        <w:spacing w:lineRule="auto" w:line="480"/>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The CVA performed on the first 10 PCs (which returned the best classification results and explained 68.2% of the total variance) yielded a moderate classification accuracy for the four considered ecomorphogroups (72.4% of correctly classified individuals after cross-validation; see Table S5 for further details on the classification of the individuals). </w:t>
      </w:r>
    </w:p>
    <w:p>
      <w:pPr>
        <w:pStyle w:val="Normal"/>
        <w:bidi w:val="0"/>
        <w:spacing w:lineRule="auto" w:line="480"/>
        <w:ind w:firstLine="709"/>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Similarly to the bgPCA, the first Canonical Variate (CV1, 78.5%) discerns among G1 and G3 (with only minimal overlap). G1 species are found on positive CV1 scores (with only </w:t>
      </w:r>
      <w:r>
        <w:rPr>
          <w:rFonts w:cs="Times New Roman" w:ascii="Times New Roman" w:hAnsi="Times New Roman"/>
          <w:i/>
          <w:iCs/>
          <w:sz w:val="24"/>
          <w:szCs w:val="24"/>
          <w:lang w:val="en-US"/>
        </w:rPr>
        <w:t>Cu. alpinus</w:t>
      </w:r>
      <w:r>
        <w:rPr>
          <w:rFonts w:cs="Times New Roman" w:ascii="Times New Roman" w:hAnsi="Times New Roman"/>
          <w:sz w:val="24"/>
          <w:szCs w:val="24"/>
          <w:lang w:val="en-US"/>
        </w:rPr>
        <w:t xml:space="preserve"> that show moderately negative CV1 values). G3 taxa, instead, fall on negative CV1 values (except one individual of </w:t>
      </w:r>
      <w:r>
        <w:rPr>
          <w:rFonts w:cs="Times New Roman" w:ascii="Times New Roman" w:hAnsi="Times New Roman"/>
          <w:i/>
          <w:iCs/>
          <w:sz w:val="24"/>
          <w:szCs w:val="24"/>
          <w:lang w:val="en-US"/>
        </w:rPr>
        <w:t xml:space="preserve">Lu. mesomelas </w:t>
      </w:r>
      <w:r>
        <w:rPr>
          <w:rFonts w:cs="Times New Roman" w:ascii="Times New Roman" w:hAnsi="Times New Roman"/>
          <w:sz w:val="24"/>
          <w:szCs w:val="24"/>
          <w:lang w:val="en-US"/>
        </w:rPr>
        <w:t>found on moderately positive scores; Fig. S5a-b). G2 taxa share with G3 ones the negative range of the CV1 score distribution, while G4 specimens occupy intermediate values (moderately negative and positive scores), slightly overlapping with both G1 and G3 (Fig. S5a-b). Positive CV1 values are associated to a sinus morphology characterized by two unequally-sized rostral lobes, with the lateral one that is always larger than the medial one (Fig. S5c). Negative CV1 values imply a medio-laterally enlarged sinus, with two equally developed rostral lobes (Fig. S5c). Along CV2 (14.4% of variance), G1, G3 and G4 occupy intermediate values, thus allowing the distinction of G2 only due to its negative-most CV2 scores (Fig. S5a).</w:t>
      </w:r>
    </w:p>
    <w:p>
      <w:pPr>
        <w:pStyle w:val="Normal"/>
        <w:bidi w:val="0"/>
        <w:spacing w:lineRule="auto" w:line="480"/>
        <w:ind w:firstLine="709"/>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Species at the negative end of the distribution are characterized by a frontal sinus with a deep rostral incision and two equally-sized and well-developed rostral lobes (Fig. S5c). Positive CV2 values are instead associated with the presence of a single, well-developed rostral lobe (the lateral one) and a convex dorsal surface (Fig. S5c). Finally, we do not observe a good group separation for CV3 (6.69% of variance), where all ecomorphogroups are found on intermediate scores, with the partial exception of G4 (on negative scores only) and G2 that only marginally overlap (Fig. S5b). The species that fall on the negative side of this CV show a well-developed rostrolateral lobe that diverges from the rostromedial one and it is more developed, while the species on the positive side of the axis show a sinus with two parallel rostral lobes that are more equally developed, but differ for the presence of an additional prominence on the lateral side of the rostrolateral lobe (Fig. S5c). When fossil species are considered, </w:t>
      </w:r>
      <w:r>
        <w:rPr>
          <w:rFonts w:cs="Times New Roman" w:ascii="Times New Roman" w:hAnsi="Times New Roman"/>
          <w:i/>
          <w:iCs/>
          <w:sz w:val="24"/>
          <w:szCs w:val="24"/>
          <w:lang w:val="en-US"/>
        </w:rPr>
        <w:t>E. davisi</w:t>
      </w:r>
      <w:r>
        <w:rPr>
          <w:rFonts w:cs="Times New Roman" w:ascii="Times New Roman" w:hAnsi="Times New Roman"/>
          <w:sz w:val="24"/>
          <w:szCs w:val="24"/>
          <w:lang w:val="en-US"/>
        </w:rPr>
        <w:t xml:space="preserve"> falls only within the variability of G1 for all the first three CVs, while </w:t>
      </w:r>
      <w:r>
        <w:rPr>
          <w:rFonts w:cs="Times New Roman" w:ascii="Times New Roman" w:hAnsi="Times New Roman"/>
          <w:i/>
          <w:iCs/>
          <w:sz w:val="24"/>
          <w:szCs w:val="24"/>
          <w:lang w:val="en-US"/>
        </w:rPr>
        <w:t>E. adoxus</w:t>
      </w:r>
      <w:r>
        <w:rPr>
          <w:rFonts w:cs="Times New Roman" w:ascii="Times New Roman" w:hAnsi="Times New Roman"/>
          <w:sz w:val="24"/>
          <w:szCs w:val="24"/>
          <w:lang w:val="en-US"/>
        </w:rPr>
        <w:t xml:space="preserve"> falls also within the variability of G4 when CV2 is considered (Fig. S5a-b). As far as the fossil species of the genus </w:t>
      </w:r>
      <w:r>
        <w:rPr>
          <w:rFonts w:cs="Times New Roman" w:ascii="Times New Roman" w:hAnsi="Times New Roman"/>
          <w:i/>
          <w:iCs/>
          <w:sz w:val="24"/>
          <w:szCs w:val="24"/>
          <w:lang w:val="en-US"/>
        </w:rPr>
        <w:t xml:space="preserve">Canis </w:t>
      </w:r>
      <w:r>
        <w:rPr>
          <w:rFonts w:cs="Times New Roman" w:ascii="Times New Roman" w:hAnsi="Times New Roman"/>
          <w:sz w:val="24"/>
          <w:szCs w:val="24"/>
          <w:lang w:val="en-US"/>
        </w:rPr>
        <w:t xml:space="preserve">are concerned, </w:t>
      </w:r>
      <w:r>
        <w:rPr>
          <w:rFonts w:cs="Times New Roman" w:ascii="Times New Roman" w:hAnsi="Times New Roman"/>
          <w:i/>
          <w:iCs/>
          <w:sz w:val="24"/>
          <w:szCs w:val="24"/>
          <w:lang w:val="en-US"/>
        </w:rPr>
        <w:t>C. mosbachensis</w:t>
      </w:r>
      <w:r>
        <w:rPr>
          <w:rFonts w:cs="Times New Roman" w:ascii="Times New Roman" w:hAnsi="Times New Roman"/>
          <w:sz w:val="24"/>
          <w:szCs w:val="24"/>
          <w:lang w:val="en-US"/>
        </w:rPr>
        <w:t xml:space="preserve"> falls within the variability of G4, but when CV2 is considered it falls also within the variability of G1 (Fig. S5a-b). </w:t>
      </w:r>
      <w:r>
        <w:rPr>
          <w:rFonts w:cs="Times New Roman" w:ascii="Times New Roman" w:hAnsi="Times New Roman"/>
          <w:i/>
          <w:iCs/>
          <w:sz w:val="24"/>
          <w:szCs w:val="24"/>
          <w:lang w:val="en-US"/>
        </w:rPr>
        <w:t>Canis borjgali</w:t>
      </w:r>
      <w:r>
        <w:rPr>
          <w:rFonts w:cs="Times New Roman" w:ascii="Times New Roman" w:hAnsi="Times New Roman"/>
          <w:sz w:val="24"/>
          <w:szCs w:val="24"/>
          <w:lang w:val="en-US"/>
        </w:rPr>
        <w:t xml:space="preserve"> instead falls outside the variability of all extant ecomorphogroups when CV1 and CV2 are considered (Fig. S5a), but falls within the G1 variability when CV3 is taken into account (Fig. S5b). Finally, one of the two individuals of </w:t>
      </w:r>
      <w:r>
        <w:rPr>
          <w:rFonts w:cs="Times New Roman" w:ascii="Times New Roman" w:hAnsi="Times New Roman"/>
          <w:i/>
          <w:iCs/>
          <w:sz w:val="24"/>
          <w:szCs w:val="24"/>
          <w:lang w:val="en-US"/>
        </w:rPr>
        <w:t>C. etruscus</w:t>
      </w:r>
      <w:r>
        <w:rPr>
          <w:rFonts w:cs="Times New Roman" w:ascii="Times New Roman" w:hAnsi="Times New Roman"/>
          <w:sz w:val="24"/>
          <w:szCs w:val="24"/>
          <w:lang w:val="en-US"/>
        </w:rPr>
        <w:t xml:space="preserve"> falls close to the variability of G1 for CV1 and CV2 and within it when CV3 is considered, while the other falls within the variability of G3 when CV1 and CV2 are considered and outside the variability of all extant ecomorphogroups when CV3 is considered (Fig. S5a-b). The position in the morphospace of the fossil species is coherent with the obtained posterior probabilities based on CVA scores (Table S6). These classify </w:t>
      </w:r>
      <w:r>
        <w:rPr>
          <w:rFonts w:cs="Times New Roman" w:ascii="Times New Roman" w:hAnsi="Times New Roman"/>
          <w:i/>
          <w:iCs/>
          <w:sz w:val="24"/>
          <w:szCs w:val="24"/>
          <w:lang w:val="en-US"/>
        </w:rPr>
        <w:t>C. borjgali</w:t>
      </w:r>
      <w:r>
        <w:rPr>
          <w:rFonts w:cs="Times New Roman" w:ascii="Times New Roman" w:hAnsi="Times New Roman"/>
          <w:sz w:val="24"/>
          <w:szCs w:val="24"/>
          <w:lang w:val="en-US"/>
        </w:rPr>
        <w:t xml:space="preserve">, </w:t>
      </w:r>
      <w:r>
        <w:rPr>
          <w:rFonts w:cs="Times New Roman" w:ascii="Times New Roman" w:hAnsi="Times New Roman"/>
          <w:i/>
          <w:iCs/>
          <w:sz w:val="24"/>
          <w:szCs w:val="24"/>
          <w:lang w:val="en-US"/>
        </w:rPr>
        <w:t>C. etruscus</w:t>
      </w:r>
      <w:r>
        <w:rPr>
          <w:rFonts w:cs="Times New Roman" w:ascii="Times New Roman" w:hAnsi="Times New Roman"/>
          <w:sz w:val="24"/>
          <w:szCs w:val="24"/>
          <w:lang w:val="en-US"/>
        </w:rPr>
        <w:t xml:space="preserve"> IGF 4412, </w:t>
      </w:r>
      <w:r>
        <w:rPr>
          <w:rFonts w:cs="Times New Roman" w:ascii="Times New Roman" w:hAnsi="Times New Roman"/>
          <w:i/>
          <w:iCs/>
          <w:sz w:val="24"/>
          <w:szCs w:val="24"/>
          <w:lang w:val="en-US"/>
        </w:rPr>
        <w:t>E. davisi</w:t>
      </w:r>
      <w:r>
        <w:rPr>
          <w:rFonts w:cs="Times New Roman" w:ascii="Times New Roman" w:hAnsi="Times New Roman"/>
          <w:sz w:val="24"/>
          <w:szCs w:val="24"/>
          <w:lang w:val="en-US"/>
        </w:rPr>
        <w:t xml:space="preserve"> and </w:t>
      </w:r>
      <w:r>
        <w:rPr>
          <w:rFonts w:cs="Times New Roman" w:ascii="Times New Roman" w:hAnsi="Times New Roman"/>
          <w:i/>
          <w:iCs/>
          <w:sz w:val="24"/>
          <w:szCs w:val="24"/>
          <w:lang w:val="en-US"/>
        </w:rPr>
        <w:t>E. adoxus</w:t>
      </w:r>
      <w:r>
        <w:rPr>
          <w:rFonts w:cs="Times New Roman" w:ascii="Times New Roman" w:hAnsi="Times New Roman"/>
          <w:sz w:val="24"/>
          <w:szCs w:val="24"/>
          <w:lang w:val="en-US"/>
        </w:rPr>
        <w:t xml:space="preserve"> as G1, while </w:t>
      </w:r>
      <w:r>
        <w:rPr>
          <w:rFonts w:cs="Times New Roman" w:ascii="Times New Roman" w:hAnsi="Times New Roman"/>
          <w:i/>
          <w:iCs/>
          <w:sz w:val="24"/>
          <w:szCs w:val="24"/>
          <w:lang w:val="en-US"/>
        </w:rPr>
        <w:t>C. mosbachensis</w:t>
      </w:r>
      <w:r>
        <w:rPr>
          <w:rFonts w:cs="Times New Roman" w:ascii="Times New Roman" w:hAnsi="Times New Roman"/>
          <w:sz w:val="24"/>
          <w:szCs w:val="24"/>
          <w:lang w:val="en-US"/>
        </w:rPr>
        <w:t xml:space="preserve"> and </w:t>
      </w:r>
      <w:r>
        <w:rPr>
          <w:rFonts w:cs="Times New Roman" w:ascii="Times New Roman" w:hAnsi="Times New Roman"/>
          <w:i/>
          <w:iCs/>
          <w:sz w:val="24"/>
          <w:szCs w:val="24"/>
          <w:lang w:val="en-US"/>
        </w:rPr>
        <w:t>C. etruscus</w:t>
      </w:r>
      <w:r>
        <w:rPr>
          <w:rFonts w:cs="Times New Roman" w:ascii="Times New Roman" w:hAnsi="Times New Roman"/>
          <w:sz w:val="24"/>
          <w:szCs w:val="24"/>
          <w:lang w:val="en-US"/>
        </w:rPr>
        <w:t xml:space="preserve"> IGF 4407 as G4. Typicality probabilities (Table S7) show instead that </w:t>
      </w:r>
      <w:r>
        <w:rPr>
          <w:rFonts w:cs="Times New Roman" w:ascii="Times New Roman" w:hAnsi="Times New Roman"/>
          <w:i/>
          <w:iCs/>
          <w:sz w:val="24"/>
          <w:szCs w:val="24"/>
          <w:lang w:val="en-US"/>
        </w:rPr>
        <w:t>C. borjgali</w:t>
      </w:r>
      <w:r>
        <w:rPr>
          <w:rFonts w:cs="Times New Roman" w:ascii="Times New Roman" w:hAnsi="Times New Roman"/>
          <w:sz w:val="24"/>
          <w:szCs w:val="24"/>
          <w:lang w:val="en-US"/>
        </w:rPr>
        <w:t xml:space="preserve"> and both individuals of </w:t>
      </w:r>
      <w:r>
        <w:rPr>
          <w:rFonts w:cs="Times New Roman" w:ascii="Times New Roman" w:hAnsi="Times New Roman"/>
          <w:i/>
          <w:iCs/>
          <w:sz w:val="24"/>
          <w:szCs w:val="24"/>
          <w:lang w:val="en-US"/>
        </w:rPr>
        <w:t>C. etruscus</w:t>
      </w:r>
      <w:r>
        <w:rPr>
          <w:rFonts w:cs="Times New Roman" w:ascii="Times New Roman" w:hAnsi="Times New Roman"/>
          <w:sz w:val="24"/>
          <w:szCs w:val="24"/>
          <w:lang w:val="en-US"/>
        </w:rPr>
        <w:t xml:space="preserve"> can be considered outliers for all the extant ecomorphogroups. </w:t>
      </w:r>
      <w:r>
        <w:rPr>
          <w:rFonts w:cs="Times New Roman" w:ascii="Times New Roman" w:hAnsi="Times New Roman"/>
          <w:i/>
          <w:iCs/>
          <w:sz w:val="24"/>
          <w:szCs w:val="24"/>
          <w:lang w:val="en-US"/>
        </w:rPr>
        <w:t>Canis mosbachensis</w:t>
      </w:r>
      <w:r>
        <w:rPr>
          <w:rFonts w:cs="Times New Roman" w:ascii="Times New Roman" w:hAnsi="Times New Roman"/>
          <w:sz w:val="24"/>
          <w:szCs w:val="24"/>
          <w:lang w:val="en-US"/>
        </w:rPr>
        <w:t xml:space="preserve"> and </w:t>
      </w:r>
      <w:r>
        <w:rPr>
          <w:rFonts w:cs="Times New Roman" w:ascii="Times New Roman" w:hAnsi="Times New Roman"/>
          <w:i/>
          <w:iCs/>
          <w:sz w:val="24"/>
          <w:szCs w:val="24"/>
          <w:lang w:val="en-US"/>
        </w:rPr>
        <w:t>E. adoxus</w:t>
      </w:r>
      <w:r>
        <w:rPr>
          <w:rFonts w:cs="Times New Roman" w:ascii="Times New Roman" w:hAnsi="Times New Roman"/>
          <w:sz w:val="24"/>
          <w:szCs w:val="24"/>
          <w:lang w:val="en-US"/>
        </w:rPr>
        <w:t xml:space="preserve"> are instead outliers only for G2, while showing greatest affinities with G3 and G1, respectively (Table S7). Finally, </w:t>
      </w:r>
      <w:r>
        <w:rPr>
          <w:rFonts w:cs="Times New Roman" w:ascii="Times New Roman" w:hAnsi="Times New Roman"/>
          <w:i/>
          <w:iCs/>
          <w:sz w:val="24"/>
          <w:szCs w:val="24"/>
          <w:lang w:val="en-US"/>
        </w:rPr>
        <w:t>E. davisi</w:t>
      </w:r>
      <w:r>
        <w:rPr>
          <w:rFonts w:cs="Times New Roman" w:ascii="Times New Roman" w:hAnsi="Times New Roman"/>
          <w:sz w:val="24"/>
          <w:szCs w:val="24"/>
          <w:lang w:val="en-US"/>
        </w:rPr>
        <w:t xml:space="preserve"> matches the distribution of G1 only (Table S7).</w:t>
      </w:r>
    </w:p>
    <w:p>
      <w:pPr>
        <w:pStyle w:val="Normal"/>
        <w:bidi w:val="0"/>
        <w:spacing w:lineRule="auto" w:line="480"/>
        <w:ind w:firstLine="709"/>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When CVs are regressed against natural log-transformed body mass (lnBM) and natural log-transformed frontal sinus size (lnSL and lnSV), CV1 only shows a significant and moderate (with lnBM and lnSV) to strong correlation (lnSL) with the considered variables (Table S8). This implies that size (both in terms of body mass and cranial size) has a considerable influence on the shape differences captured by CV1. </w:t>
      </w:r>
    </w:p>
    <w:p>
      <w:pPr>
        <w:pStyle w:val="Normal"/>
        <w:bidi w:val="0"/>
        <w:spacing w:lineRule="auto" w:line="480"/>
        <w:jc w:val="both"/>
        <w:rPr>
          <w:rFonts w:ascii="Times New Roman" w:hAnsi="Times New Roman" w:cs="Times New Roman"/>
          <w:b/>
          <w:bCs/>
          <w:sz w:val="24"/>
          <w:szCs w:val="24"/>
          <w:lang w:val="en-US"/>
        </w:rPr>
      </w:pPr>
      <w:r>
        <w:rPr>
          <w:rFonts w:cs="Times New Roman" w:ascii="Times New Roman" w:hAnsi="Times New Roman"/>
          <w:b/>
          <w:bCs/>
          <w:sz w:val="24"/>
          <w:szCs w:val="24"/>
          <w:lang w:val="en-US"/>
        </w:rPr>
      </w:r>
    </w:p>
    <w:p>
      <w:pPr>
        <w:pStyle w:val="Normal"/>
        <w:bidi w:val="0"/>
        <w:spacing w:lineRule="auto" w:line="480"/>
        <w:jc w:val="both"/>
        <w:rPr>
          <w:rFonts w:ascii="Times New Roman" w:hAnsi="Times New Roman" w:cs="Times New Roman"/>
          <w:b/>
          <w:bCs/>
          <w:sz w:val="24"/>
          <w:szCs w:val="24"/>
          <w:lang w:val="en-US"/>
        </w:rPr>
      </w:pPr>
      <w:r>
        <w:rPr>
          <w:rFonts w:cs="Times New Roman" w:ascii="Times New Roman" w:hAnsi="Times New Roman"/>
          <w:b/>
          <w:bCs/>
          <w:sz w:val="24"/>
          <w:szCs w:val="24"/>
          <w:lang w:val="en-US"/>
        </w:rPr>
        <w:t>Cross Validated-between group PCA (CV-bgPCA)</w:t>
      </w:r>
    </w:p>
    <w:p>
      <w:pPr>
        <w:pStyle w:val="Normal"/>
        <w:bidi w:val="0"/>
        <w:spacing w:lineRule="auto" w:line="480"/>
        <w:jc w:val="both"/>
        <w:rPr>
          <w:rFonts w:ascii="Times New Roman" w:hAnsi="Times New Roman" w:cs="Times New Roman"/>
          <w:b/>
          <w:bCs/>
          <w:sz w:val="24"/>
          <w:szCs w:val="24"/>
          <w:lang w:val="en-US"/>
        </w:rPr>
      </w:pPr>
      <w:r>
        <w:rPr>
          <w:rFonts w:cs="Times New Roman" w:ascii="Times New Roman" w:hAnsi="Times New Roman"/>
          <w:b/>
          <w:bCs/>
          <w:sz w:val="24"/>
          <w:szCs w:val="24"/>
          <w:lang w:val="en-US"/>
        </w:rPr>
      </w:r>
    </w:p>
    <w:p>
      <w:pPr>
        <w:pStyle w:val="Normal"/>
        <w:bidi w:val="0"/>
        <w:spacing w:lineRule="auto" w:line="480" w:before="0" w:after="160"/>
        <w:jc w:val="both"/>
        <w:rPr>
          <w:rFonts w:ascii="Times New Roman" w:hAnsi="Times New Roman" w:cs="Times New Roman"/>
          <w:sz w:val="24"/>
          <w:szCs w:val="24"/>
          <w:lang w:val="en-US"/>
        </w:rPr>
      </w:pPr>
      <w:r>
        <w:rPr>
          <w:rFonts w:cs="Times New Roman" w:ascii="Times New Roman" w:hAnsi="Times New Roman"/>
          <w:sz w:val="24"/>
          <w:szCs w:val="24"/>
        </w:rPr>
        <w:t>The comparison of the results obtained from a cross-validated bgPCA (CV-bgPCA) with those for the standard bgPCA, highlights the presence of some degree of exaggerated group separation along bgPC3, as these superimpose much more broadly in the CV-bgPCA. Hence, the interpretation of group-related differences for this axis must be very cautious, they might be the result of spurious grouping (Fig. S6). When instead are considered the other two bgPCs the superimposition of the ecomorphogroups is comparable to that of the standard bgPCA, with the only exception of G2 species which present a higher degree of superimposition along bgPC2. After cross-validation, 69% of the individuals are correctly classified, down from 84.5% of the standard bgPCA (Table S9).</w:t>
      </w:r>
    </w:p>
    <w:sectPr>
      <w:type w:val="nextPage"/>
      <w:pgSz w:w="11906" w:h="16838"/>
      <w:pgMar w:left="1440" w:right="1440" w:gutter="0" w:header="0" w:top="1440" w:footer="0" w:bottom="144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Display">
    <w:charset w:val="00"/>
    <w:family w:val="roman"/>
    <w:pitch w:val="variable"/>
  </w:font>
  <w:font w:name="Liberation Sans">
    <w:altName w:val="Arial"/>
    <w:charset w:val="00"/>
    <w:family w:val="swiss"/>
    <w:pitch w:val="variable"/>
  </w:font>
  <w:font w:name="Aptos">
    <w:charset w:val="00"/>
    <w:family w:val="roman"/>
    <w:pitch w:val="variable"/>
  </w:font>
</w:fonts>
</file>

<file path=word/settings.xml><?xml version="1.0" encoding="utf-8"?>
<w:settings xmlns:w="http://schemas.openxmlformats.org/wordprocessingml/2006/main">
  <w:zoom w:percent="90"/>
  <w:defaultTabStop w:val="709"/>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it-IT" w:eastAsia="zh-CN" w:bidi="hi-IN"/>
    </w:rPr>
  </w:style>
  <w:style w:type="paragraph" w:styleId="Heading1">
    <w:name w:val="heading 1"/>
    <w:basedOn w:val="Normal"/>
    <w:next w:val="Normal"/>
    <w:qFormat/>
    <w:pPr>
      <w:keepNext w:val="true"/>
      <w:keepLines/>
      <w:numPr>
        <w:ilvl w:val="0"/>
        <w:numId w:val="0"/>
      </w:numPr>
      <w:spacing w:before="360" w:after="80"/>
      <w:outlineLvl w:val="0"/>
    </w:pPr>
    <w:rPr>
      <w:rFonts w:ascii="Aptos Display" w:hAnsi="Aptos Display" w:eastAsia="NSimSun" w:cs="Lucida Sans"/>
      <w:color w:themeColor="accent1" w:themeShade="bf" w:val="0F4761"/>
      <w:sz w:val="40"/>
      <w:szCs w:val="40"/>
    </w:rPr>
  </w:style>
  <w:style w:type="paragraph" w:styleId="Heading2">
    <w:name w:val="heading 2"/>
    <w:basedOn w:val="Normal"/>
    <w:next w:val="Normal"/>
    <w:qFormat/>
    <w:pPr>
      <w:keepNext w:val="true"/>
      <w:keepLines/>
      <w:numPr>
        <w:ilvl w:val="0"/>
        <w:numId w:val="0"/>
      </w:numPr>
      <w:spacing w:before="160" w:after="80"/>
      <w:outlineLvl w:val="1"/>
    </w:pPr>
    <w:rPr>
      <w:rFonts w:ascii="Aptos Display" w:hAnsi="Aptos Display" w:eastAsia="NSimSun" w:cs="Lucida Sans"/>
      <w:color w:themeColor="accent1" w:themeShade="bf" w:val="0F4761"/>
      <w:sz w:val="32"/>
      <w:szCs w:val="32"/>
    </w:rPr>
  </w:style>
  <w:style w:type="paragraph" w:styleId="Heading3">
    <w:name w:val="heading 3"/>
    <w:basedOn w:val="Normal"/>
    <w:next w:val="Normal"/>
    <w:qFormat/>
    <w:pPr>
      <w:keepNext w:val="true"/>
      <w:keepLines/>
      <w:numPr>
        <w:ilvl w:val="0"/>
        <w:numId w:val="0"/>
      </w:numPr>
      <w:spacing w:before="160" w:after="80"/>
      <w:outlineLvl w:val="2"/>
    </w:pPr>
    <w:rPr>
      <w:rFonts w:eastAsia="NSimSun" w:cs="Lucida Sans"/>
      <w:color w:themeColor="accent1" w:themeShade="bf" w:val="0F4761"/>
      <w:sz w:val="28"/>
      <w:szCs w:val="28"/>
    </w:rPr>
  </w:style>
  <w:style w:type="paragraph" w:styleId="Heading4">
    <w:name w:val="heading 4"/>
    <w:basedOn w:val="Normal"/>
    <w:next w:val="Normal"/>
    <w:qFormat/>
    <w:pPr>
      <w:keepNext w:val="true"/>
      <w:keepLines/>
      <w:numPr>
        <w:ilvl w:val="0"/>
        <w:numId w:val="0"/>
      </w:numPr>
      <w:spacing w:before="80" w:after="40"/>
      <w:outlineLvl w:val="3"/>
    </w:pPr>
    <w:rPr>
      <w:rFonts w:eastAsia="NSimSun" w:cs="Lucida Sans"/>
      <w:i/>
      <w:iCs/>
      <w:color w:themeColor="accent1" w:themeShade="bf" w:val="0F4761"/>
    </w:rPr>
  </w:style>
  <w:style w:type="paragraph" w:styleId="Heading5">
    <w:name w:val="heading 5"/>
    <w:basedOn w:val="Normal"/>
    <w:next w:val="Normal"/>
    <w:qFormat/>
    <w:pPr>
      <w:keepNext w:val="true"/>
      <w:keepLines/>
      <w:numPr>
        <w:ilvl w:val="0"/>
        <w:numId w:val="0"/>
      </w:numPr>
      <w:spacing w:before="80" w:after="40"/>
      <w:outlineLvl w:val="4"/>
    </w:pPr>
    <w:rPr>
      <w:rFonts w:eastAsia="NSimSun" w:cs="Lucida Sans"/>
      <w:color w:themeColor="accent1" w:themeShade="bf" w:val="0F4761"/>
    </w:rPr>
  </w:style>
  <w:style w:type="paragraph" w:styleId="Heading6">
    <w:name w:val="heading 6"/>
    <w:basedOn w:val="Normal"/>
    <w:next w:val="Normal"/>
    <w:qFormat/>
    <w:pPr>
      <w:keepNext w:val="true"/>
      <w:keepLines/>
      <w:numPr>
        <w:ilvl w:val="0"/>
        <w:numId w:val="0"/>
      </w:numPr>
      <w:spacing w:before="40" w:after="0"/>
      <w:outlineLvl w:val="5"/>
    </w:pPr>
    <w:rPr>
      <w:rFonts w:eastAsia="NSimSun" w:cs="Lucida Sans"/>
      <w:i/>
      <w:iCs/>
      <w:color w:themeColor="dark1" w:themeTint="a6" w:val="595959"/>
    </w:rPr>
  </w:style>
  <w:style w:type="paragraph" w:styleId="Heading7">
    <w:name w:val="heading 7"/>
    <w:basedOn w:val="Normal"/>
    <w:next w:val="Normal"/>
    <w:qFormat/>
    <w:pPr>
      <w:keepNext w:val="true"/>
      <w:keepLines/>
      <w:numPr>
        <w:ilvl w:val="0"/>
        <w:numId w:val="0"/>
      </w:numPr>
      <w:spacing w:before="40" w:after="0"/>
      <w:outlineLvl w:val="6"/>
    </w:pPr>
    <w:rPr>
      <w:rFonts w:eastAsia="NSimSun" w:cs="Lucida Sans"/>
      <w:color w:themeColor="dark1" w:themeTint="a6" w:val="595959"/>
    </w:rPr>
  </w:style>
  <w:style w:type="paragraph" w:styleId="Heading8">
    <w:name w:val="heading 8"/>
    <w:basedOn w:val="Normal"/>
    <w:next w:val="Normal"/>
    <w:qFormat/>
    <w:pPr>
      <w:keepNext w:val="true"/>
      <w:keepLines/>
      <w:numPr>
        <w:ilvl w:val="0"/>
        <w:numId w:val="0"/>
      </w:numPr>
      <w:spacing w:before="0" w:after="0"/>
      <w:outlineLvl w:val="7"/>
    </w:pPr>
    <w:rPr>
      <w:rFonts w:eastAsia="NSimSun" w:cs="Lucida Sans"/>
      <w:i/>
      <w:iCs/>
      <w:color w:themeColor="dark1" w:themeTint="d8" w:val="272727"/>
    </w:rPr>
  </w:style>
  <w:style w:type="paragraph" w:styleId="Heading9">
    <w:name w:val="heading 9"/>
    <w:basedOn w:val="Normal"/>
    <w:next w:val="Normal"/>
    <w:qFormat/>
    <w:pPr>
      <w:keepNext w:val="true"/>
      <w:keepLines/>
      <w:numPr>
        <w:ilvl w:val="0"/>
        <w:numId w:val="0"/>
      </w:numPr>
      <w:spacing w:before="0" w:after="0"/>
      <w:outlineLvl w:val="8"/>
    </w:pPr>
    <w:rPr>
      <w:rFonts w:eastAsia="NSimSun" w:cs="Lucida Sans"/>
      <w:color w:themeColor="dark1" w:themeTint="d8" w:val="272727"/>
    </w:rPr>
  </w:style>
  <w:style w:type="character" w:styleId="UnresolvedMention">
    <w:name w:val="Unresolved Mention"/>
    <w:basedOn w:val="DefaultParagraphFont"/>
    <w:qFormat/>
    <w:rPr>
      <w:color w:val="605E5C"/>
      <w:shd w:fill="E1DFDD" w:val="clear"/>
    </w:rPr>
  </w:style>
  <w:style w:type="character" w:styleId="Hyperlink">
    <w:name w:val="Hyperlink"/>
    <w:basedOn w:val="DefaultParagraphFont"/>
    <w:rPr>
      <w:color w:val="467886"/>
      <w:u w:val="single"/>
    </w:rPr>
  </w:style>
  <w:style w:type="character" w:styleId="SoggettocommentoCarattere">
    <w:name w:val="Soggetto commento Carattere"/>
    <w:basedOn w:val="TestocommentoCarattere"/>
    <w:qFormat/>
    <w:rPr>
      <w:b/>
      <w:bCs/>
      <w:sz w:val="20"/>
      <w:szCs w:val="20"/>
    </w:rPr>
  </w:style>
  <w:style w:type="character" w:styleId="TestocommentoCarattere">
    <w:name w:val="Testo commento Carattere"/>
    <w:basedOn w:val="DefaultParagraphFont"/>
    <w:qFormat/>
    <w:rPr>
      <w:sz w:val="20"/>
      <w:szCs w:val="20"/>
    </w:rPr>
  </w:style>
  <w:style w:type="character" w:styleId="CommentReference">
    <w:name w:val="annotation reference"/>
    <w:basedOn w:val="DefaultParagraphFont"/>
    <w:qFormat/>
    <w:rPr>
      <w:sz w:val="16"/>
      <w:szCs w:val="16"/>
    </w:rPr>
  </w:style>
  <w:style w:type="character" w:styleId="IntenseReference">
    <w:name w:val="Intense Reference"/>
    <w:basedOn w:val="DefaultParagraphFont"/>
    <w:qFormat/>
    <w:rPr>
      <w:b/>
      <w:bCs/>
      <w:smallCaps/>
      <w:color w:themeColor="accent1" w:themeShade="bf" w:val="0F4761"/>
      <w:spacing w:val="5"/>
    </w:rPr>
  </w:style>
  <w:style w:type="character" w:styleId="CitazioneintensaCarattere">
    <w:name w:val="Citazione intensa Carattere"/>
    <w:basedOn w:val="DefaultParagraphFont"/>
    <w:qFormat/>
    <w:rPr>
      <w:i/>
      <w:iCs/>
      <w:color w:themeColor="accent1" w:themeShade="bf" w:val="0F4761"/>
    </w:rPr>
  </w:style>
  <w:style w:type="character" w:styleId="IntenseEmphasis">
    <w:name w:val="Intense Emphasis"/>
    <w:basedOn w:val="DefaultParagraphFont"/>
    <w:qFormat/>
    <w:rPr>
      <w:i/>
      <w:iCs/>
      <w:color w:themeColor="accent1" w:themeShade="bf" w:val="0F4761"/>
    </w:rPr>
  </w:style>
  <w:style w:type="character" w:styleId="CitazioneCarattere">
    <w:name w:val="Citazione Carattere"/>
    <w:basedOn w:val="DefaultParagraphFont"/>
    <w:qFormat/>
    <w:rPr>
      <w:i/>
      <w:iCs/>
      <w:color w:themeColor="dark1" w:themeTint="bf" w:val="404040"/>
    </w:rPr>
  </w:style>
  <w:style w:type="character" w:styleId="SottotitoloCarattere">
    <w:name w:val="Sottotitolo Carattere"/>
    <w:basedOn w:val="DefaultParagraphFont"/>
    <w:qFormat/>
    <w:rPr>
      <w:rFonts w:eastAsia="NSimSun" w:cs="Lucida Sans"/>
      <w:color w:themeColor="dark1" w:themeTint="a6" w:val="595959"/>
      <w:spacing w:val="15"/>
      <w:sz w:val="28"/>
      <w:szCs w:val="28"/>
    </w:rPr>
  </w:style>
  <w:style w:type="character" w:styleId="TitoloCarattere">
    <w:name w:val="Titolo Carattere"/>
    <w:basedOn w:val="DefaultParagraphFont"/>
    <w:qFormat/>
    <w:rPr>
      <w:rFonts w:ascii="Aptos Display" w:hAnsi="Aptos Display" w:eastAsia="NSimSun" w:cs="Lucida Sans"/>
      <w:spacing w:val="-10"/>
      <w:kern w:val="2"/>
      <w:sz w:val="56"/>
      <w:szCs w:val="56"/>
    </w:rPr>
  </w:style>
  <w:style w:type="character" w:styleId="Titolo9Carattere">
    <w:name w:val="Titolo 9 Carattere"/>
    <w:basedOn w:val="DefaultParagraphFont"/>
    <w:qFormat/>
    <w:rPr>
      <w:rFonts w:eastAsia="NSimSun" w:cs="Lucida Sans"/>
      <w:color w:themeColor="dark1" w:themeTint="d8" w:val="272727"/>
    </w:rPr>
  </w:style>
  <w:style w:type="character" w:styleId="Titolo8Carattere">
    <w:name w:val="Titolo 8 Carattere"/>
    <w:basedOn w:val="DefaultParagraphFont"/>
    <w:qFormat/>
    <w:rPr>
      <w:rFonts w:eastAsia="NSimSun" w:cs="Lucida Sans"/>
      <w:i/>
      <w:iCs/>
      <w:color w:themeColor="dark1" w:themeTint="d8" w:val="272727"/>
    </w:rPr>
  </w:style>
  <w:style w:type="character" w:styleId="Titolo7Carattere">
    <w:name w:val="Titolo 7 Carattere"/>
    <w:basedOn w:val="DefaultParagraphFont"/>
    <w:qFormat/>
    <w:rPr>
      <w:rFonts w:eastAsia="NSimSun" w:cs="Lucida Sans"/>
      <w:color w:themeColor="dark1" w:themeTint="a6" w:val="595959"/>
    </w:rPr>
  </w:style>
  <w:style w:type="character" w:styleId="Titolo6Carattere">
    <w:name w:val="Titolo 6 Carattere"/>
    <w:basedOn w:val="DefaultParagraphFont"/>
    <w:qFormat/>
    <w:rPr>
      <w:rFonts w:eastAsia="NSimSun" w:cs="Lucida Sans"/>
      <w:i/>
      <w:iCs/>
      <w:color w:themeColor="dark1" w:themeTint="a6" w:val="595959"/>
    </w:rPr>
  </w:style>
  <w:style w:type="character" w:styleId="Titolo5Carattere">
    <w:name w:val="Titolo 5 Carattere"/>
    <w:basedOn w:val="DefaultParagraphFont"/>
    <w:qFormat/>
    <w:rPr>
      <w:rFonts w:eastAsia="NSimSun" w:cs="Lucida Sans"/>
      <w:color w:themeColor="accent1" w:themeShade="bf" w:val="0F4761"/>
    </w:rPr>
  </w:style>
  <w:style w:type="character" w:styleId="Titolo4Carattere">
    <w:name w:val="Titolo 4 Carattere"/>
    <w:basedOn w:val="DefaultParagraphFont"/>
    <w:qFormat/>
    <w:rPr>
      <w:rFonts w:eastAsia="NSimSun" w:cs="Lucida Sans"/>
      <w:i/>
      <w:iCs/>
      <w:color w:themeColor="accent1" w:themeShade="bf" w:val="0F4761"/>
    </w:rPr>
  </w:style>
  <w:style w:type="character" w:styleId="Titolo3Carattere">
    <w:name w:val="Titolo 3 Carattere"/>
    <w:basedOn w:val="DefaultParagraphFont"/>
    <w:qFormat/>
    <w:rPr>
      <w:rFonts w:eastAsia="NSimSun" w:cs="Lucida Sans"/>
      <w:color w:themeColor="accent1" w:themeShade="bf" w:val="0F4761"/>
      <w:sz w:val="28"/>
      <w:szCs w:val="28"/>
    </w:rPr>
  </w:style>
  <w:style w:type="character" w:styleId="Titolo2Carattere">
    <w:name w:val="Titolo 2 Carattere"/>
    <w:basedOn w:val="DefaultParagraphFont"/>
    <w:qFormat/>
    <w:rPr>
      <w:rFonts w:ascii="Aptos Display" w:hAnsi="Aptos Display" w:eastAsia="NSimSun" w:cs="Lucida Sans"/>
      <w:color w:themeColor="accent1" w:themeShade="bf" w:val="0F4761"/>
      <w:sz w:val="32"/>
      <w:szCs w:val="32"/>
    </w:rPr>
  </w:style>
  <w:style w:type="character" w:styleId="Titolo1Carattere">
    <w:name w:val="Titolo 1 Carattere"/>
    <w:basedOn w:val="DefaultParagraphFont"/>
    <w:qFormat/>
    <w:rPr>
      <w:rFonts w:ascii="Aptos Display" w:hAnsi="Aptos Display" w:eastAsia="NSimSun" w:cs="Lucida Sans"/>
      <w:color w:themeColor="accent1" w:themeShade="bf" w:val="0F4761"/>
      <w:sz w:val="40"/>
      <w:szCs w:val="40"/>
    </w:rPr>
  </w:style>
  <w:style w:type="character" w:styleId="DefaultParagraphFont">
    <w:name w:val="Default Paragraph Font"/>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tabellauser">
    <w:name w:val="Titolo tabella (user)"/>
    <w:basedOn w:val="Contenutotabellauser"/>
    <w:qFormat/>
    <w:pPr>
      <w:suppressLineNumbers/>
      <w:jc w:val="center"/>
    </w:pPr>
    <w:rPr>
      <w:b/>
      <w:bCs/>
    </w:rPr>
  </w:style>
  <w:style w:type="paragraph" w:styleId="Contenutotabellauser">
    <w:name w:val="Contenuto tabella (user)"/>
    <w:basedOn w:val="Normal"/>
    <w:qFormat/>
    <w:pPr>
      <w:widowControl w:val="false"/>
      <w:suppressLineNumbers/>
    </w:pPr>
    <w:rPr/>
  </w:style>
  <w:style w:type="paragraph" w:styleId="annotationsubject">
    <w:name w:val="annotation subject"/>
    <w:basedOn w:val="CommentText"/>
    <w:next w:val="CommentText"/>
    <w:qFormat/>
    <w:pPr/>
    <w:rPr>
      <w:b/>
      <w:bCs/>
    </w:rPr>
  </w:style>
  <w:style w:type="paragraph" w:styleId="Revision">
    <w:name w:val="Revision"/>
    <w:qFormat/>
    <w:pPr>
      <w:widowControl/>
      <w:suppressAutoHyphens w:val="true"/>
      <w:bidi w:val="0"/>
      <w:spacing w:lineRule="auto" w:line="240" w:before="0" w:after="0"/>
      <w:jc w:val="left"/>
    </w:pPr>
    <w:rPr>
      <w:rFonts w:ascii="Aptos" w:hAnsi="Aptos" w:eastAsia="Aptos" w:cs="Lucida Sans"/>
      <w:color w:val="auto"/>
      <w:kern w:val="2"/>
      <w:sz w:val="22"/>
      <w:szCs w:val="22"/>
      <w:lang w:val="it-IT" w:eastAsia="en-US" w:bidi="ar-SA"/>
    </w:rPr>
  </w:style>
  <w:style w:type="paragraph" w:styleId="CommentText">
    <w:name w:val="annotation text"/>
    <w:basedOn w:val="Normal"/>
    <w:pPr>
      <w:spacing w:lineRule="auto" w:line="240"/>
    </w:pPr>
    <w:rPr>
      <w:sz w:val="20"/>
      <w:szCs w:val="20"/>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jc w:val="center"/>
    </w:pPr>
    <w:rPr>
      <w:i/>
      <w:iCs/>
      <w:color w:themeColor="accent1" w:themeShade="bf" w:val="0F4761"/>
    </w:rPr>
  </w:style>
  <w:style w:type="paragraph" w:styleId="ListParagraph">
    <w:name w:val="List Paragraph"/>
    <w:basedOn w:val="Normal"/>
    <w:qFormat/>
    <w:pPr>
      <w:spacing w:before="0" w:after="160"/>
      <w:ind w:left="720"/>
      <w:contextualSpacing/>
    </w:pPr>
    <w:rPr/>
  </w:style>
  <w:style w:type="paragraph" w:styleId="Quote">
    <w:name w:val="Quote"/>
    <w:basedOn w:val="Normal"/>
    <w:next w:val="Normal"/>
    <w:qFormat/>
    <w:pPr>
      <w:spacing w:before="160" w:after="160"/>
      <w:jc w:val="center"/>
    </w:pPr>
    <w:rPr>
      <w:i/>
      <w:iCs/>
      <w:color w:themeColor="dark1" w:themeTint="bf" w:val="404040"/>
    </w:rPr>
  </w:style>
  <w:style w:type="paragraph" w:styleId="Subtitle">
    <w:name w:val="Subtitle"/>
    <w:basedOn w:val="Normal"/>
    <w:next w:val="Normal"/>
    <w:qFormat/>
    <w:pPr/>
    <w:rPr>
      <w:rFonts w:eastAsia="NSimSun" w:cs="Lucida Sans"/>
      <w:color w:themeColor="dark1" w:themeTint="a6" w:val="595959"/>
      <w:spacing w:val="15"/>
      <w:sz w:val="28"/>
      <w:szCs w:val="28"/>
    </w:rPr>
  </w:style>
  <w:style w:type="paragraph" w:styleId="Title">
    <w:name w:val="Title"/>
    <w:basedOn w:val="Normal"/>
    <w:next w:val="Normal"/>
    <w:qFormat/>
    <w:pPr>
      <w:spacing w:lineRule="auto" w:line="240" w:before="0" w:after="80"/>
      <w:contextualSpacing/>
    </w:pPr>
    <w:rPr>
      <w:rFonts w:ascii="Aptos Display" w:hAnsi="Aptos Display" w:eastAsia="NSimSun" w:cs="Lucida Sans"/>
      <w:spacing w:val="-10"/>
      <w:kern w:val="2"/>
      <w:sz w:val="56"/>
      <w:szCs w:val="56"/>
    </w:rPr>
  </w:style>
  <w:style w:type="paragraph" w:styleId="Indiceuser">
    <w:name w:val="Indice (user)"/>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numbering" w:styleId="Nessunelenco">
    <w:name w:val="Nessun elenco"/>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LibreOffice/25.8.3.2$Windows_X86_64 LibreOffice_project/8ca8d55c161d602844f5428fa4b58097424e324e</Application>
  <AppVersion>15.0000</AppVersion>
  <Pages>7</Pages>
  <Words>2243</Words>
  <Characters>11514</Characters>
  <CharactersWithSpaces>13746</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2026-01-22T00:14:38Z</dcterms:created>
  <dc:creator/>
  <dc:description/>
  <dc:language>it-IT</dc:language>
  <cp:lastModifiedBy/>
  <dcterms:modified xsi:type="dcterms:W3CDTF">2026-01-22T00:15:18Z</dcterms:modified>
  <cp:revision>1</cp:revision>
  <dc:subject/>
  <dc:title/>
</cp:coreProperties>
</file>