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1D37E" w14:textId="51AA95B5" w:rsidR="003A79E4" w:rsidRPr="003A79E4" w:rsidRDefault="003A79E4" w:rsidP="003A79E4">
      <w:pPr>
        <w:spacing w:line="360" w:lineRule="auto"/>
        <w:rPr>
          <w:rFonts w:ascii="Times New Roman" w:hAnsi="Times New Roman" w:cs="Times New Roman"/>
          <w:b/>
          <w:sz w:val="40"/>
          <w:szCs w:val="40"/>
          <w:lang w:val="it-IT"/>
        </w:rPr>
      </w:pPr>
      <w:r w:rsidRPr="00EA3D4F">
        <w:rPr>
          <w:rFonts w:ascii="Times New Roman" w:hAnsi="Times New Roman" w:cs="Times New Roman"/>
          <w:b/>
          <w:sz w:val="40"/>
          <w:szCs w:val="40"/>
        </w:rPr>
        <w:t>Interpretable Machine Learning to Anticipate the Diagnostic Yield of EEG</w:t>
      </w:r>
      <w:r>
        <w:rPr>
          <w:rFonts w:ascii="Times New Roman" w:hAnsi="Times New Roman" w:cs="Times New Roman"/>
          <w:b/>
          <w:sz w:val="40"/>
          <w:szCs w:val="40"/>
        </w:rPr>
        <w:t xml:space="preserve"> in the Emergency department.</w:t>
      </w:r>
      <w:r w:rsidRPr="00EA3D4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A79E4">
        <w:rPr>
          <w:rFonts w:ascii="Times New Roman" w:hAnsi="Times New Roman" w:cs="Times New Roman"/>
          <w:b/>
          <w:sz w:val="40"/>
          <w:szCs w:val="40"/>
          <w:lang w:val="it-IT"/>
        </w:rPr>
        <w:t>The EMINENCE study</w:t>
      </w:r>
    </w:p>
    <w:p w14:paraId="50BB8022" w14:textId="77777777" w:rsidR="003A79E4" w:rsidRPr="003A79E4" w:rsidRDefault="003A79E4" w:rsidP="003A79E4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32"/>
          <w:lang w:val="it-IT"/>
        </w:rPr>
      </w:pPr>
      <w:proofErr w:type="spellStart"/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>Maenia</w:t>
      </w:r>
      <w:proofErr w:type="spellEnd"/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 xml:space="preserve"> Scarpino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  <w:lang w:val="it-IT"/>
        </w:rPr>
        <w:t>1</w:t>
      </w:r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>, Ester Marra</w:t>
      </w:r>
      <w:proofErr w:type="gramStart"/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  <w:lang w:val="it-IT"/>
        </w:rPr>
        <w:t>2,*</w:t>
      </w:r>
      <w:proofErr w:type="gramEnd"/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>, Piergiuseppe Liuzzi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  <w:lang w:val="it-IT"/>
        </w:rPr>
        <w:t>2</w:t>
      </w:r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>, Benedetta Piccardi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  <w:lang w:val="it-IT"/>
        </w:rPr>
        <w:t>3</w:t>
      </w:r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 xml:space="preserve">, </w:t>
      </w:r>
      <w:proofErr w:type="spellStart"/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>Peiman</w:t>
      </w:r>
      <w:proofErr w:type="spellEnd"/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 xml:space="preserve"> Nazerian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  <w:lang w:val="it-IT"/>
        </w:rPr>
        <w:t>4</w:t>
      </w:r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>, Ilaria Sgrilli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  <w:lang w:val="it-IT"/>
        </w:rPr>
        <w:t>1</w:t>
      </w:r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>, Andrea Mannini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  <w:lang w:val="it-IT"/>
        </w:rPr>
        <w:t>2</w:t>
      </w:r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>, Andrea Nencioni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  <w:lang w:val="it-IT"/>
        </w:rPr>
        <w:t>4, †</w:t>
      </w:r>
      <w:r w:rsidRPr="003A79E4">
        <w:rPr>
          <w:rFonts w:ascii="Times New Roman" w:hAnsi="Times New Roman" w:cs="Times New Roman"/>
          <w:bCs/>
          <w:sz w:val="32"/>
          <w:szCs w:val="32"/>
          <w:lang w:val="it-IT"/>
        </w:rPr>
        <w:t>, Antonello Grippo</w:t>
      </w:r>
      <w:r w:rsidRPr="003A79E4">
        <w:rPr>
          <w:rFonts w:ascii="Times New Roman" w:hAnsi="Times New Roman" w:cs="Times New Roman"/>
          <w:bCs/>
          <w:sz w:val="32"/>
          <w:szCs w:val="32"/>
          <w:vertAlign w:val="superscript"/>
          <w:lang w:val="it-IT"/>
        </w:rPr>
        <w:t>1,†</w:t>
      </w:r>
    </w:p>
    <w:p w14:paraId="442F7FD4" w14:textId="77777777" w:rsidR="003A79E4" w:rsidRPr="006C5634" w:rsidRDefault="003A79E4" w:rsidP="003A79E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634">
        <w:rPr>
          <w:rFonts w:ascii="Times New Roman" w:hAnsi="Times New Roman" w:cs="Times New Roman"/>
          <w:bCs/>
          <w:sz w:val="32"/>
          <w:szCs w:val="32"/>
          <w:vertAlign w:val="superscript"/>
        </w:rPr>
        <w:t>†</w:t>
      </w:r>
      <w:proofErr w:type="spellStart"/>
      <w:r w:rsidRPr="006C5634">
        <w:rPr>
          <w:rFonts w:ascii="Times New Roman" w:hAnsi="Times New Roman" w:cs="Times New Roman"/>
          <w:bCs/>
          <w:sz w:val="24"/>
          <w:szCs w:val="24"/>
        </w:rPr>
        <w:t>Dr.</w:t>
      </w:r>
      <w:proofErr w:type="spellEnd"/>
      <w:r w:rsidRPr="006C5634">
        <w:rPr>
          <w:rFonts w:ascii="Times New Roman" w:hAnsi="Times New Roman" w:cs="Times New Roman"/>
          <w:bCs/>
          <w:sz w:val="24"/>
          <w:szCs w:val="24"/>
        </w:rPr>
        <w:t xml:space="preserve"> Antonello </w:t>
      </w:r>
      <w:proofErr w:type="spellStart"/>
      <w:r w:rsidRPr="006C5634">
        <w:rPr>
          <w:rFonts w:ascii="Times New Roman" w:hAnsi="Times New Roman" w:cs="Times New Roman"/>
          <w:bCs/>
          <w:sz w:val="24"/>
          <w:szCs w:val="24"/>
        </w:rPr>
        <w:t>Grippo</w:t>
      </w:r>
      <w:proofErr w:type="spellEnd"/>
      <w:r w:rsidRPr="006C5634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Dr.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C5634">
        <w:rPr>
          <w:rFonts w:ascii="Times New Roman" w:hAnsi="Times New Roman" w:cs="Times New Roman"/>
          <w:bCs/>
          <w:sz w:val="24"/>
          <w:szCs w:val="24"/>
        </w:rPr>
        <w:t xml:space="preserve">Andrea </w:t>
      </w:r>
      <w:proofErr w:type="spellStart"/>
      <w:r w:rsidRPr="006C5634">
        <w:rPr>
          <w:rFonts w:ascii="Times New Roman" w:hAnsi="Times New Roman" w:cs="Times New Roman"/>
          <w:bCs/>
          <w:sz w:val="24"/>
          <w:szCs w:val="24"/>
        </w:rPr>
        <w:t>Nencioni</w:t>
      </w:r>
      <w:proofErr w:type="spellEnd"/>
      <w:r w:rsidRPr="006C5634">
        <w:rPr>
          <w:rFonts w:ascii="Times New Roman" w:hAnsi="Times New Roman" w:cs="Times New Roman"/>
          <w:bCs/>
          <w:sz w:val="24"/>
          <w:szCs w:val="24"/>
        </w:rPr>
        <w:t xml:space="preserve"> contributed equally to the manuscript</w:t>
      </w:r>
    </w:p>
    <w:p w14:paraId="6D47BBEF" w14:textId="77777777" w:rsidR="003A79E4" w:rsidRPr="006C5634" w:rsidRDefault="003A79E4" w:rsidP="003A79E4">
      <w:pPr>
        <w:spacing w:line="360" w:lineRule="auto"/>
        <w:jc w:val="both"/>
        <w:rPr>
          <w:rFonts w:ascii="Times New Roman" w:hAnsi="Times New Roman" w:cs="Times New Roman"/>
        </w:rPr>
      </w:pPr>
    </w:p>
    <w:p w14:paraId="7401AA72" w14:textId="77777777" w:rsidR="003A79E4" w:rsidRPr="00EA3D4F" w:rsidRDefault="003A79E4" w:rsidP="003A79E4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A3D4F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Neurophysiopathology Unit, </w:t>
      </w:r>
      <w:proofErr w:type="spellStart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>Careggi</w:t>
      </w:r>
      <w:proofErr w:type="spellEnd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University Hospital, Florence, Italy</w:t>
      </w:r>
    </w:p>
    <w:p w14:paraId="7EF4C388" w14:textId="77777777" w:rsidR="003A79E4" w:rsidRPr="00EA3D4F" w:rsidRDefault="003A79E4" w:rsidP="003A79E4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A3D4F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2</w:t>
      </w:r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>IRCCS Don Carlo Gnocchi ONLUS, Florence, Italy</w:t>
      </w:r>
    </w:p>
    <w:p w14:paraId="0EFE3CCF" w14:textId="77777777" w:rsidR="003A79E4" w:rsidRPr="00EA3D4F" w:rsidRDefault="003A79E4" w:rsidP="003A79E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3</w:t>
      </w:r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Stroke Unit, </w:t>
      </w:r>
      <w:proofErr w:type="spellStart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>Careggi</w:t>
      </w:r>
      <w:proofErr w:type="spellEnd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University Hospital</w:t>
      </w:r>
      <w:r w:rsidRPr="00EA3D4F">
        <w:rPr>
          <w:rFonts w:ascii="Times New Roman" w:hAnsi="Times New Roman" w:cs="Times New Roman"/>
          <w:sz w:val="24"/>
          <w:szCs w:val="24"/>
          <w:lang w:val="en-US"/>
        </w:rPr>
        <w:t>, Florence, Italy</w:t>
      </w:r>
    </w:p>
    <w:p w14:paraId="4A6F832D" w14:textId="77777777" w:rsidR="003A79E4" w:rsidRPr="00EA3D4F" w:rsidRDefault="003A79E4" w:rsidP="003A79E4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4</w:t>
      </w:r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Emergency Department, </w:t>
      </w:r>
      <w:proofErr w:type="spellStart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>Careggi</w:t>
      </w:r>
      <w:proofErr w:type="spellEnd"/>
      <w:r w:rsidRPr="00EA3D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University Hospital, Florence, Italy</w:t>
      </w:r>
    </w:p>
    <w:p w14:paraId="3308351B" w14:textId="57E87645" w:rsidR="003A79E4" w:rsidRDefault="003A79E4" w:rsidP="003A79E4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3A79E4">
        <w:rPr>
          <w:rFonts w:ascii="Times New Roman" w:hAnsi="Times New Roman" w:cs="Times New Roman"/>
          <w:sz w:val="24"/>
          <w:szCs w:val="24"/>
          <w:lang w:val="it-IT"/>
        </w:rPr>
        <w:t>*</w:t>
      </w:r>
      <w:proofErr w:type="spellStart"/>
      <w:r w:rsidRPr="003A79E4">
        <w:rPr>
          <w:rFonts w:ascii="Times New Roman" w:hAnsi="Times New Roman" w:cs="Times New Roman"/>
          <w:sz w:val="24"/>
          <w:szCs w:val="24"/>
          <w:lang w:val="it-IT"/>
        </w:rPr>
        <w:t>Correspondence</w:t>
      </w:r>
      <w:proofErr w:type="spellEnd"/>
      <w:r w:rsidRPr="003A79E4">
        <w:rPr>
          <w:rFonts w:ascii="Times New Roman" w:hAnsi="Times New Roman" w:cs="Times New Roman"/>
          <w:sz w:val="24"/>
          <w:szCs w:val="24"/>
          <w:lang w:val="it-IT"/>
        </w:rPr>
        <w:t xml:space="preserve"> to: Ester Marra, </w:t>
      </w:r>
      <w:hyperlink r:id="rId4" w:history="1">
        <w:r w:rsidRPr="003A79E4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emarra@dongnocchi.it</w:t>
        </w:r>
      </w:hyperlink>
      <w:r w:rsidRPr="003A79E4">
        <w:rPr>
          <w:rFonts w:ascii="Times New Roman" w:hAnsi="Times New Roman" w:cs="Times New Roman"/>
          <w:sz w:val="24"/>
          <w:szCs w:val="24"/>
          <w:lang w:val="it-IT"/>
        </w:rPr>
        <w:t>, +39 3394494745, IRCCS Fondazione Don Carlo Gnocchi ONLUS, Firenze, Via di Scandicci 269, Fi, IT.</w:t>
      </w:r>
    </w:p>
    <w:p w14:paraId="0C0E125B" w14:textId="77777777" w:rsidR="003A79E4" w:rsidRPr="003A79E4" w:rsidRDefault="003A79E4" w:rsidP="003A79E4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259E9001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61B48513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01918403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06CF2F09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653F6A7D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0BF34157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3C86F3E8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0002B563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1821581F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3EC7738D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593DD094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0F5BB756" w14:textId="77777777" w:rsidR="003A79E4" w:rsidRDefault="003A79E4">
      <w:pPr>
        <w:rPr>
          <w:rFonts w:ascii="Times New Roman" w:hAnsi="Times New Roman" w:cs="Times New Roman"/>
          <w:lang w:val="it-IT"/>
        </w:rPr>
      </w:pPr>
    </w:p>
    <w:p w14:paraId="6AD72898" w14:textId="62505234" w:rsidR="003A79E4" w:rsidRPr="007C02DD" w:rsidRDefault="003A79E4" w:rsidP="00A80285">
      <w:pPr>
        <w:rPr>
          <w:rFonts w:ascii="Times New Roman" w:hAnsi="Times New Roman" w:cs="Times New Roman"/>
        </w:rPr>
      </w:pPr>
      <w:r w:rsidRPr="0049074C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A80285">
        <w:rPr>
          <w:rFonts w:ascii="Times New Roman" w:hAnsi="Times New Roman" w:cs="Times New Roman"/>
          <w:b/>
          <w:bCs/>
        </w:rPr>
        <w:t xml:space="preserve">S2. </w:t>
      </w:r>
      <w:r w:rsidRPr="003A79E4">
        <w:rPr>
          <w:rFonts w:ascii="Times New Roman" w:hAnsi="Times New Roman" w:cs="Times New Roman"/>
        </w:rPr>
        <w:t xml:space="preserve">Outcome yields by admission diagnostic-suspicion subgroup. For each subgroup, the table reports the number and percentage of positive outcomes for Abnormal, Epileptiform, Rule-Out, and Confirmed tasks. </w:t>
      </w:r>
    </w:p>
    <w:tbl>
      <w:tblPr>
        <w:tblW w:w="9440" w:type="dxa"/>
        <w:tblLook w:val="04A0" w:firstRow="1" w:lastRow="0" w:firstColumn="1" w:lastColumn="0" w:noHBand="0" w:noVBand="1"/>
      </w:tblPr>
      <w:tblGrid>
        <w:gridCol w:w="3148"/>
        <w:gridCol w:w="1573"/>
        <w:gridCol w:w="1573"/>
        <w:gridCol w:w="1573"/>
        <w:gridCol w:w="1573"/>
      </w:tblGrid>
      <w:tr w:rsidR="003A79E4" w:rsidRPr="00130D9C" w14:paraId="384C7F89" w14:textId="77777777" w:rsidTr="00C550D7">
        <w:trPr>
          <w:trHeight w:val="284"/>
        </w:trPr>
        <w:tc>
          <w:tcPr>
            <w:tcW w:w="3148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auto"/>
            <w:noWrap/>
            <w:vAlign w:val="center"/>
            <w:hideMark/>
          </w:tcPr>
          <w:p w14:paraId="6A252A96" w14:textId="77777777" w:rsidR="003A79E4" w:rsidRPr="00130D9C" w:rsidRDefault="003A79E4" w:rsidP="00C5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Diagnosis</w:t>
            </w:r>
          </w:p>
        </w:tc>
        <w:tc>
          <w:tcPr>
            <w:tcW w:w="1573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auto"/>
            <w:noWrap/>
            <w:vAlign w:val="center"/>
            <w:hideMark/>
          </w:tcPr>
          <w:p w14:paraId="2EDFAEC2" w14:textId="77777777" w:rsidR="003A79E4" w:rsidRPr="00130D9C" w:rsidRDefault="003A79E4" w:rsidP="00C5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Abnormal</w:t>
            </w:r>
          </w:p>
        </w:tc>
        <w:tc>
          <w:tcPr>
            <w:tcW w:w="1573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auto"/>
            <w:noWrap/>
            <w:vAlign w:val="center"/>
            <w:hideMark/>
          </w:tcPr>
          <w:p w14:paraId="56402264" w14:textId="77777777" w:rsidR="003A79E4" w:rsidRPr="00130D9C" w:rsidRDefault="003A79E4" w:rsidP="00C5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Epileptiform</w:t>
            </w:r>
          </w:p>
        </w:tc>
        <w:tc>
          <w:tcPr>
            <w:tcW w:w="1573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auto"/>
            <w:noWrap/>
            <w:vAlign w:val="center"/>
            <w:hideMark/>
          </w:tcPr>
          <w:p w14:paraId="75742EF7" w14:textId="77777777" w:rsidR="003A79E4" w:rsidRPr="00130D9C" w:rsidRDefault="003A79E4" w:rsidP="00C5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Rule-Out</w:t>
            </w:r>
          </w:p>
        </w:tc>
        <w:tc>
          <w:tcPr>
            <w:tcW w:w="1573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auto"/>
            <w:noWrap/>
            <w:vAlign w:val="center"/>
            <w:hideMark/>
          </w:tcPr>
          <w:p w14:paraId="053AB55E" w14:textId="77777777" w:rsidR="003A79E4" w:rsidRPr="00130D9C" w:rsidRDefault="003A79E4" w:rsidP="00C55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Confirmed</w:t>
            </w:r>
          </w:p>
        </w:tc>
      </w:tr>
      <w:tr w:rsidR="003A79E4" w:rsidRPr="00130D9C" w14:paraId="390F7B03" w14:textId="77777777" w:rsidTr="00C550D7">
        <w:trPr>
          <w:trHeight w:val="263"/>
        </w:trPr>
        <w:tc>
          <w:tcPr>
            <w:tcW w:w="3148" w:type="dxa"/>
            <w:tcBorders>
              <w:top w:val="double" w:sz="4" w:space="0" w:color="000000"/>
            </w:tcBorders>
            <w:shd w:val="clear" w:color="auto" w:fill="auto"/>
            <w:noWrap/>
            <w:vAlign w:val="bottom"/>
            <w:hideMark/>
          </w:tcPr>
          <w:p w14:paraId="69C580EF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LoC</w:t>
            </w:r>
          </w:p>
        </w:tc>
        <w:tc>
          <w:tcPr>
            <w:tcW w:w="1573" w:type="dxa"/>
            <w:tcBorders>
              <w:top w:val="double" w:sz="4" w:space="0" w:color="000000"/>
            </w:tcBorders>
            <w:shd w:val="clear" w:color="auto" w:fill="auto"/>
            <w:noWrap/>
            <w:vAlign w:val="center"/>
            <w:hideMark/>
          </w:tcPr>
          <w:p w14:paraId="58F04CAE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109 (47.6%)</w:t>
            </w:r>
          </w:p>
        </w:tc>
        <w:tc>
          <w:tcPr>
            <w:tcW w:w="1573" w:type="dxa"/>
            <w:tcBorders>
              <w:top w:val="double" w:sz="4" w:space="0" w:color="000000"/>
            </w:tcBorders>
            <w:shd w:val="clear" w:color="auto" w:fill="auto"/>
            <w:noWrap/>
            <w:vAlign w:val="center"/>
            <w:hideMark/>
          </w:tcPr>
          <w:p w14:paraId="15BA92B8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24 (10.5%)</w:t>
            </w:r>
          </w:p>
        </w:tc>
        <w:tc>
          <w:tcPr>
            <w:tcW w:w="1573" w:type="dxa"/>
            <w:tcBorders>
              <w:top w:val="double" w:sz="4" w:space="0" w:color="000000"/>
            </w:tcBorders>
            <w:shd w:val="clear" w:color="auto" w:fill="auto"/>
            <w:noWrap/>
            <w:vAlign w:val="center"/>
            <w:hideMark/>
          </w:tcPr>
          <w:p w14:paraId="319B58B6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145 (63.3%)</w:t>
            </w:r>
          </w:p>
        </w:tc>
        <w:tc>
          <w:tcPr>
            <w:tcW w:w="1573" w:type="dxa"/>
            <w:tcBorders>
              <w:top w:val="double" w:sz="4" w:space="0" w:color="000000"/>
            </w:tcBorders>
            <w:shd w:val="clear" w:color="auto" w:fill="auto"/>
            <w:noWrap/>
            <w:vAlign w:val="center"/>
            <w:hideMark/>
          </w:tcPr>
          <w:p w14:paraId="2FA71CFA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22 (9.6%)</w:t>
            </w:r>
          </w:p>
        </w:tc>
      </w:tr>
      <w:tr w:rsidR="003A79E4" w:rsidRPr="00130D9C" w14:paraId="2FA6E139" w14:textId="77777777" w:rsidTr="00C550D7">
        <w:trPr>
          <w:trHeight w:val="263"/>
        </w:trPr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21EEF3EA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Absence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671018F8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38 (70.4%)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6F9ACE70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10 (18.5%)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20EE918E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21 (38.9%)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7B52B997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9 (16.7%)</w:t>
            </w:r>
          </w:p>
        </w:tc>
      </w:tr>
      <w:tr w:rsidR="003A79E4" w:rsidRPr="00130D9C" w14:paraId="2DE8F6BA" w14:textId="77777777" w:rsidTr="00C550D7">
        <w:trPr>
          <w:trHeight w:val="263"/>
        </w:trPr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301B1BDA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Fall of Unknown dynamics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1B08535D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31 (59.6%)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2972D01B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3 (5.8%)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34A673ED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33 (63.5%)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70BA15F3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3 (5.8%)</w:t>
            </w:r>
          </w:p>
        </w:tc>
      </w:tr>
      <w:tr w:rsidR="003A79E4" w:rsidRPr="00130D9C" w14:paraId="5F28B25C" w14:textId="77777777" w:rsidTr="00C550D7">
        <w:trPr>
          <w:trHeight w:val="263"/>
        </w:trPr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5D4E0354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TIA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14E28B7B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70 (56.9%)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520D989E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6 (4.9%)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6EA4C24F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84 (68.3%)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41BF3388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9 (7.3%)</w:t>
            </w:r>
          </w:p>
        </w:tc>
      </w:tr>
      <w:tr w:rsidR="003A79E4" w:rsidRPr="00130D9C" w14:paraId="462D0FA7" w14:textId="77777777" w:rsidTr="00C550D7">
        <w:trPr>
          <w:trHeight w:val="263"/>
        </w:trPr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374F57FA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Head Trauma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79EEE284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43 (67.2%)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5C74D3D8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6 (9.4%)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08EFE2E8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42 (65.6%)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75E0A529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6 (9.4%)</w:t>
            </w:r>
          </w:p>
        </w:tc>
      </w:tr>
      <w:tr w:rsidR="003A79E4" w:rsidRPr="00130D9C" w14:paraId="7E993662" w14:textId="77777777" w:rsidTr="00C550D7">
        <w:trPr>
          <w:trHeight w:val="263"/>
        </w:trPr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49BE59F3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Status Epilepticus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268DA8C7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30 (90.9%)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2390AA8B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20 (60.6%)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7FEB5E93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4 (12.1%)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03982391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20 (60.6%)</w:t>
            </w:r>
          </w:p>
        </w:tc>
      </w:tr>
      <w:tr w:rsidR="003A79E4" w:rsidRPr="00130D9C" w14:paraId="6CDEFC94" w14:textId="77777777" w:rsidTr="00C550D7">
        <w:trPr>
          <w:trHeight w:val="263"/>
        </w:trPr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56C83D18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Epileptic Seizure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5ADCA659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309 (76.5%)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5DE67BFF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131 (32.4%)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6E2FD367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75 (18.6%)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3BCE1A98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133 (32.9%)</w:t>
            </w:r>
          </w:p>
        </w:tc>
      </w:tr>
      <w:tr w:rsidR="003A79E4" w:rsidRPr="00130D9C" w14:paraId="38D3951D" w14:textId="77777777" w:rsidTr="00C550D7">
        <w:trPr>
          <w:trHeight w:val="263"/>
        </w:trPr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418C9EEB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Transient Global Amnesia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4AB97F9A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12 (33.3%)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496115CE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0 (0.0%)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2C8E5807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34 (94.4%)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6BD3D65D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0 (0.0%)</w:t>
            </w:r>
          </w:p>
        </w:tc>
      </w:tr>
      <w:tr w:rsidR="003A79E4" w:rsidRPr="00130D9C" w14:paraId="4E110F78" w14:textId="77777777" w:rsidTr="00C550D7">
        <w:trPr>
          <w:trHeight w:val="263"/>
        </w:trPr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280C3F98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Altered Consciousness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78F07DB0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80 (94.1%)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3D12B01D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14 (16.5%)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10FB2706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57 (67.1%)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0E14C688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9 (10.6%)</w:t>
            </w:r>
          </w:p>
        </w:tc>
      </w:tr>
      <w:tr w:rsidR="003A79E4" w:rsidRPr="00130D9C" w14:paraId="7E285A77" w14:textId="77777777" w:rsidTr="00C550D7">
        <w:trPr>
          <w:trHeight w:val="263"/>
        </w:trPr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7F8B540B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Stroke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1F2427F4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104 (79.4%)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491D7C27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17 (13.0%)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0B30CD12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78 (59.5%)</w:t>
            </w:r>
          </w:p>
        </w:tc>
        <w:tc>
          <w:tcPr>
            <w:tcW w:w="1573" w:type="dxa"/>
            <w:shd w:val="clear" w:color="auto" w:fill="auto"/>
            <w:noWrap/>
            <w:vAlign w:val="center"/>
            <w:hideMark/>
          </w:tcPr>
          <w:p w14:paraId="6A37EA67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eastAsia="Times New Roman" w:hAnsi="Times New Roman" w:cs="Times New Roman"/>
                <w:lang w:eastAsia="en-GB"/>
              </w:rPr>
              <w:t>17 (13.0%)</w:t>
            </w:r>
          </w:p>
        </w:tc>
      </w:tr>
      <w:tr w:rsidR="003A79E4" w:rsidRPr="00130D9C" w14:paraId="0F93889F" w14:textId="77777777" w:rsidTr="00C550D7">
        <w:trPr>
          <w:trHeight w:val="263"/>
        </w:trPr>
        <w:tc>
          <w:tcPr>
            <w:tcW w:w="3148" w:type="dxa"/>
            <w:shd w:val="clear" w:color="auto" w:fill="auto"/>
            <w:noWrap/>
          </w:tcPr>
          <w:p w14:paraId="6D237A65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573" w:type="dxa"/>
            <w:shd w:val="clear" w:color="auto" w:fill="auto"/>
            <w:noWrap/>
          </w:tcPr>
          <w:p w14:paraId="051B5594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hAnsi="Times New Roman" w:cs="Times New Roman"/>
              </w:rPr>
              <w:t>11 (91.7%)</w:t>
            </w:r>
          </w:p>
        </w:tc>
        <w:tc>
          <w:tcPr>
            <w:tcW w:w="1573" w:type="dxa"/>
            <w:shd w:val="clear" w:color="auto" w:fill="auto"/>
            <w:noWrap/>
          </w:tcPr>
          <w:p w14:paraId="04AEBD00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hAnsi="Times New Roman" w:cs="Times New Roman"/>
              </w:rPr>
              <w:t>3 (25.0%)</w:t>
            </w:r>
          </w:p>
        </w:tc>
        <w:tc>
          <w:tcPr>
            <w:tcW w:w="1573" w:type="dxa"/>
            <w:shd w:val="clear" w:color="auto" w:fill="auto"/>
            <w:noWrap/>
          </w:tcPr>
          <w:p w14:paraId="3E955F40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hAnsi="Times New Roman" w:cs="Times New Roman"/>
              </w:rPr>
              <w:t>7 (58.3%)</w:t>
            </w:r>
          </w:p>
        </w:tc>
        <w:tc>
          <w:tcPr>
            <w:tcW w:w="1573" w:type="dxa"/>
            <w:shd w:val="clear" w:color="auto" w:fill="auto"/>
            <w:noWrap/>
          </w:tcPr>
          <w:p w14:paraId="0373E136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hAnsi="Times New Roman" w:cs="Times New Roman"/>
              </w:rPr>
              <w:t>3 (25.0%)</w:t>
            </w:r>
          </w:p>
        </w:tc>
      </w:tr>
      <w:tr w:rsidR="003A79E4" w:rsidRPr="00130D9C" w14:paraId="454A8BF8" w14:textId="77777777" w:rsidTr="00C550D7">
        <w:trPr>
          <w:trHeight w:val="263"/>
        </w:trPr>
        <w:tc>
          <w:tcPr>
            <w:tcW w:w="3148" w:type="dxa"/>
            <w:tcBorders>
              <w:bottom w:val="double" w:sz="4" w:space="0" w:color="000000"/>
            </w:tcBorders>
            <w:shd w:val="clear" w:color="auto" w:fill="auto"/>
            <w:noWrap/>
          </w:tcPr>
          <w:p w14:paraId="29ECF17D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hAnsi="Times New Roman" w:cs="Times New Roman"/>
              </w:rPr>
              <w:t>No Suspicion</w:t>
            </w:r>
          </w:p>
        </w:tc>
        <w:tc>
          <w:tcPr>
            <w:tcW w:w="1573" w:type="dxa"/>
            <w:tcBorders>
              <w:bottom w:val="double" w:sz="4" w:space="0" w:color="000000"/>
            </w:tcBorders>
            <w:shd w:val="clear" w:color="auto" w:fill="auto"/>
            <w:noWrap/>
          </w:tcPr>
          <w:p w14:paraId="01F904F5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hAnsi="Times New Roman" w:cs="Times New Roman"/>
              </w:rPr>
              <w:t>60 (64.5%)</w:t>
            </w:r>
          </w:p>
        </w:tc>
        <w:tc>
          <w:tcPr>
            <w:tcW w:w="1573" w:type="dxa"/>
            <w:tcBorders>
              <w:bottom w:val="double" w:sz="4" w:space="0" w:color="000000"/>
            </w:tcBorders>
            <w:shd w:val="clear" w:color="auto" w:fill="auto"/>
            <w:noWrap/>
          </w:tcPr>
          <w:p w14:paraId="493FD57D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hAnsi="Times New Roman" w:cs="Times New Roman"/>
              </w:rPr>
              <w:t>11 (11.8%)</w:t>
            </w:r>
          </w:p>
        </w:tc>
        <w:tc>
          <w:tcPr>
            <w:tcW w:w="1573" w:type="dxa"/>
            <w:tcBorders>
              <w:bottom w:val="double" w:sz="4" w:space="0" w:color="000000"/>
            </w:tcBorders>
            <w:shd w:val="clear" w:color="auto" w:fill="auto"/>
            <w:noWrap/>
          </w:tcPr>
          <w:p w14:paraId="30EDF5E1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hAnsi="Times New Roman" w:cs="Times New Roman"/>
              </w:rPr>
              <w:t>68 (73.1%)</w:t>
            </w:r>
          </w:p>
        </w:tc>
        <w:tc>
          <w:tcPr>
            <w:tcW w:w="1573" w:type="dxa"/>
            <w:tcBorders>
              <w:bottom w:val="double" w:sz="4" w:space="0" w:color="000000"/>
            </w:tcBorders>
            <w:shd w:val="clear" w:color="auto" w:fill="auto"/>
            <w:noWrap/>
          </w:tcPr>
          <w:p w14:paraId="33FE7E93" w14:textId="77777777" w:rsidR="003A79E4" w:rsidRPr="00130D9C" w:rsidRDefault="003A79E4" w:rsidP="00C550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130D9C">
              <w:rPr>
                <w:rFonts w:ascii="Times New Roman" w:hAnsi="Times New Roman" w:cs="Times New Roman"/>
              </w:rPr>
              <w:t>11 (11.8%)</w:t>
            </w:r>
          </w:p>
        </w:tc>
      </w:tr>
    </w:tbl>
    <w:p w14:paraId="551D8FDE" w14:textId="4937AA54" w:rsidR="00D62067" w:rsidRPr="003A79E4" w:rsidRDefault="003A79E4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3A79E4">
        <w:rPr>
          <w:rFonts w:ascii="Times New Roman" w:hAnsi="Times New Roman" w:cs="Times New Roman"/>
          <w:b/>
          <w:bCs/>
          <w:sz w:val="18"/>
          <w:szCs w:val="18"/>
        </w:rPr>
        <w:t xml:space="preserve">Legend. </w:t>
      </w:r>
      <w:r w:rsidRPr="003A79E4">
        <w:rPr>
          <w:rFonts w:ascii="Times New Roman" w:hAnsi="Times New Roman" w:cs="Times New Roman"/>
          <w:sz w:val="18"/>
          <w:szCs w:val="18"/>
        </w:rPr>
        <w:t>TIA: Transient Ischemic Attack; LoC: Loss of Consciousness</w:t>
      </w:r>
    </w:p>
    <w:sectPr w:rsidR="00D62067" w:rsidRPr="003A79E4" w:rsidSect="008E22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D9C"/>
    <w:rsid w:val="000A12FB"/>
    <w:rsid w:val="00107EA3"/>
    <w:rsid w:val="00130D9C"/>
    <w:rsid w:val="00376A4F"/>
    <w:rsid w:val="003A79E4"/>
    <w:rsid w:val="0049074C"/>
    <w:rsid w:val="007C02DD"/>
    <w:rsid w:val="007D37C4"/>
    <w:rsid w:val="008E2280"/>
    <w:rsid w:val="00A80285"/>
    <w:rsid w:val="00C16D8D"/>
    <w:rsid w:val="00D6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48766"/>
  <w15:chartTrackingRefBased/>
  <w15:docId w15:val="{6E3B2B95-256C-4878-B72D-75240C89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A79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7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marra@dongnocc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Liuzzi Piergiuseppe</dc:creator>
  <cp:keywords/>
  <dc:description/>
  <cp:lastModifiedBy>Marra Ester</cp:lastModifiedBy>
  <cp:revision>2</cp:revision>
  <dcterms:created xsi:type="dcterms:W3CDTF">2026-03-19T10:44:00Z</dcterms:created>
  <dcterms:modified xsi:type="dcterms:W3CDTF">2026-03-19T10:44:00Z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3d1fca3d-7d93-4634-8d56-48eca3bb4704</vt:lpwstr>
  </property>
</Properties>
</file>