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7F6" w:rsidRDefault="00BB0D8A" w:rsidP="00A877F6">
      <w:pPr>
        <w:pStyle w:val="Heading2"/>
        <w:spacing w:line="276" w:lineRule="auto"/>
        <w:jc w:val="both"/>
        <w:rPr>
          <w:b/>
          <w:i w:val="0"/>
        </w:rPr>
      </w:pPr>
      <w:r>
        <w:rPr>
          <w:b/>
          <w:i w:val="0"/>
        </w:rPr>
        <w:t>Online Resource 5</w:t>
      </w:r>
      <w:r w:rsidR="00A877F6" w:rsidRPr="006C7483">
        <w:rPr>
          <w:b/>
          <w:i w:val="0"/>
        </w:rPr>
        <w:t>: Approximated scedasticity on the untransformed scale for the 12 modelled compounds of the 10 real data examples when skewness and scedasticity parameters are estimated separately (Box-Cox and Power) or simultaneously (dTBS).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6948"/>
      </w:tblGrid>
      <w:tr w:rsidR="005E1E27" w:rsidTr="005E1E27">
        <w:tc>
          <w:tcPr>
            <w:tcW w:w="2628" w:type="dxa"/>
          </w:tcPr>
          <w:p w:rsidR="005E1E27" w:rsidRPr="00E73303" w:rsidRDefault="005E1E27" w:rsidP="00DE3036">
            <w:pPr>
              <w:pStyle w:val="Heading2"/>
              <w:spacing w:line="360" w:lineRule="auto"/>
              <w:outlineLvl w:val="1"/>
              <w:rPr>
                <w:i w:val="0"/>
              </w:rPr>
            </w:pPr>
            <w:r w:rsidRPr="00E73303">
              <w:rPr>
                <w:rFonts w:cs="Arial"/>
                <w:i w:val="0"/>
                <w:szCs w:val="20"/>
                <w:lang w:val="en-GB"/>
              </w:rPr>
              <w:t>Article title</w:t>
            </w:r>
          </w:p>
        </w:tc>
        <w:tc>
          <w:tcPr>
            <w:tcW w:w="6948" w:type="dxa"/>
          </w:tcPr>
          <w:p w:rsidR="005E1E27" w:rsidRPr="00E73303" w:rsidRDefault="005E1E27" w:rsidP="00DE3036">
            <w:pPr>
              <w:pStyle w:val="Heading2"/>
              <w:spacing w:line="360" w:lineRule="auto"/>
              <w:outlineLvl w:val="1"/>
              <w:rPr>
                <w:i w:val="0"/>
              </w:rPr>
            </w:pPr>
            <w:r w:rsidRPr="00E73303">
              <w:rPr>
                <w:rFonts w:cs="Arial"/>
                <w:i w:val="0"/>
                <w:szCs w:val="20"/>
                <w:lang w:val="en-GB"/>
              </w:rPr>
              <w:t>A Strategy for Residual Error Modeling Incorporating Scedasticity of Variance and Distribution Shape</w:t>
            </w:r>
          </w:p>
        </w:tc>
      </w:tr>
      <w:tr w:rsidR="005E1E27" w:rsidTr="005E1E27">
        <w:tc>
          <w:tcPr>
            <w:tcW w:w="2628" w:type="dxa"/>
          </w:tcPr>
          <w:p w:rsidR="005E1E27" w:rsidRPr="00E73303" w:rsidRDefault="005E1E27" w:rsidP="00DE3036">
            <w:pPr>
              <w:pStyle w:val="Heading2"/>
              <w:spacing w:line="360" w:lineRule="auto"/>
              <w:outlineLvl w:val="1"/>
              <w:rPr>
                <w:i w:val="0"/>
              </w:rPr>
            </w:pPr>
            <w:r w:rsidRPr="00E73303">
              <w:rPr>
                <w:rFonts w:cs="Arial"/>
                <w:i w:val="0"/>
                <w:szCs w:val="20"/>
                <w:lang w:val="en-GB"/>
              </w:rPr>
              <w:t>Journal name</w:t>
            </w:r>
          </w:p>
        </w:tc>
        <w:tc>
          <w:tcPr>
            <w:tcW w:w="6948" w:type="dxa"/>
          </w:tcPr>
          <w:p w:rsidR="005E1E27" w:rsidRPr="00E73303" w:rsidRDefault="005E1E27" w:rsidP="00DE303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303">
              <w:rPr>
                <w:rFonts w:ascii="Arial" w:hAnsi="Arial" w:cs="Arial"/>
                <w:sz w:val="20"/>
                <w:szCs w:val="20"/>
                <w:lang w:val="en-GB"/>
              </w:rPr>
              <w:t>Journal of Pharmacokinetics and Pharmacodynamics</w:t>
            </w:r>
          </w:p>
        </w:tc>
      </w:tr>
      <w:tr w:rsidR="005E1E27" w:rsidRPr="003826F3" w:rsidTr="005E1E27">
        <w:tc>
          <w:tcPr>
            <w:tcW w:w="2628" w:type="dxa"/>
          </w:tcPr>
          <w:p w:rsidR="005E1E27" w:rsidRPr="00E73303" w:rsidRDefault="005E1E27" w:rsidP="00DE3036">
            <w:pPr>
              <w:pStyle w:val="Heading2"/>
              <w:spacing w:line="360" w:lineRule="auto"/>
              <w:outlineLvl w:val="1"/>
              <w:rPr>
                <w:i w:val="0"/>
              </w:rPr>
            </w:pPr>
            <w:r w:rsidRPr="00E73303">
              <w:rPr>
                <w:rFonts w:cs="Arial"/>
                <w:i w:val="0"/>
                <w:szCs w:val="20"/>
                <w:lang w:val="en-GB"/>
              </w:rPr>
              <w:t>Author names</w:t>
            </w:r>
          </w:p>
        </w:tc>
        <w:tc>
          <w:tcPr>
            <w:tcW w:w="6948" w:type="dxa"/>
          </w:tcPr>
          <w:p w:rsidR="005E1E27" w:rsidRPr="00E73303" w:rsidRDefault="005E1E27" w:rsidP="00DE303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E73303">
              <w:rPr>
                <w:rFonts w:ascii="Arial" w:hAnsi="Arial" w:cs="Arial"/>
                <w:sz w:val="20"/>
                <w:szCs w:val="20"/>
                <w:lang w:val="sv-SE"/>
              </w:rPr>
              <w:t>Anne-Gaëlle Dosne</w:t>
            </w:r>
            <w:r w:rsidRPr="00E73303">
              <w:rPr>
                <w:rFonts w:ascii="Arial" w:hAnsi="Arial" w:cs="Arial"/>
                <w:sz w:val="20"/>
                <w:szCs w:val="20"/>
                <w:vertAlign w:val="superscript"/>
                <w:lang w:val="sv-SE"/>
              </w:rPr>
              <w:t>1</w:t>
            </w:r>
            <w:r w:rsidRPr="00E73303">
              <w:rPr>
                <w:rFonts w:ascii="Arial" w:hAnsi="Arial" w:cs="Arial"/>
                <w:sz w:val="20"/>
                <w:szCs w:val="20"/>
                <w:lang w:val="sv-SE"/>
              </w:rPr>
              <w:t>, Martin Bergstrand</w:t>
            </w:r>
            <w:r w:rsidRPr="00E73303">
              <w:rPr>
                <w:rFonts w:ascii="Arial" w:hAnsi="Arial" w:cs="Arial"/>
                <w:sz w:val="20"/>
                <w:szCs w:val="20"/>
                <w:vertAlign w:val="superscript"/>
                <w:lang w:val="sv-SE"/>
              </w:rPr>
              <w:t>1</w:t>
            </w:r>
            <w:r w:rsidRPr="00E73303">
              <w:rPr>
                <w:rFonts w:ascii="Arial" w:hAnsi="Arial" w:cs="Arial"/>
                <w:sz w:val="20"/>
                <w:szCs w:val="20"/>
                <w:lang w:val="sv-SE"/>
              </w:rPr>
              <w:t>, Mats O Karlsson</w:t>
            </w:r>
            <w:r w:rsidRPr="00E73303">
              <w:rPr>
                <w:rFonts w:ascii="Arial" w:hAnsi="Arial" w:cs="Arial"/>
                <w:sz w:val="20"/>
                <w:szCs w:val="20"/>
                <w:vertAlign w:val="superscript"/>
                <w:lang w:val="sv-SE"/>
              </w:rPr>
              <w:t>1</w:t>
            </w:r>
          </w:p>
        </w:tc>
      </w:tr>
      <w:tr w:rsidR="005E1E27" w:rsidTr="005E1E27">
        <w:tc>
          <w:tcPr>
            <w:tcW w:w="2628" w:type="dxa"/>
          </w:tcPr>
          <w:p w:rsidR="005E1E27" w:rsidRPr="00E73303" w:rsidRDefault="005E1E27" w:rsidP="00DE3036">
            <w:pPr>
              <w:pStyle w:val="Heading2"/>
              <w:spacing w:line="360" w:lineRule="auto"/>
              <w:outlineLvl w:val="1"/>
              <w:rPr>
                <w:i w:val="0"/>
              </w:rPr>
            </w:pPr>
            <w:r w:rsidRPr="00E73303">
              <w:rPr>
                <w:rFonts w:cs="Arial"/>
                <w:i w:val="0"/>
                <w:szCs w:val="20"/>
              </w:rPr>
              <w:t>Author affiliations</w:t>
            </w:r>
          </w:p>
        </w:tc>
        <w:tc>
          <w:tcPr>
            <w:tcW w:w="6948" w:type="dxa"/>
          </w:tcPr>
          <w:p w:rsidR="005E1E27" w:rsidRPr="00E73303" w:rsidRDefault="005E1E27" w:rsidP="00DE30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3303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E73303">
              <w:rPr>
                <w:rFonts w:ascii="Arial" w:hAnsi="Arial" w:cs="Arial"/>
                <w:sz w:val="20"/>
                <w:szCs w:val="20"/>
              </w:rPr>
              <w:t>Department of Pharmaceutical Biosciences, Uppsala University, P.O. Box 591, 751 24 Uppsala, Sweden</w:t>
            </w:r>
          </w:p>
        </w:tc>
      </w:tr>
      <w:tr w:rsidR="005E1E27" w:rsidRPr="003826F3" w:rsidTr="005E1E27">
        <w:tc>
          <w:tcPr>
            <w:tcW w:w="2628" w:type="dxa"/>
          </w:tcPr>
          <w:p w:rsidR="005E1E27" w:rsidRPr="00E73303" w:rsidRDefault="005E1E27" w:rsidP="00DE3036">
            <w:pPr>
              <w:pStyle w:val="Heading2"/>
              <w:spacing w:line="360" w:lineRule="auto"/>
              <w:outlineLvl w:val="1"/>
              <w:rPr>
                <w:i w:val="0"/>
              </w:rPr>
            </w:pPr>
            <w:r w:rsidRPr="00E73303">
              <w:rPr>
                <w:rFonts w:cs="Arial"/>
                <w:i w:val="0"/>
                <w:szCs w:val="20"/>
              </w:rPr>
              <w:t>Corresponding author</w:t>
            </w:r>
          </w:p>
        </w:tc>
        <w:tc>
          <w:tcPr>
            <w:tcW w:w="6948" w:type="dxa"/>
          </w:tcPr>
          <w:p w:rsidR="005E1E27" w:rsidRPr="00E73303" w:rsidRDefault="005E1E27" w:rsidP="00DE303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E73303">
              <w:rPr>
                <w:rFonts w:ascii="Arial" w:hAnsi="Arial" w:cs="Arial"/>
                <w:sz w:val="20"/>
                <w:szCs w:val="20"/>
                <w:lang w:val="fr-FR"/>
              </w:rPr>
              <w:t xml:space="preserve">Anne-Gaëlle Dosne: </w:t>
            </w:r>
            <w:hyperlink r:id="rId5" w:history="1">
              <w:r w:rsidRPr="00E73303">
                <w:rPr>
                  <w:rStyle w:val="Hyperlink"/>
                  <w:rFonts w:ascii="Arial" w:hAnsi="Arial" w:cs="Arial"/>
                  <w:sz w:val="20"/>
                  <w:szCs w:val="20"/>
                  <w:lang w:val="fr-FR"/>
                </w:rPr>
                <w:t>annegaelle.dosne@farmbio.uu.se</w:t>
              </w:r>
            </w:hyperlink>
          </w:p>
        </w:tc>
      </w:tr>
    </w:tbl>
    <w:p w:rsidR="005E1E27" w:rsidRPr="00BB0D8A" w:rsidRDefault="005E1E27" w:rsidP="00A877F6">
      <w:pPr>
        <w:pStyle w:val="Caption"/>
        <w:rPr>
          <w:rFonts w:ascii="Arial" w:hAnsi="Arial" w:cs="Arial"/>
          <w:b w:val="0"/>
          <w:color w:val="auto"/>
          <w:sz w:val="20"/>
          <w:szCs w:val="20"/>
          <w:lang w:val="fr-FR"/>
        </w:rPr>
      </w:pPr>
    </w:p>
    <w:p w:rsidR="00574BB1" w:rsidRPr="00574BB1" w:rsidRDefault="005E1E27" w:rsidP="00574BB1">
      <w:pPr>
        <w:pStyle w:val="Caption"/>
        <w:rPr>
          <w:rFonts w:ascii="Arial" w:hAnsi="Arial" w:cs="Arial"/>
          <w:b w:val="0"/>
          <w:color w:val="auto"/>
          <w:sz w:val="20"/>
          <w:szCs w:val="20"/>
        </w:rPr>
      </w:pPr>
      <w:r w:rsidRPr="005E1E27">
        <w:rPr>
          <w:rFonts w:ascii="Arial" w:hAnsi="Arial" w:cs="Arial"/>
          <w:color w:val="auto"/>
          <w:sz w:val="20"/>
          <w:szCs w:val="20"/>
        </w:rPr>
        <w:t>Caption</w:t>
      </w:r>
      <w:r>
        <w:rPr>
          <w:rFonts w:ascii="Arial" w:hAnsi="Arial" w:cs="Arial"/>
          <w:b w:val="0"/>
          <w:color w:val="auto"/>
          <w:sz w:val="20"/>
          <w:szCs w:val="20"/>
        </w:rPr>
        <w:t xml:space="preserve">: </w:t>
      </w:r>
      <w:r w:rsidR="00A877F6">
        <w:rPr>
          <w:rFonts w:ascii="Arial" w:hAnsi="Arial" w:cs="Arial"/>
          <w:b w:val="0"/>
          <w:color w:val="auto"/>
          <w:sz w:val="20"/>
          <w:szCs w:val="20"/>
        </w:rPr>
        <w:t>Dashed vertical lines correspond to an additive error model (scedasticity=0) and a proportional error model (scedasticity=1). Colored shapes represent the approximated scedasticity on the untransformed scale with each of the three error model dTBS (</w:t>
      </w:r>
      <m:oMath>
        <m:r>
          <m:rPr>
            <m:sty m:val="bi"/>
          </m:rPr>
          <w:rPr>
            <w:rFonts w:ascii="Cambria Math" w:eastAsia="Times New Roman" w:hAnsi="Cambria Math" w:cs="Arial"/>
            <w:color w:val="auto"/>
            <w:sz w:val="20"/>
            <w:szCs w:val="20"/>
          </w:rPr>
          <m:t>λ</m:t>
        </m:r>
      </m:oMath>
      <w:r w:rsidR="00A877F6">
        <w:rPr>
          <w:rFonts w:ascii="Arial" w:hAnsi="Arial" w:cs="Arial"/>
          <w:b w:val="0"/>
          <w:color w:val="auto"/>
          <w:sz w:val="20"/>
          <w:szCs w:val="20"/>
        </w:rPr>
        <w:t xml:space="preserve"> and </w:t>
      </w:r>
      <w:r w:rsidR="00A877F6" w:rsidRPr="0090385E">
        <w:rPr>
          <w:rFonts w:ascii="Arial" w:eastAsia="Times New Roman" w:hAnsi="Arial" w:cs="Arial"/>
          <w:b w:val="0"/>
          <w:color w:val="auto"/>
          <w:sz w:val="20"/>
          <w:szCs w:val="20"/>
        </w:rPr>
        <w:t>ζ</w:t>
      </w:r>
      <w:r w:rsidR="00A877F6">
        <w:rPr>
          <w:rFonts w:ascii="Arial" w:hAnsi="Arial" w:cs="Arial"/>
          <w:b w:val="0"/>
          <w:color w:val="auto"/>
          <w:sz w:val="20"/>
          <w:szCs w:val="20"/>
        </w:rPr>
        <w:t>), Box-Cox (</w:t>
      </w:r>
      <m:oMath>
        <m:r>
          <m:rPr>
            <m:sty m:val="bi"/>
          </m:rPr>
          <w:rPr>
            <w:rFonts w:ascii="Cambria Math" w:eastAsia="Times New Roman" w:hAnsi="Cambria Math" w:cs="Arial"/>
            <w:color w:val="auto"/>
            <w:sz w:val="20"/>
            <w:szCs w:val="20"/>
          </w:rPr>
          <m:t>λ</m:t>
        </m:r>
      </m:oMath>
      <w:r w:rsidR="00A877F6">
        <w:rPr>
          <w:rFonts w:ascii="Arial" w:hAnsi="Arial" w:cs="Arial"/>
          <w:b w:val="0"/>
          <w:color w:val="auto"/>
          <w:sz w:val="20"/>
          <w:szCs w:val="20"/>
        </w:rPr>
        <w:t xml:space="preserve"> only) and Power (</w:t>
      </w:r>
      <w:r w:rsidR="00A877F6" w:rsidRPr="0090385E">
        <w:rPr>
          <w:rFonts w:ascii="Arial" w:eastAsia="Times New Roman" w:hAnsi="Arial" w:cs="Arial"/>
          <w:b w:val="0"/>
          <w:color w:val="auto"/>
          <w:sz w:val="20"/>
          <w:szCs w:val="20"/>
        </w:rPr>
        <w:t>ζ</w:t>
      </w:r>
      <w:r w:rsidR="00A877F6">
        <w:rPr>
          <w:rFonts w:ascii="Arial" w:hAnsi="Arial" w:cs="Arial"/>
          <w:b w:val="0"/>
          <w:color w:val="auto"/>
          <w:sz w:val="20"/>
          <w:szCs w:val="20"/>
        </w:rPr>
        <w:t xml:space="preserve"> only). Horizontal full lines represent the span of scedasticity estimates across the three error models.</w:t>
      </w:r>
      <w:bookmarkStart w:id="0" w:name="_GoBack"/>
      <w:bookmarkEnd w:id="0"/>
    </w:p>
    <w:p w:rsidR="00D85E9D" w:rsidRPr="005E1E27" w:rsidRDefault="00574BB1" w:rsidP="00A877F6">
      <w:pPr>
        <w:rPr>
          <w:lang w:val="fr-FR"/>
        </w:rPr>
      </w:pPr>
      <w:r>
        <w:rPr>
          <w:noProof/>
        </w:rPr>
        <w:drawing>
          <wp:inline distT="0" distB="0" distL="0" distR="0">
            <wp:extent cx="5972810" cy="358394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w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58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5E9D" w:rsidRPr="005E1E2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7F6"/>
    <w:rsid w:val="001C5B06"/>
    <w:rsid w:val="00242ECE"/>
    <w:rsid w:val="00373D6A"/>
    <w:rsid w:val="003826F3"/>
    <w:rsid w:val="003E57EA"/>
    <w:rsid w:val="00574BB1"/>
    <w:rsid w:val="005E1E27"/>
    <w:rsid w:val="00A877F6"/>
    <w:rsid w:val="00BB0D8A"/>
    <w:rsid w:val="00E9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7F6"/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A877F6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Times New Roman"/>
      <w:bCs/>
      <w:i/>
      <w:sz w:val="2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877F6"/>
    <w:rPr>
      <w:rFonts w:ascii="Arial" w:eastAsia="Times New Roman" w:hAnsi="Arial" w:cs="Times New Roman"/>
      <w:bCs/>
      <w:i/>
      <w:sz w:val="20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A877F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7F6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1E27"/>
    <w:rPr>
      <w:color w:val="0000FF"/>
      <w:u w:val="single"/>
    </w:rPr>
  </w:style>
  <w:style w:type="table" w:styleId="TableGrid">
    <w:name w:val="Table Grid"/>
    <w:basedOn w:val="TableNormal"/>
    <w:uiPriority w:val="59"/>
    <w:rsid w:val="005E1E2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7F6"/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A877F6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Times New Roman"/>
      <w:bCs/>
      <w:i/>
      <w:sz w:val="2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877F6"/>
    <w:rPr>
      <w:rFonts w:ascii="Arial" w:eastAsia="Times New Roman" w:hAnsi="Arial" w:cs="Times New Roman"/>
      <w:bCs/>
      <w:i/>
      <w:sz w:val="20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A877F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7F6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1E27"/>
    <w:rPr>
      <w:color w:val="0000FF"/>
      <w:u w:val="single"/>
    </w:rPr>
  </w:style>
  <w:style w:type="table" w:styleId="TableGrid">
    <w:name w:val="Table Grid"/>
    <w:basedOn w:val="TableNormal"/>
    <w:uiPriority w:val="59"/>
    <w:rsid w:val="005E1E2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annegaelle.dosne@farmbio.uu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Anne-Gaëlle Dosne</dc:creator>
  <cp:lastModifiedBy>Anne-Gaëlle Dosne</cp:lastModifiedBy>
  <cp:revision>3</cp:revision>
  <dcterms:created xsi:type="dcterms:W3CDTF">2015-11-13T10:57:00Z</dcterms:created>
  <dcterms:modified xsi:type="dcterms:W3CDTF">2015-11-13T11:04:00Z</dcterms:modified>
</cp:coreProperties>
</file>