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56" w:rsidRPr="00FC7756" w:rsidRDefault="00FC7756" w:rsidP="00FC7756">
      <w:pPr>
        <w:rPr>
          <w:rStyle w:val="Heading2Char"/>
          <w:rFonts w:ascii="Arial" w:hAnsi="Arial" w:cs="Arial"/>
          <w:bCs w:val="0"/>
          <w:color w:val="auto"/>
          <w:sz w:val="20"/>
          <w:szCs w:val="20"/>
        </w:rPr>
      </w:pPr>
      <w:r w:rsidRPr="00FC7756">
        <w:rPr>
          <w:rStyle w:val="Heading2Char"/>
          <w:rFonts w:ascii="Arial" w:hAnsi="Arial" w:cs="Arial"/>
          <w:bCs w:val="0"/>
          <w:color w:val="auto"/>
          <w:sz w:val="20"/>
          <w:szCs w:val="20"/>
        </w:rPr>
        <w:t>Online Resource 3 Details of the models and designs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6948"/>
      </w:tblGrid>
      <w:tr w:rsidR="00FC7756" w:rsidRPr="004E2D02" w:rsidTr="0099088E">
        <w:tc>
          <w:tcPr>
            <w:tcW w:w="262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i/>
                <w:szCs w:val="20"/>
              </w:rPr>
            </w:pPr>
            <w:r w:rsidRPr="004E2D02">
              <w:rPr>
                <w:rFonts w:ascii="Arial" w:hAnsi="Arial" w:cs="Arial"/>
                <w:szCs w:val="20"/>
                <w:lang w:val="en-GB"/>
              </w:rPr>
              <w:t>Article title</w:t>
            </w:r>
          </w:p>
        </w:tc>
        <w:tc>
          <w:tcPr>
            <w:tcW w:w="6948" w:type="dxa"/>
          </w:tcPr>
          <w:p w:rsidR="00FC7756" w:rsidRPr="004E2D02" w:rsidRDefault="00544CF7" w:rsidP="0099088E">
            <w:pPr>
              <w:spacing w:line="360" w:lineRule="auto"/>
              <w:jc w:val="both"/>
              <w:rPr>
                <w:rFonts w:ascii="Arial" w:hAnsi="Arial" w:cs="Arial"/>
                <w:szCs w:val="20"/>
                <w:lang w:val="en-GB"/>
              </w:rPr>
            </w:pPr>
            <w:r w:rsidRPr="00C83F97">
              <w:rPr>
                <w:rFonts w:ascii="Arial" w:hAnsi="Arial" w:cs="Arial"/>
                <w:iCs/>
                <w:szCs w:val="24"/>
              </w:rPr>
              <w:t>Improving the Estimation of Parameter Uncertainty Distributions in Nonlinear Mixed Effects Models using Sampling Importance Resampling</w:t>
            </w:r>
            <w:bookmarkStart w:id="0" w:name="_GoBack"/>
            <w:bookmarkEnd w:id="0"/>
          </w:p>
        </w:tc>
      </w:tr>
      <w:tr w:rsidR="00FC7756" w:rsidRPr="004E2D02" w:rsidTr="0099088E">
        <w:tc>
          <w:tcPr>
            <w:tcW w:w="262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i/>
                <w:szCs w:val="20"/>
              </w:rPr>
            </w:pPr>
            <w:r w:rsidRPr="004E2D02">
              <w:rPr>
                <w:rFonts w:ascii="Arial" w:hAnsi="Arial" w:cs="Arial"/>
                <w:szCs w:val="20"/>
                <w:lang w:val="en-GB"/>
              </w:rPr>
              <w:t>Journal name</w:t>
            </w:r>
          </w:p>
        </w:tc>
        <w:tc>
          <w:tcPr>
            <w:tcW w:w="694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szCs w:val="20"/>
                <w:lang w:val="en-GB"/>
              </w:rPr>
            </w:pPr>
            <w:r w:rsidRPr="004E2D02">
              <w:rPr>
                <w:rFonts w:ascii="Arial" w:hAnsi="Arial" w:cs="Arial"/>
                <w:szCs w:val="20"/>
                <w:lang w:val="en-GB"/>
              </w:rPr>
              <w:t>Journal of Pharmacokinetics and Pharmacodynamics</w:t>
            </w:r>
          </w:p>
        </w:tc>
      </w:tr>
      <w:tr w:rsidR="00FC7756" w:rsidRPr="00544CF7" w:rsidTr="0099088E">
        <w:tc>
          <w:tcPr>
            <w:tcW w:w="262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i/>
                <w:szCs w:val="20"/>
              </w:rPr>
            </w:pPr>
            <w:r w:rsidRPr="004E2D02">
              <w:rPr>
                <w:rFonts w:ascii="Arial" w:hAnsi="Arial" w:cs="Arial"/>
                <w:szCs w:val="20"/>
                <w:lang w:val="en-GB"/>
              </w:rPr>
              <w:t>Author names</w:t>
            </w:r>
          </w:p>
        </w:tc>
        <w:tc>
          <w:tcPr>
            <w:tcW w:w="694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Cs w:val="20"/>
                <w:lang w:val="sv-SE"/>
              </w:rPr>
              <w:t>Anne-Gaëlle Dosne</w:t>
            </w:r>
            <w:r w:rsidRPr="004E2D02">
              <w:rPr>
                <w:rFonts w:ascii="Arial" w:hAnsi="Arial" w:cs="Arial"/>
                <w:szCs w:val="20"/>
                <w:vertAlign w:val="superscript"/>
                <w:lang w:val="sv-SE"/>
              </w:rPr>
              <w:t>1</w:t>
            </w:r>
            <w:r w:rsidRPr="004E2D02">
              <w:rPr>
                <w:rFonts w:ascii="Arial" w:hAnsi="Arial" w:cs="Arial"/>
                <w:szCs w:val="20"/>
                <w:lang w:val="sv-SE"/>
              </w:rPr>
              <w:t>, Martin Bergstrand</w:t>
            </w:r>
            <w:r w:rsidRPr="004E2D02">
              <w:rPr>
                <w:rFonts w:ascii="Arial" w:hAnsi="Arial" w:cs="Arial"/>
                <w:szCs w:val="20"/>
                <w:vertAlign w:val="superscript"/>
                <w:lang w:val="sv-SE"/>
              </w:rPr>
              <w:t>1</w:t>
            </w:r>
            <w:r w:rsidRPr="004E2D02">
              <w:rPr>
                <w:rFonts w:ascii="Arial" w:hAnsi="Arial" w:cs="Arial"/>
                <w:szCs w:val="20"/>
                <w:lang w:val="sv-SE"/>
              </w:rPr>
              <w:t>, Kajsa Harling</w:t>
            </w:r>
            <w:r w:rsidRPr="004E2D02">
              <w:rPr>
                <w:rFonts w:ascii="Arial" w:hAnsi="Arial" w:cs="Arial"/>
                <w:szCs w:val="20"/>
                <w:vertAlign w:val="superscript"/>
                <w:lang w:val="sv-SE"/>
              </w:rPr>
              <w:t>1</w:t>
            </w:r>
            <w:r w:rsidRPr="004E2D02">
              <w:rPr>
                <w:rFonts w:ascii="Arial" w:hAnsi="Arial" w:cs="Arial"/>
                <w:szCs w:val="20"/>
                <w:lang w:val="sv-SE"/>
              </w:rPr>
              <w:t>, Mats O Karlsson</w:t>
            </w:r>
            <w:r w:rsidRPr="004E2D02">
              <w:rPr>
                <w:rFonts w:ascii="Arial" w:hAnsi="Arial" w:cs="Arial"/>
                <w:szCs w:val="20"/>
                <w:vertAlign w:val="superscript"/>
                <w:lang w:val="sv-SE"/>
              </w:rPr>
              <w:t>1</w:t>
            </w:r>
          </w:p>
        </w:tc>
      </w:tr>
      <w:tr w:rsidR="00FC7756" w:rsidRPr="004E2D02" w:rsidTr="0099088E">
        <w:tc>
          <w:tcPr>
            <w:tcW w:w="262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i/>
                <w:szCs w:val="20"/>
              </w:rPr>
            </w:pPr>
            <w:r w:rsidRPr="004E2D02">
              <w:rPr>
                <w:rFonts w:ascii="Arial" w:hAnsi="Arial" w:cs="Arial"/>
                <w:szCs w:val="20"/>
              </w:rPr>
              <w:t>Author affiliations</w:t>
            </w:r>
          </w:p>
        </w:tc>
        <w:tc>
          <w:tcPr>
            <w:tcW w:w="694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4E2D02">
              <w:rPr>
                <w:rFonts w:ascii="Arial" w:hAnsi="Arial" w:cs="Arial"/>
                <w:szCs w:val="20"/>
                <w:vertAlign w:val="superscript"/>
              </w:rPr>
              <w:t>1</w:t>
            </w:r>
            <w:r w:rsidRPr="004E2D02">
              <w:rPr>
                <w:rFonts w:ascii="Arial" w:hAnsi="Arial" w:cs="Arial"/>
                <w:szCs w:val="20"/>
              </w:rPr>
              <w:t>Department of Pharmaceutical Biosciences, Uppsala University, P.O. Box 591, 751 24 Uppsala, Sweden</w:t>
            </w:r>
          </w:p>
        </w:tc>
      </w:tr>
      <w:tr w:rsidR="00FC7756" w:rsidRPr="00544CF7" w:rsidTr="0099088E">
        <w:tc>
          <w:tcPr>
            <w:tcW w:w="2628" w:type="dxa"/>
          </w:tcPr>
          <w:p w:rsidR="00FC7756" w:rsidRPr="004E2D02" w:rsidRDefault="00FC7756" w:rsidP="0099088E">
            <w:pPr>
              <w:spacing w:line="360" w:lineRule="auto"/>
              <w:rPr>
                <w:rFonts w:ascii="Arial" w:hAnsi="Arial" w:cs="Arial"/>
                <w:i/>
                <w:szCs w:val="20"/>
              </w:rPr>
            </w:pPr>
            <w:r w:rsidRPr="004E2D02">
              <w:rPr>
                <w:rFonts w:ascii="Arial" w:hAnsi="Arial" w:cs="Arial"/>
                <w:szCs w:val="20"/>
              </w:rPr>
              <w:t>Corresponding author</w:t>
            </w:r>
          </w:p>
        </w:tc>
        <w:tc>
          <w:tcPr>
            <w:tcW w:w="6948" w:type="dxa"/>
          </w:tcPr>
          <w:p w:rsidR="00FC7756" w:rsidRDefault="00FC7756" w:rsidP="0099088E">
            <w:pPr>
              <w:spacing w:line="360" w:lineRule="auto"/>
              <w:rPr>
                <w:rStyle w:val="Hyperlink"/>
                <w:rFonts w:ascii="Arial" w:hAnsi="Arial" w:cs="Arial"/>
                <w:szCs w:val="20"/>
                <w:lang w:val="fr-FR"/>
              </w:rPr>
            </w:pPr>
            <w:r w:rsidRPr="004E2D02">
              <w:rPr>
                <w:rFonts w:ascii="Arial" w:hAnsi="Arial" w:cs="Arial"/>
                <w:szCs w:val="20"/>
                <w:lang w:val="fr-FR"/>
              </w:rPr>
              <w:t xml:space="preserve">Anne-Gaëlle Dosne: </w:t>
            </w:r>
            <w:hyperlink r:id="rId6" w:history="1">
              <w:r w:rsidRPr="004E2D02">
                <w:rPr>
                  <w:rStyle w:val="Hyperlink"/>
                  <w:rFonts w:ascii="Arial" w:hAnsi="Arial" w:cs="Arial"/>
                  <w:szCs w:val="20"/>
                  <w:lang w:val="fr-FR"/>
                </w:rPr>
                <w:t>annegaelle.dosne@farmbio.uu.se</w:t>
              </w:r>
            </w:hyperlink>
          </w:p>
          <w:p w:rsidR="00186982" w:rsidRPr="004E2D02" w:rsidRDefault="00186982" w:rsidP="0099088E">
            <w:pPr>
              <w:spacing w:line="360" w:lineRule="auto"/>
              <w:rPr>
                <w:rFonts w:ascii="Arial" w:hAnsi="Arial" w:cs="Arial"/>
                <w:szCs w:val="20"/>
                <w:lang w:val="fr-FR"/>
              </w:rPr>
            </w:pPr>
          </w:p>
        </w:tc>
      </w:tr>
    </w:tbl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720"/>
        <w:gridCol w:w="1442"/>
        <w:gridCol w:w="1688"/>
        <w:gridCol w:w="1100"/>
        <w:gridCol w:w="2002"/>
      </w:tblGrid>
      <w:tr w:rsidR="00FC7756" w:rsidRPr="004E2D02" w:rsidTr="00D7064F">
        <w:trPr>
          <w:trHeight w:val="20"/>
          <w:jc w:val="center"/>
        </w:trPr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Simulation example 1: PK 1CMT</w:t>
            </w:r>
          </w:p>
        </w:tc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Simulation example 2: PD Emax</w:t>
            </w:r>
          </w:p>
        </w:tc>
      </w:tr>
      <w:tr w:rsidR="008F3B8D" w:rsidRPr="004E2D02" w:rsidTr="008F3B8D">
        <w:trPr>
          <w:trHeight w:val="20"/>
          <w:jc w:val="center"/>
        </w:trPr>
        <w:tc>
          <w:tcPr>
            <w:tcW w:w="9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B8D" w:rsidRPr="004E2D02" w:rsidRDefault="008F3B8D" w:rsidP="008F3B8D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CL (first order elimination)</w:t>
            </w:r>
          </w:p>
        </w:tc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E0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EMAX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IIV CL </w:t>
            </w:r>
          </w:p>
        </w:tc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ED50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IIV V </w:t>
            </w:r>
          </w:p>
        </w:tc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IIV E0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RUV, additive on log scale</w:t>
            </w:r>
          </w:p>
        </w:tc>
        <w:tc>
          <w:tcPr>
            <w:tcW w:w="21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IIV ED50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2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RUV, proportional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8F3B8D" w:rsidRPr="004E2D02" w:rsidTr="008F3B8D">
        <w:trPr>
          <w:trHeight w:val="267"/>
          <w:jc w:val="center"/>
        </w:trPr>
        <w:tc>
          <w:tcPr>
            <w:tcW w:w="9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B8D" w:rsidRPr="004E2D02" w:rsidRDefault="008F3B8D" w:rsidP="008F3B8D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Study design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Single dose of 100 mass units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Sampling after 0.25, 0.5, 1 and 2 time units.</w:t>
            </w:r>
          </w:p>
        </w:tc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Multiple doses of 0, 2.5, 5, 15 and 2 dose units.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20 - 4</w:t>
            </w:r>
          </w:p>
        </w:tc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20 - 4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50 - 4</w:t>
            </w:r>
          </w:p>
        </w:tc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50 - 4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47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200 - 4</w:t>
            </w:r>
          </w:p>
        </w:tc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obs/ID: 200 – 4</w:t>
            </w:r>
          </w:p>
        </w:tc>
      </w:tr>
      <w:tr w:rsidR="00FC7756" w:rsidRPr="004E2D02" w:rsidTr="00D7721E">
        <w:trPr>
          <w:trHeight w:val="20"/>
          <w:jc w:val="center"/>
        </w:trPr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Real data example 1:</w:t>
            </w:r>
          </w:p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Moxonidine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21E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Real data example 2: </w:t>
            </w:r>
          </w:p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Pefloxacin</w:t>
            </w:r>
          </w:p>
        </w:tc>
        <w:tc>
          <w:tcPr>
            <w:tcW w:w="3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Real data example 3:</w:t>
            </w:r>
          </w:p>
          <w:p w:rsidR="00FC7756" w:rsidRPr="004E2D02" w:rsidRDefault="00FC7756" w:rsidP="0099088E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Phenobarbital</w:t>
            </w:r>
          </w:p>
        </w:tc>
      </w:tr>
      <w:tr w:rsidR="00D7064F" w:rsidRPr="004E2D02" w:rsidTr="00D7064F">
        <w:trPr>
          <w:trHeight w:val="20"/>
          <w:jc w:val="center"/>
        </w:trPr>
        <w:tc>
          <w:tcPr>
            <w:tcW w:w="9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064F" w:rsidRPr="00D7064F" w:rsidRDefault="00D7064F" w:rsidP="00D7064F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</w:tr>
      <w:tr w:rsidR="00FC7756" w:rsidRPr="004E2D02" w:rsidTr="00D7721E">
        <w:trPr>
          <w:trHeight w:val="1806"/>
          <w:jc w:val="center"/>
        </w:trPr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oral PK 1-CMT with lag-time first order absorption and elimination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11 parameters: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CL, V, KA, TLAG,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IIV CL, IIV V, IIV CL-V, IIV KA,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IOV CL, IOV KA,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additive RUV on log scale</w:t>
            </w:r>
          </w:p>
        </w:tc>
        <w:tc>
          <w:tcPr>
            <w:tcW w:w="313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i.v. PK 1-CMT first order elimination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10 parameters: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>CL, V,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IIV CL, IIV V, IIV CL-V, 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covariate effect on CL (CLCR)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sv-SE"/>
              </w:rPr>
              <w:t xml:space="preserve">IOV CL, IOV V, IOV CL-V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fr-FR"/>
              </w:rPr>
              <w:t xml:space="preserve">proportional RUV </w:t>
            </w:r>
          </w:p>
        </w:tc>
        <w:tc>
          <w:tcPr>
            <w:tcW w:w="310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i.v. PK  1-CMT first order elimination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7 parameters: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CL, V,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IIV CL, IIV V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weight effects on CL and V (EXP)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  <w:lang w:val="fr-FR"/>
              </w:rPr>
              <w:t>additive RUV</w:t>
            </w:r>
          </w:p>
        </w:tc>
      </w:tr>
      <w:tr w:rsidR="00D7064F" w:rsidRPr="004E2D02" w:rsidTr="00D7064F">
        <w:trPr>
          <w:trHeight w:val="267"/>
          <w:jc w:val="center"/>
        </w:trPr>
        <w:tc>
          <w:tcPr>
            <w:tcW w:w="9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064F" w:rsidRPr="00D7064F" w:rsidRDefault="00D7064F" w:rsidP="00D7064F">
            <w:pPr>
              <w:spacing w:afterLines="40" w:after="96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b/>
                <w:bCs/>
                <w:sz w:val="20"/>
                <w:szCs w:val="20"/>
              </w:rPr>
              <w:t>Study design</w:t>
            </w:r>
          </w:p>
        </w:tc>
      </w:tr>
      <w:tr w:rsidR="00FC7756" w:rsidRPr="004E2D02" w:rsidTr="00D7721E">
        <w:trPr>
          <w:trHeight w:val="20"/>
          <w:jc w:val="center"/>
        </w:trPr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multiple doses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2 occasions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multiple doses </w:t>
            </w:r>
          </w:p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3 occasions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 xml:space="preserve">multiple doses </w:t>
            </w:r>
          </w:p>
          <w:p w:rsidR="00FC7756" w:rsidRPr="004E2D02" w:rsidRDefault="00D7064F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occasion</w:t>
            </w:r>
          </w:p>
        </w:tc>
      </w:tr>
      <w:tr w:rsidR="00FC7756" w:rsidRPr="004E2D02" w:rsidTr="00D7721E">
        <w:trPr>
          <w:trHeight w:val="20"/>
          <w:jc w:val="center"/>
        </w:trPr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Nobs (obs/ID): 74 – 1021 (14)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Nobs (obs/ID): 74 – 337 (5)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02">
              <w:rPr>
                <w:rFonts w:ascii="Arial" w:hAnsi="Arial" w:cs="Arial"/>
                <w:sz w:val="20"/>
                <w:szCs w:val="20"/>
              </w:rPr>
              <w:t>ID – Nobs (obs/ID): 59 – 155 (3)</w:t>
            </w:r>
          </w:p>
        </w:tc>
      </w:tr>
      <w:tr w:rsidR="00FC7756" w:rsidRPr="004E2D02" w:rsidTr="00D7064F">
        <w:trPr>
          <w:trHeight w:val="20"/>
          <w:jc w:val="center"/>
        </w:trPr>
        <w:tc>
          <w:tcPr>
            <w:tcW w:w="9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7756" w:rsidRPr="004E2D02" w:rsidRDefault="00FC7756" w:rsidP="0099088E">
            <w:pPr>
              <w:spacing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DA7985">
              <w:rPr>
                <w:rFonts w:ascii="Arial" w:hAnsi="Arial" w:cs="Arial"/>
                <w:sz w:val="16"/>
                <w:szCs w:val="20"/>
              </w:rPr>
              <w:t>CL: clearance, V: volume of distribution, TLAG: lag-time, KA: absorption rate, IIV: inter-individual variability (exponential, expressed as coefficient of variation in %), IOV: inter-occasion variability (exponential, expressed as coefficient of variation in %), RUV: residual unexplained variability (expressed as coefficient of variation in %), ID: individuals, obs/ID: number of observations per individual, Nobs: total number of observations, CMT: compartment, i.v.:intravenous.</w:t>
            </w:r>
          </w:p>
        </w:tc>
      </w:tr>
    </w:tbl>
    <w:p w:rsidR="00ED4A79" w:rsidRDefault="00ED4A79" w:rsidP="00FC7756">
      <w:pPr>
        <w:rPr>
          <w:rFonts w:ascii="Arial" w:hAnsi="Arial" w:cs="Arial"/>
          <w:b/>
        </w:rPr>
        <w:sectPr w:rsidR="00ED4A79" w:rsidSect="00D7064F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FC7756" w:rsidRPr="00FC7756" w:rsidRDefault="00FC7756" w:rsidP="00FC7756">
      <w:pPr>
        <w:rPr>
          <w:rFonts w:ascii="Arial" w:hAnsi="Arial" w:cs="Arial"/>
          <w:b/>
        </w:rPr>
      </w:pPr>
      <w:r w:rsidRPr="00FC7756">
        <w:rPr>
          <w:rFonts w:ascii="Arial" w:hAnsi="Arial" w:cs="Arial"/>
          <w:b/>
        </w:rPr>
        <w:lastRenderedPageBreak/>
        <w:t>NONMEM control file for the moxonidine example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$PROBLEM MOXONIDINE PK, FINAL ESTIMATES, ALL DATA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$INPUT      ID VISI XAT2=DROP DGRP=DROP DOSE=DROP FLAG=DROP ONO=DROP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 xml:space="preserve">            XIME=DROP DVO=DROP NEUY SCR AGE SEX NYHA WT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 xml:space="preserve">            DROP ACE DIG DIU NUMB=DROP TAD TIME VIDD=DROP CRCL AMT SS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 xml:space="preserve">            II DROP CMT=DROP CONO=DROP DV EVID=DROP OVID=DROP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 xml:space="preserve">            DROP SHR2=DROP NYHDI=DROP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$DATA       mx20.csv IGNORE=#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>$SUBROUTINE ADVAN2 TRANS1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>$PK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>;-----------OCCASIONS----------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 xml:space="preserve">   VIS3               = 0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 xml:space="preserve">   IF(VISI.EQ.3) VIS3 = 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4E2D02">
        <w:rPr>
          <w:rFonts w:ascii="Arial" w:hAnsi="Arial" w:cs="Arial"/>
          <w:sz w:val="20"/>
          <w:szCs w:val="20"/>
          <w:lang w:val="fr-FR"/>
        </w:rPr>
        <w:t xml:space="preserve">   VIS8               = 0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fr-FR"/>
        </w:rPr>
        <w:t xml:space="preserve">   </w:t>
      </w:r>
      <w:r w:rsidRPr="004E2D02">
        <w:rPr>
          <w:rFonts w:ascii="Arial" w:hAnsi="Arial" w:cs="Arial"/>
          <w:sz w:val="20"/>
          <w:szCs w:val="20"/>
          <w:lang w:val="sv-SE"/>
        </w:rPr>
        <w:t>IF(VISI.EQ.8) VIS8 = 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;----------IOV--------------------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KPCL  = VIS3*ETA(4)+VIS8*ETA(5)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KPKA  = VIS3*ETA(6)+VIS8*ETA(7)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;---------- PK model ------------------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TVCL  = THETA(1)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TVV   = THETA(2)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CL    = TVCL*EXP(ETA(1)+KPCL)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V     = TVV*EXP(ETA(2))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KA    = THETA(3)*EXP(ETA(3)+KPKA)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ALAG1 = THETA(4)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K     = CL/V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S2    = 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$ERROR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IPRED = LOG(.025)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IF(F.GT.0) IPRED = LOG(F)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W     = SQRT(SIGMA(1,1))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IRES  = IPRED-DV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IWRES = IRES/W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Y     = IPRED+EPS(1)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(0,26.6815)   ;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(0,110.275)   ; 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(0,4.49465)   ; KA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(0,0.240122,0.25)  ; TLAG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BLOCK(2) 0.0444                 ; IIV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0.027                                   ; COV CL-V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0.0241                                  ; IIV 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BLOCK(1) 3.0                    ; IIV KA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BLOCK(1) 0.0165                 ; IOV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BLOCK(1)  SAME                  ; IOV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BLOCK(1)  0.495                 ; IOV KA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BLOCK(1)  SAME                  ; IOV KA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$SIGMA  0.1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$ESTIMATION METHOD=1  MAXEVALS=9999</w:t>
      </w:r>
    </w:p>
    <w:p w:rsidR="00FC7756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E2D02">
        <w:rPr>
          <w:rFonts w:ascii="Arial" w:hAnsi="Arial" w:cs="Arial"/>
          <w:sz w:val="20"/>
          <w:szCs w:val="20"/>
          <w:lang w:val="en-GB"/>
        </w:rPr>
        <w:t>$COV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FC7756" w:rsidRPr="00FC7756" w:rsidRDefault="00FC7756" w:rsidP="00FC7756">
      <w:pPr>
        <w:rPr>
          <w:rStyle w:val="Heading2Char"/>
          <w:rFonts w:ascii="Arial" w:hAnsi="Arial" w:cs="Arial"/>
          <w:b w:val="0"/>
          <w:bCs w:val="0"/>
          <w:color w:val="auto"/>
          <w:sz w:val="20"/>
          <w:szCs w:val="20"/>
        </w:rPr>
      </w:pPr>
      <w:r w:rsidRPr="00FC7756">
        <w:rPr>
          <w:rStyle w:val="Heading2Char"/>
          <w:rFonts w:ascii="Arial" w:hAnsi="Arial" w:cs="Arial"/>
          <w:color w:val="auto"/>
          <w:sz w:val="20"/>
          <w:szCs w:val="20"/>
        </w:rPr>
        <w:t>NONMEM control file for the pefloxacin example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$PROBLEM pefloxacin data intraindividual modeling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$INPUT      ID OCC DV TIME AMT RATE ADDL II WT AGE CLCR SEX CEN BIL SBP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$DATA       pefdata.csv IGN=@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$SUBROUTINE ADVAN=ADVAN1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$PK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OCC1=0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OCC2=0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OCC3=0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IF (OCC.EQ.0) OCC1=1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IF (OCC.EQ.1) OCC2=1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IF (OCC.EQ.2) OCC3=1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IF(NEWIND.NE.2) BCLCR=CLCR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IF(NEWIND.NE.2) BWT  =WT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             DCLCR=CLCR-BCLCR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             DWT  =WT-BWT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TVCL=THETA(1)*(1+THETA(4)*(CLCR-100))</w:t>
      </w:r>
    </w:p>
    <w:p w:rsidR="00FC7756" w:rsidRPr="00544CF7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</w:t>
      </w:r>
      <w:r w:rsidRPr="00544CF7">
        <w:rPr>
          <w:rFonts w:ascii="Arial" w:hAnsi="Arial" w:cs="Arial"/>
          <w:sz w:val="20"/>
          <w:szCs w:val="20"/>
        </w:rPr>
        <w:t>CL=TVCL*EXP(ETA(1)+OCC1*ETA(3)+OCC2*ETA(5)+OCC3*ETA(7))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544CF7">
        <w:rPr>
          <w:rFonts w:ascii="Arial" w:hAnsi="Arial" w:cs="Arial"/>
          <w:sz w:val="20"/>
          <w:szCs w:val="20"/>
        </w:rPr>
        <w:t xml:space="preserve">    </w:t>
      </w:r>
      <w:r w:rsidRPr="004E2D02">
        <w:rPr>
          <w:rFonts w:ascii="Arial" w:hAnsi="Arial" w:cs="Arial"/>
          <w:sz w:val="20"/>
          <w:szCs w:val="20"/>
          <w:lang w:val="sv-SE"/>
        </w:rPr>
        <w:t>TVV=THETA(2)*(WT/70)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 V =TVV *EXP(ETA(2)+OCC1*ETA(4)+OCC2*ETA(6)+OCC3*ETA(8))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   </w:t>
      </w:r>
      <w:r w:rsidRPr="004E2D02">
        <w:rPr>
          <w:rFonts w:ascii="Arial" w:hAnsi="Arial" w:cs="Arial"/>
          <w:sz w:val="20"/>
          <w:szCs w:val="20"/>
        </w:rPr>
        <w:t>S1=V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K=CL/V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$ERROR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IPRED=F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W    =THETA(3)*IPRED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IWRES=(DV-IPRED)/W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Y=IPRED + W*ERR(1)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(0,3.42508) ; 1 TVCL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(0,66.1332) ; 2 TVV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(0,0.142616) ; 3 RV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 (0,0.0041804,.0099) ; 4 CRCL on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BLOCK(2)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0.101439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0.0561715 0.054985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BLOCK(2)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0.136314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 -0.0122524 0.00811249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BLOCK(2) SAME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$OMEGA  BLOCK(2) SAME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$SIGMA  1  FIX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$ESTIMATION SIG=3 MAXEVAL=3000 PRINT=10 MSFO=msf1 METHOD=1 INTER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$COVARIANCE</w:t>
      </w:r>
    </w:p>
    <w:p w:rsidR="00D7064F" w:rsidRDefault="00D7064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C7756" w:rsidRPr="00FC7756" w:rsidRDefault="00FC7756" w:rsidP="00FC7756">
      <w:pPr>
        <w:rPr>
          <w:rStyle w:val="Heading2Char"/>
          <w:rFonts w:ascii="Arial" w:hAnsi="Arial" w:cs="Arial"/>
          <w:bCs w:val="0"/>
          <w:color w:val="auto"/>
          <w:sz w:val="20"/>
          <w:szCs w:val="20"/>
        </w:rPr>
      </w:pPr>
      <w:r w:rsidRPr="00FC7756">
        <w:rPr>
          <w:rStyle w:val="Heading2Char"/>
          <w:rFonts w:ascii="Arial" w:hAnsi="Arial" w:cs="Arial"/>
          <w:color w:val="auto"/>
          <w:sz w:val="20"/>
          <w:szCs w:val="20"/>
        </w:rPr>
        <w:lastRenderedPageBreak/>
        <w:t xml:space="preserve">NONMEM </w:t>
      </w:r>
      <w:r w:rsidRPr="00FC7756">
        <w:rPr>
          <w:rFonts w:ascii="Arial" w:hAnsi="Arial" w:cs="Arial"/>
          <w:b/>
          <w:bCs/>
          <w:sz w:val="20"/>
          <w:szCs w:val="20"/>
        </w:rPr>
        <w:t>control</w:t>
      </w:r>
      <w:r w:rsidRPr="00FC7756">
        <w:rPr>
          <w:rStyle w:val="Heading2Char"/>
          <w:rFonts w:ascii="Arial" w:hAnsi="Arial" w:cs="Arial"/>
          <w:color w:val="auto"/>
          <w:sz w:val="20"/>
          <w:szCs w:val="20"/>
        </w:rPr>
        <w:t xml:space="preserve"> file for the phenobarbital example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</w:t>
      </w:r>
      <w:r w:rsidRPr="004E2D02">
        <w:rPr>
          <w:rFonts w:ascii="Arial" w:hAnsi="Arial" w:cs="Arial"/>
          <w:bCs/>
          <w:sz w:val="20"/>
          <w:szCs w:val="20"/>
        </w:rPr>
        <w:t>PROBLEM</w:t>
      </w:r>
      <w:r w:rsidRPr="004E2D02">
        <w:rPr>
          <w:rFonts w:ascii="Arial" w:hAnsi="Arial" w:cs="Arial"/>
          <w:sz w:val="20"/>
          <w:szCs w:val="20"/>
        </w:rPr>
        <w:t xml:space="preserve">    PHENOBARB additive model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;$ABBREVIATED COMRES=2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$INPUT      ID TIME AMT WT APGR DV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$DATA       PHENO.dta IGNORE=@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$SUBROUTINE ADVAN1 TRANS2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$PK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TVCL = THETA(1)*(WT/3)**THETA(4) ; typical value of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TVV  = THETA(2)*(WT/3)**THETA(5)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CL   = TVCL*EXP(ETA(1)) ; individual value of CL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V    = TVV*EXP(ETA(2))  ; individual value of 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S1   = 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$ERROR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IPRED  = F       ; individual predicion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IRES   = DV - F   ; individual residual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W      = THETA(3)       ; additive residual error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IF(W.EQ.0) W = 1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IWRES  </w:t>
      </w:r>
      <w:r>
        <w:rPr>
          <w:rFonts w:ascii="Arial" w:hAnsi="Arial" w:cs="Arial"/>
          <w:sz w:val="20"/>
          <w:szCs w:val="20"/>
        </w:rPr>
        <w:t>= IRES/W   ; individu</w:t>
      </w:r>
      <w:r w:rsidRPr="004E2D0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 w:rsidRPr="004E2D02">
        <w:rPr>
          <w:rFonts w:ascii="Arial" w:hAnsi="Arial" w:cs="Arial"/>
          <w:sz w:val="20"/>
          <w:szCs w:val="20"/>
        </w:rPr>
        <w:t xml:space="preserve"> weighed residual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;IF(ICALL.EQ.4) THEN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;     Y=DV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;ELSE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 xml:space="preserve">    Y     = IPRED+ERR(1)*W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;ENDIF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$THETA  (0,.005) 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 xml:space="preserve">$THETA  (0,1.45) 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(0, 5)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(0, .75)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  <w:r w:rsidRPr="004E2D02">
        <w:rPr>
          <w:rFonts w:ascii="Arial" w:hAnsi="Arial" w:cs="Arial"/>
          <w:sz w:val="20"/>
          <w:szCs w:val="20"/>
          <w:lang w:val="sv-SE"/>
        </w:rPr>
        <w:t>$THETA (0, 1)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$OMEGA  0.228  ; variance for ETA(1), initial estimate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$OMEGA  0.146  ; variance for ETA(2), initial estimate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$SIGMA  1 FIX  ; initial estimate</w:t>
      </w: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7756" w:rsidRPr="004E2D02" w:rsidRDefault="00FC7756" w:rsidP="00FC77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2D02">
        <w:rPr>
          <w:rFonts w:ascii="Arial" w:hAnsi="Arial" w:cs="Arial"/>
          <w:sz w:val="20"/>
          <w:szCs w:val="20"/>
        </w:rPr>
        <w:t>$ESTIMATION METHOD=1 MAXEVAL=9999 ; FOCE calculation method</w:t>
      </w:r>
    </w:p>
    <w:p w:rsidR="00D85E9D" w:rsidRDefault="00FC7756" w:rsidP="00FC7756">
      <w:r w:rsidRPr="004E2D02">
        <w:rPr>
          <w:rFonts w:ascii="Arial" w:hAnsi="Arial" w:cs="Arial"/>
          <w:sz w:val="20"/>
          <w:szCs w:val="20"/>
        </w:rPr>
        <w:t>$COV</w:t>
      </w:r>
    </w:p>
    <w:sectPr w:rsidR="00D85E9D" w:rsidSect="00ED4A7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186982"/>
    <w:rsid w:val="001C5B06"/>
    <w:rsid w:val="00242ECE"/>
    <w:rsid w:val="003E57EA"/>
    <w:rsid w:val="00544CF7"/>
    <w:rsid w:val="008F3B8D"/>
    <w:rsid w:val="00D7064F"/>
    <w:rsid w:val="00D7721E"/>
    <w:rsid w:val="00E5732C"/>
    <w:rsid w:val="00E94292"/>
    <w:rsid w:val="00ED4A79"/>
    <w:rsid w:val="00FC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FC7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775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77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7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7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FC77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775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77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negaelle.dosne@farmbio.uu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473E5-3F5E-4E55-987D-DD0AC23A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Anne-Gaëlle Dosne</dc:creator>
  <cp:lastModifiedBy>Anne-Gaëlle Dosne</cp:lastModifiedBy>
  <cp:revision>8</cp:revision>
  <dcterms:created xsi:type="dcterms:W3CDTF">2016-06-02T16:04:00Z</dcterms:created>
  <dcterms:modified xsi:type="dcterms:W3CDTF">2016-06-03T12:01:00Z</dcterms:modified>
</cp:coreProperties>
</file>